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918f5dc3d0a46b4a875d8cfbb59de8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right"/>
            <w:rPr>
              <w:b/>
            </w:rPr>
          </w:pPr>
          <w:r>
            <w:rPr>
              <w:b/>
            </w:rPr>
            <w:t>Projektas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SEIMAS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NUTARIMAS</w:t>
          </w:r>
        </w:p>
        <w:p>
          <w:pPr>
            <w:jc w:val="center"/>
            <w:rPr>
              <w:b/>
              <w:bCs/>
              <w:smallCaps/>
              <w:szCs w:val="24"/>
            </w:rPr>
          </w:pPr>
          <w:r>
            <w:rPr>
              <w:b/>
              <w:bCs/>
              <w:smallCaps/>
              <w:szCs w:val="24"/>
            </w:rPr>
            <w:t xml:space="preserve">DĖL LIETUVOS RESPUBLIKOS VALSTYBĖS KONTROLĖS </w:t>
          </w:r>
        </w:p>
        <w:p>
          <w:pPr>
            <w:jc w:val="center"/>
            <w:rPr>
              <w:b/>
              <w:szCs w:val="22"/>
            </w:rPr>
          </w:pPr>
          <w:r>
            <w:rPr>
              <w:b/>
              <w:bCs/>
              <w:smallCaps/>
              <w:szCs w:val="24"/>
            </w:rPr>
            <w:t xml:space="preserve">ATLIKTO VALSTYBINIO AUDITO ATASKAITOS </w:t>
          </w:r>
        </w:p>
        <w:p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„2015 M. RUGSĖJO 11 D. PRELIMINARIOSIOS SUTARTIES TARP </w:t>
          </w:r>
        </w:p>
        <w:p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UAB NT VALDOS IR UAB KARALIENĖS MORTOS MOKYKLA </w:t>
          </w:r>
        </w:p>
        <w:p>
          <w:pPr>
            <w:jc w:val="center"/>
            <w:rPr>
              <w:rFonts w:ascii="TimesLT" w:hAnsi="TimesLT"/>
              <w:b/>
              <w:color w:val="000000"/>
              <w:highlight w:val="yellow"/>
              <w:lang w:val="en-US"/>
            </w:rPr>
          </w:pPr>
          <w:r>
            <w:rPr>
              <w:rFonts w:ascii="TimesLT" w:hAnsi="TimesLT"/>
              <w:b/>
              <w:szCs w:val="22"/>
            </w:rPr>
            <w:t>SUDARYMAS IR VYKDYMAS“</w:t>
          </w:r>
          <w:r>
            <w:rPr>
              <w:rFonts w:ascii="TimesLT" w:hAnsi="TimesLT"/>
              <w:b/>
              <w:bCs/>
              <w:color w:val="000000"/>
              <w:lang w:val="en-US"/>
            </w:rPr>
            <w:t xml:space="preserve"> </w:t>
          </w:r>
          <w:r>
            <w:rPr>
              <w:rFonts w:ascii="TimesLT" w:hAnsi="TimesLT"/>
              <w:b/>
              <w:lang w:val="en-US" w:eastAsia="lt-LT"/>
            </w:rPr>
            <w:t>REKOMENDACIJŲ ĮGYVENDINIMO</w:t>
          </w:r>
        </w:p>
        <w:p>
          <w:pPr>
            <w:jc w:val="center"/>
            <w:rPr>
              <w:b/>
              <w:szCs w:val="22"/>
            </w:rPr>
          </w:pPr>
        </w:p>
        <w:p>
          <w:pPr>
            <w:ind w:left="2880"/>
            <w:rPr>
              <w:szCs w:val="24"/>
            </w:rPr>
          </w:pPr>
          <w:r>
            <w:rPr>
              <w:szCs w:val="24"/>
            </w:rPr>
            <w:t xml:space="preserve">2016 m.  birželio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  <w:highlight w:val="yellow"/>
            </w:rPr>
          </w:pPr>
        </w:p>
        <w:p>
          <w:pPr>
            <w:spacing w:line="360" w:lineRule="auto"/>
            <w:ind w:firstLine="709"/>
            <w:jc w:val="both"/>
            <w:rPr>
              <w:szCs w:val="24"/>
              <w:highlight w:val="yellow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>
          <w:pPr>
            <w:jc w:val="center"/>
            <w:rPr>
              <w:b/>
              <w:bCs/>
              <w:szCs w:val="24"/>
              <w:highlight w:val="yellow"/>
            </w:rPr>
          </w:pPr>
        </w:p>
        <w:sdt>
          <w:sdtPr>
            <w:alias w:val="preambule"/>
            <w:tag w:val="part_fe948e3ecf0841ad93888c377181bd09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Seimas,</w:t>
              </w:r>
            </w:p>
          </w:sdtContent>
        </w:sdt>
        <w:sdt>
          <w:sdtPr>
            <w:alias w:val="pastraipa"/>
            <w:tag w:val="part_f7e0cba97f3d40f6bc78fed5b4c47839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i/>
                  <w:szCs w:val="24"/>
                  <w:lang w:eastAsia="lt-LT"/>
                </w:rPr>
                <w:t>įvertinęs</w:t>
              </w:r>
              <w:r>
                <w:rPr>
                  <w:szCs w:val="24"/>
                  <w:lang w:eastAsia="lt-LT"/>
                </w:rPr>
                <w:t xml:space="preserve"> Lietuvos Respublikos valstybės kontrolės (toliau – Valstybės kontrolė) pagal Lietuvos Respublikos Seimo 2016 m. kovo 22 d. nutarimą Nr. XII-2268 „Dėl pavedimo Lietuvos Respublikos valstybės kontrolei atlikti valstybinį auditą“ </w:t>
              </w:r>
              <w:r>
                <w:rPr>
                  <w:lang w:eastAsia="lt-LT"/>
                </w:rPr>
                <w:t xml:space="preserve">atlikto </w:t>
              </w:r>
              <w:r>
                <w:rPr>
                  <w:szCs w:val="24"/>
                </w:rPr>
                <w:t>valstybinio audito 2016 m. birželio 1 d. ataskaitą Nr. VA-P-60-1-9 „2015 m. rugsėjo 11 d. preliminariosios sutarties tarp UAB NT Valdos ir UAB Karalienės Mortos mokykla sudarymas ir vykdymas“ (toliau – Audito ataskaita);</w:t>
              </w:r>
            </w:p>
            <w:p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 xml:space="preserve">atkreipdamas dėmesį </w:t>
              </w:r>
              <w:r>
                <w:rPr>
                  <w:szCs w:val="24"/>
                </w:rPr>
                <w:t>į Audito ataskaitoje nustatytas problemas dėl valstybės valdomų įmonių (toliau – VVĮ) vykdomos veiklos ir turto naudojimo, kurios turėtų būti sprendžiamos valstybės mastu;</w:t>
              </w:r>
            </w:p>
            <w:p>
              <w:pPr>
                <w:spacing w:line="360" w:lineRule="auto"/>
                <w:ind w:firstLine="709"/>
                <w:jc w:val="both"/>
                <w:rPr>
                  <w:szCs w:val="24"/>
                  <w:highlight w:val="yellow"/>
                </w:rPr>
              </w:pPr>
              <w:r>
                <w:rPr>
                  <w:i/>
                  <w:szCs w:val="24"/>
                </w:rPr>
                <w:t>siekdamas</w:t>
              </w:r>
              <w:r>
                <w:rPr>
                  <w:szCs w:val="24"/>
                </w:rPr>
                <w:t>,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kad būtų nustatytos</w:t>
              </w:r>
              <w:r>
                <w:rPr>
                  <w:szCs w:val="24"/>
                  <w:lang w:eastAsia="lt-LT"/>
                </w:rPr>
                <w:t xml:space="preserve"> VVĮ veiklos ir turimo nekilnojamojo turto valdymo gairės ir kryptys, taip prisidedant prie valstybės gaunamos grąžos iš VVĮ didinimo;</w:t>
              </w:r>
            </w:p>
            <w:p>
              <w:pPr>
                <w:tabs>
                  <w:tab w:val="left" w:pos="993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i/>
                  <w:szCs w:val="24"/>
                  <w:lang w:eastAsia="lt-LT"/>
                </w:rPr>
                <w:t>pabrėždamas</w:t>
              </w:r>
              <w:r>
                <w:rPr>
                  <w:szCs w:val="24"/>
                  <w:lang w:eastAsia="lt-LT"/>
                </w:rPr>
                <w:t>, kad</w:t>
              </w:r>
              <w:r>
                <w:rPr>
                  <w:i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Nacionalinė žemės tarnyba prie Lietuvos Respublikos žemės ūkio ministerijos (toliau – Nacionalinė žemės tarnyba), kaip vykdanti valstybinės žemės patikėtinės funkcijas, turi tinkamai vykdyti valstybinės žemės naudojimo kontrolę;</w:t>
              </w:r>
            </w:p>
            <w:p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</w:rPr>
                <w:t>siekdamas</w:t>
              </w:r>
              <w:r>
                <w:rPr>
                  <w:szCs w:val="24"/>
                </w:rPr>
                <w:t>,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kad VVĮ veikla ir valstybinės žemės naudojimas būtų kuo efektyvesni ir racionalesni, </w:t>
              </w:r>
              <w:r>
                <w:rPr>
                  <w:spacing w:val="60"/>
                  <w:szCs w:val="24"/>
                  <w:lang w:eastAsia="lt-LT"/>
                </w:rPr>
                <w:t>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str."/>
            <w:tag w:val="part_20bccf31dd9b4e9a8bcb10e8fbb5aabf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0bccf31dd9b4e9a8bcb10e8fbb5aab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</w:p>
            <w:sdt>
              <w:sdtPr>
                <w:alias w:val="1 str. 1 d."/>
                <w:tag w:val="part_9e0f71fb7faf45bcb94b2c743e57c32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Pasiūlyti Lietuvos Respublikos Vyriausybei:</w:t>
                  </w:r>
                </w:p>
                <w:sdt>
                  <w:sdtPr>
                    <w:alias w:val="1 str. 1 d. 1 p."/>
                    <w:tag w:val="part_901463fb563c4299b30b8cafe4547e9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01463fb563c4299b30b8cafe4547e94"/>
                          <w:lock w:val="sdtLocked"/>
                          <w:richText/>
                        </w:sdtPr>
                        <w:sdtContent>
                          <w:r>
                            <w:t>1</w:t>
                          </w:r>
                        </w:sdtContent>
                      </w:sdt>
                      <w:r>
                        <w:t xml:space="preserve">)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iki 2016 m. liepos 1 d suderinus su Valstybės kontrole parengti Audito ataskaitos rekomendacijų įgyvendinimo priemonių planą ir jų įgyvendinimo terminus;  </w:t>
                      </w:r>
                    </w:p>
                    <w:p>
                      <w:pPr>
                        <w:spacing w:line="360" w:lineRule="auto"/>
                        <w:ind w:firstLine="709"/>
                        <w:jc w:val="both"/>
                      </w:pPr>
                    </w:p>
                  </w:sdtContent>
                </w:sdt>
                <w:sdt>
                  <w:sdtPr>
                    <w:alias w:val="1 str. 1 d. 2 p."/>
                    <w:tag w:val="part_a2454bbd08d54b2685dbeb61f3cf89ae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454bbd08d54b2685dbeb61f3cf89ae"/>
                          <w:lock w:val="sdtLocked"/>
                          <w:richText/>
                        </w:sdtPr>
                        <w:sdtContent>
                          <w:r>
                            <w:t>2</w:t>
                          </w:r>
                        </w:sdtContent>
                      </w:sdt>
                      <w:r>
                        <w:t xml:space="preserve">) išanalizuoti ir įvertinti </w:t>
                      </w:r>
                      <w:r>
                        <w:rPr>
                          <w:lang w:eastAsia="lt-LT"/>
                        </w:rPr>
                        <w:t>VVĮ (įskaitant ir patronuojamąsias įmones) vykdomą veiklą ir jos atitiktį valstybės strateginiams ir VVĮ nustatytiems tikslams bei, atsižvelgiant į gautus rezultatus, priimti sprendimus dėl šių įmonių veiklos krypčių ir apimties;</w:t>
                      </w:r>
                    </w:p>
                  </w:sdtContent>
                </w:sdt>
                <w:sdt>
                  <w:sdtPr>
                    <w:alias w:val="1 str. 1 d. 3 p."/>
                    <w:tag w:val="part_c28c906bcfd54e3d9927c87b9f863011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28c906bcfd54e3d9927c87b9f863011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) įvertinti, kokiu nekilnojamuoju turtu disponuoja VVĮ (įskaitant ir patronuojamąsias įmones), ir, atsižvelgiant į VVĮ keliamus tikslus, išanalizuoti, ar tas turtas yra naudojamas efektyviai ir racionaliai;</w:t>
                      </w:r>
                    </w:p>
                  </w:sdtContent>
                </w:sdt>
                <w:sdt>
                  <w:sdtPr>
                    <w:alias w:val="1 str. 1 d. 4 p."/>
                    <w:tag w:val="part_5c0d7171c0644fc8b126750247c88e4f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0d7171c0644fc8b126750247c88e4f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) nustatyti gaires, kaip VVĮ veiklai nenaudojamas nekilnojamasis turtas turėtų būti panaudotas, kad jis duotų didžiausią naudą valstybei;</w:t>
                      </w:r>
                    </w:p>
                  </w:sdtContent>
                </w:sdt>
                <w:sdt>
                  <w:sdtPr>
                    <w:alias w:val="1 str. 1 d. 5 p."/>
                    <w:tag w:val="part_458f667d826044cb8afc48439246d8eb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8f667d826044cb8afc48439246d8eb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) siekiant efektyviau naudoti valstybės turtą – valstybinę žemę, įvertinti galimybę keisti teisinį reguliavimą, susijusį su naujų statinių statybos vykdymu išnuomotuose valstybinės žemės sklypuose.</w:t>
                      </w:r>
                    </w:p>
                    <w:p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str."/>
            <w:tag w:val="part_f19646dd1343435086c981b1b75b94e5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left="1069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19646dd1343435086c981b1b75b94e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ab/>
                <w:t>straipsnis.</w:t>
              </w:r>
            </w:p>
            <w:sdt>
              <w:sdtPr>
                <w:alias w:val="2 str. 1 d."/>
                <w:tag w:val="part_2e72aae9cf8f48018eee78081054f1e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Pasiūlyti Nacionalinei žemės tarnybai nedelsiant imtis priemonių tinkamam </w:t>
                  </w:r>
                  <w:r>
                    <w:rPr>
                      <w:szCs w:val="24"/>
                      <w:lang w:eastAsia="lt-LT"/>
                    </w:rPr>
                    <w:t xml:space="preserve">valstybinės žemės naudojimo kontrolės </w:t>
                  </w:r>
                  <w:r>
                    <w:rPr>
                      <w:szCs w:val="24"/>
                    </w:rPr>
                    <w:t xml:space="preserve">organizavimui ir </w:t>
                  </w:r>
                  <w:r>
                    <w:rPr>
                      <w:szCs w:val="24"/>
                      <w:lang w:eastAsia="lt-LT"/>
                    </w:rPr>
                    <w:t>vykdymui</w:t>
                  </w:r>
                  <w:r>
                    <w:rPr>
                      <w:szCs w:val="24"/>
                    </w:rPr>
                    <w:t xml:space="preserve"> užtikrinti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2 str. 1 d. 1 p."/>
                    <w:tag w:val="part_f7de0359bd2d4504845946c368b47f9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de0359bd2d4504845946c368b47f9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įvertinti, ar valstybinės žemė sklypai ir juose esantys statiniai naudojami pagal paskirtį;</w:t>
                      </w:r>
                    </w:p>
                  </w:sdtContent>
                </w:sdt>
                <w:sdt>
                  <w:sdtPr>
                    <w:alias w:val="2 str. 1 d. 2 p."/>
                    <w:tag w:val="part_45d4bfc2cbda483cba971157d58bf8d2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d4bfc2cbda483cba971157d58bf8d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įvertinti, ar valstybinės žemės sklypai yra tinkamo dydžio esamiems pastatams eksploatuoti.</w:t>
                      </w:r>
                    </w:p>
                    <w:p>
                      <w:pPr>
                        <w:tabs>
                          <w:tab w:val="left" w:pos="0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str."/>
            <w:tag w:val="part_f5c821d3e0e04aeab71d3418e8b09ea0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5c821d3e0e04aeab71d3418e8b09e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3 str. 1 d."/>
                <w:tag w:val="part_63f74bfc1f274fe9b97129ad470f1e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Pavesti Lietuvos Respublikos Seimo Audito komitetui atlikti šio nutarimo vykdymo parlamentinę kontrolę.</w:t>
                  </w:r>
                </w:p>
                <w:p>
                  <w:pPr>
                    <w:spacing w:line="360" w:lineRule="auto"/>
                    <w:ind w:firstLine="782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right" w:pos="9072"/>
                    </w:tabs>
                    <w:rPr>
                      <w:szCs w:val="24"/>
                      <w:highlight w:val="yellow"/>
                    </w:rPr>
                    <w:sectPr>
                      <w:headerReference w:type="even" r:id="rId13"/>
                      <w:headerReference w:type="default" r:id="rId14"/>
                      <w:footerReference w:type="even" r:id="rId15"/>
                      <w:footerReference w:type="default" r:id="rId16"/>
                      <w:type w:val="continuous"/>
                      <w:pgSz w:w="11907" w:h="16840" w:code="9"/>
                      <w:pgMar w:top="1270" w:right="567" w:bottom="1440" w:left="1797" w:header="709" w:footer="709" w:gutter="227"/>
                      <w:cols w:space="1296"/>
                      <w:formProt w:val="0"/>
                    </w:sectPr>
                  </w:pPr>
                </w:p>
                <w:p>
                  <w:pPr>
                    <w:rPr>
                      <w:szCs w:val="24"/>
                      <w:highlight w:val="yellow"/>
                    </w:rPr>
                  </w:pPr>
                </w:p>
                <w:p>
                  <w:pPr>
                    <w:tabs>
                      <w:tab w:val="right" w:pos="9072"/>
                    </w:tabs>
                    <w:rPr>
                      <w:szCs w:val="24"/>
                      <w:highlight w:val="yellow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023bbad206d4352b906cb1a48ac817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Seimo Pirmininkas</w:t>
              </w:r>
            </w:p>
            <w:p>
              <w:pPr>
                <w:tabs>
                  <w:tab w:val="right" w:pos="8789"/>
                </w:tabs>
                <w:rPr>
                  <w:caps/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>Teikia:</w:t>
              </w: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Audito komiteto vardu </w:t>
              </w:r>
            </w:p>
            <w:p>
              <w:pPr>
                <w:tabs>
                  <w:tab w:val="right" w:pos="878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Audito komiteto pirmininkas </w:t>
                <w:tab/>
                <w:t xml:space="preserve">                                                                      </w:t>
              </w:r>
              <w:r>
                <w:rPr>
                  <w:rFonts w:ascii="TimesLT" w:hAnsi="TimesLT"/>
                  <w:color w:val="000000"/>
                  <w:szCs w:val="24"/>
                </w:rPr>
                <w:t>Vytautas Kamblevičius</w:t>
              </w:r>
            </w:p>
            <w:p>
              <w:pPr>
                <w:tabs>
                  <w:tab w:val="right" w:pos="8789"/>
                </w:tabs>
                <w:rPr>
                  <w:caps/>
                  <w:szCs w:val="24"/>
                </w:rPr>
              </w:pPr>
            </w:p>
          </w:sdtContent>
        </w:sdt>
      </w:sdtContent>
    </w:sdt>
    <w:sectPr>
      <w:type w:val="continuous"/>
      <w:pgSz w:w="11907" w:h="16840" w:code="9"/>
      <w:pgMar w:top="1270" w:right="567" w:bottom="1440" w:left="1797" w:header="706" w:footer="706" w:gutter="227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rPr>
        <w:rFonts w:ascii="TimesLT" w:hAnsi="TimesLT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>
    <w:pPr>
      <w:rPr>
        <w:rFonts w:ascii="TimesLT" w:hAnsi="TimesLT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rPr>
        <w:rFonts w:ascii="TimesLT" w:hAnsi="TimesLT"/>
        <w:lang w:val="en-US"/>
      </w:rPr>
    </w:pPr>
  </w:p>
</w:ftr>
</file>

<file path=word/footer5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>
    <w:pPr>
      <w:rPr>
        <w:rFonts w:ascii="TimesLT" w:hAnsi="TimesLT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527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99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2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4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1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63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8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26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12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34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962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39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header" Target="header5.xml"/>
  <Relationship Id="rId15" Type="http://schemas.openxmlformats.org/officeDocument/2006/relationships/footer" Target="footer4.xml"/>
  <Relationship Id="rId16" Type="http://schemas.openxmlformats.org/officeDocument/2006/relationships/footer" Target="footer5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17f283a5ea44db9c0991e758e5853a" PartId="d918f5dc3d0a46b4a875d8cfbb59de83">
    <Part Type="preambule" DocPartId="d80177dc52b6479887a0712fd6d3264f" PartId="fe948e3ecf0841ad93888c377181bd09"/>
    <Part Type="pastraipa" DocPartId="4bc182bc980c46d9a065a401eb6dc5eb" PartId="f7e0cba97f3d40f6bc78fed5b4c47839"/>
    <Part Type="straipsnis" Nr="1" Abbr="1 str." DocPartId="0500fb27e9d64fd496726cb360cec0af" PartId="20bccf31dd9b4e9a8bcb10e8fbb5aabf">
      <Part Type="strDalis" Nr="1" Abbr="1 str. 1 d." DocPartId="bc0a69fbfc8d475eab9aa2584082eb59" PartId="9e0f71fb7faf45bcb94b2c743e57c327">
        <Part Type="strPunktas" Nr="1" Abbr="1 str. 1 d. 1 p." DocPartId="15c80a7d78904338886ef49db11c7cf7" PartId="901463fb563c4299b30b8cafe4547e94"/>
        <Part Type="strPunktas" Nr="2" Abbr="1 str. 1 d. 2 p." DocPartId="f161cce1efc94ea3970d90adec7f5fec" PartId="a2454bbd08d54b2685dbeb61f3cf89ae"/>
        <Part Type="strPunktas" Nr="3" Abbr="1 str. 1 d. 3 p." DocPartId="ba1a5e46652c4821800bbfe33f63d38f" PartId="c28c906bcfd54e3d9927c87b9f863011"/>
        <Part Type="strPunktas" Nr="4" Abbr="1 str. 1 d. 4 p." DocPartId="37f75d0baaf34549bc2b70c3cbe4f2a8" PartId="5c0d7171c0644fc8b126750247c88e4f"/>
        <Part Type="strPunktas" Nr="5" Abbr="1 str. 1 d. 5 p." DocPartId="512254356ba5457ebd86da9d40660622" PartId="458f667d826044cb8afc48439246d8eb"/>
      </Part>
    </Part>
    <Part Type="straipsnis" Nr="2" Abbr="2 str." DocPartId="2f623d8c541941548122492e9b1d2d01" PartId="f19646dd1343435086c981b1b75b94e5">
      <Part Type="strDalis" Nr="1" Abbr="2 str. 1 d." DocPartId="4260222bf438420096d0f2a29a15ec92" PartId="2e72aae9cf8f48018eee78081054f1e8">
        <Part Type="strPunktas" Nr="1" Abbr="2 str. 1 d. 1 p." DocPartId="a098371f3c594e7992fd4a55d36d6d40" PartId="f7de0359bd2d4504845946c368b47f9a"/>
        <Part Type="strPunktas" Nr="2" Abbr="2 str. 1 d. 2 p." DocPartId="cf2e8aa9219e4d4f9b06b6058bae052e" PartId="45d4bfc2cbda483cba971157d58bf8d2"/>
      </Part>
    </Part>
    <Part Type="straipsnis" Nr="3" Abbr="3 str." DocPartId="bb5829b588f3462bbdc6c0d8fd00a30a" PartId="f5c821d3e0e04aeab71d3418e8b09ea0">
      <Part Type="strDalis" Nr="1" Abbr="3 str. 1 d." DocPartId="a8caa46356a941e583c464b1ae1f17cc" PartId="63f74bfc1f274fe9b97129ad470f1e46"/>
    </Part>
    <Part Type="signatura" DocPartId="b3f54399a5974d7dbc0bfadd8e8602b1" PartId="f023bbad206d4352b906cb1a48ac8176"/>
  </Part>
</Parts>
</file>

<file path=customXml/itemProps1.xml><?xml version="1.0" encoding="utf-8"?>
<ds:datastoreItem xmlns:ds="http://schemas.openxmlformats.org/officeDocument/2006/customXml" ds:itemID="{8A7A1064-659E-485D-AF4B-5335A7B45E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2810</Characters>
  <Application>Microsoft Office Word</Application>
  <DocSecurity>4</DocSecurity>
  <Lines>80</Lines>
  <Paragraphs>37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3179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2016-06-09T06:55:00Z</dcterms:created>
  <dc:creator>vimani</dc:creator>
  <lastModifiedBy>CLUSadmin</lastModifiedBy>
  <lastPrinted>2016-06-09T06:30:00Z</lastPrinted>
  <dcterms:modified xsi:type="dcterms:W3CDTF">2016-06-09T06:55:00Z</dcterms:modified>
  <revision>2</revision>
  <dc:title/>
</coreProperties>
</file>