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00329760d634b54aba72cb2ae2e8609"/>
        <w:lock w:val="sdtLocked"/>
        <w:richText/>
      </w:sdtPr>
      <w:sdtContent>
        <w:p>
          <w:pPr>
            <w:jc w:val="right"/>
            <w:rPr>
              <w:szCs w:val="24"/>
            </w:rPr>
          </w:pPr>
          <w:r>
            <w:rPr>
              <w:b/>
              <w:bCs/>
              <w:szCs w:val="24"/>
              <w:lang w:val="en-US"/>
            </w:rPr>
            <w:t>Projektas</w:t>
          </w:r>
        </w:p>
        <w:p>
          <w:pPr>
            <w:jc w:val="right"/>
            <w:rPr>
              <w:b/>
              <w:bCs/>
              <w:szCs w:val="24"/>
              <w:lang w:val="en-US"/>
            </w:rPr>
          </w:pPr>
        </w:p>
        <w:p>
          <w:pPr>
            <w:jc w:val="center"/>
            <w:rPr>
              <w:szCs w:val="24"/>
            </w:rPr>
          </w:pPr>
          <w:r>
            <w:rPr>
              <w:b/>
              <w:bCs/>
              <w:szCs w:val="24"/>
            </w:rPr>
            <w:t>UTENOS RAJONO SAVIVALDYBĖS TARYBA</w:t>
          </w:r>
        </w:p>
        <w:p>
          <w:pPr>
            <w:jc w:val="both"/>
            <w:rPr>
              <w:szCs w:val="24"/>
            </w:rPr>
          </w:pPr>
        </w:p>
        <w:p>
          <w:pPr>
            <w:jc w:val="center"/>
            <w:rPr>
              <w:szCs w:val="24"/>
            </w:rPr>
          </w:pPr>
          <w:r>
            <w:rPr>
              <w:b/>
              <w:bCs/>
              <w:szCs w:val="24"/>
            </w:rPr>
            <w:t>SPRENDIMAS</w:t>
          </w:r>
        </w:p>
        <w:p>
          <w:pPr>
            <w:jc w:val="center"/>
            <w:rPr>
              <w:szCs w:val="24"/>
            </w:rPr>
          </w:pPr>
          <w:r>
            <w:rPr>
              <w:b/>
              <w:bCs/>
              <w:szCs w:val="24"/>
            </w:rPr>
            <w:t xml:space="preserve">DĖL </w:t>
          </w:r>
          <w:r>
            <w:rPr>
              <w:b/>
              <w:bCs/>
              <w:caps/>
              <w:color w:val="000000"/>
              <w:szCs w:val="24"/>
            </w:rPr>
            <w:t>VALSTYBĖS TURTO PERĖMIMO UTENOS RAJONO</w:t>
          </w:r>
          <w:r>
            <w:rPr>
              <w:b/>
              <w:bCs/>
              <w:szCs w:val="24"/>
            </w:rPr>
            <w:t xml:space="preserve"> SAVIVALDYBĖS NUOSAVYBĖN</w:t>
          </w:r>
        </w:p>
        <w:p>
          <w:pPr>
            <w:jc w:val="center"/>
            <w:rPr>
              <w:szCs w:val="24"/>
            </w:rPr>
          </w:pPr>
        </w:p>
        <w:p>
          <w:pPr>
            <w:tabs>
              <w:tab w:val="left" w:pos="2268"/>
            </w:tabs>
            <w:jc w:val="center"/>
            <w:rPr>
              <w:szCs w:val="24"/>
            </w:rPr>
          </w:pPr>
          <w:r>
            <w:rPr>
              <w:szCs w:val="24"/>
            </w:rPr>
            <w:t>2023 m. gruodžio</w:t>
            <w:tab/>
            <w:t>d. Nr. TS-</w:t>
          </w:r>
        </w:p>
        <w:p>
          <w:pPr>
            <w:jc w:val="center"/>
            <w:rPr>
              <w:szCs w:val="24"/>
            </w:rPr>
          </w:pPr>
          <w:r>
            <w:rPr>
              <w:szCs w:val="24"/>
            </w:rPr>
            <w:t>Utena</w:t>
          </w:r>
        </w:p>
        <w:p>
          <w:pPr>
            <w:jc w:val="both"/>
            <w:rPr>
              <w:szCs w:val="24"/>
            </w:rPr>
          </w:pPr>
        </w:p>
        <w:sdt>
          <w:sdtPr>
            <w:alias w:val="preambule"/>
            <w:tag w:val="part_829582c0f27d4096b2c6425ca08a308d"/>
            <w:lock w:val="sdtLocked"/>
            <w:richText/>
          </w:sdtPr>
          <w:sdtContent>
            <w:p>
              <w:pPr>
                <w:ind w:firstLine="810"/>
                <w:jc w:val="both"/>
                <w:rPr>
                  <w:szCs w:val="24"/>
                </w:rPr>
              </w:pPr>
              <w:r>
                <w:rPr>
                  <w:szCs w:val="24"/>
                </w:rPr>
                <w:t>Vadovaudamasi Lietuvos Respublikos vietos savivaldos įstatymo 6 straipsnio 3 ir 32 punktais, 15 straipsnio 2 dalies 19 punktu, 63 straipsnio 1 ir 2 dalimis, Lietuvos Respublikos valstybės turto perėmimo savivaldybių nuosavybėn įstatymo 3 straipsnio 1 dalies 2 punktu, 2 dalimi ir 4 straipsnio 1 dalimi, Utenos rajono savivaldybės taryba nusprendžia:</w:t>
              </w:r>
            </w:p>
          </w:sdtContent>
        </w:sdt>
        <w:sdt>
          <w:sdtPr>
            <w:alias w:val="1 p."/>
            <w:tag w:val="part_2f1826e45bd449339ca1aef69601baf0"/>
            <w:lock w:val="sdtLocked"/>
            <w:richText/>
          </w:sdtPr>
          <w:sdtContent>
            <w:p>
              <w:pPr>
                <w:tabs>
                  <w:tab w:val="left" w:pos="630"/>
                </w:tabs>
                <w:ind w:firstLine="810"/>
                <w:jc w:val="both"/>
                <w:rPr>
                  <w:color w:val="000000"/>
                  <w:szCs w:val="24"/>
                </w:rPr>
              </w:pPr>
              <w:sdt>
                <w:sdtPr>
                  <w:alias w:val="Numeris"/>
                  <w:tag w:val="nr_2f1826e45bd449339ca1aef69601baf0"/>
                  <w:lock w:val="sdtLocked"/>
                  <w:richText/>
                </w:sdtPr>
                <w:sdtContent>
                  <w:r>
                    <w:rPr>
                      <w:color w:val="000000"/>
                      <w:szCs w:val="24"/>
                    </w:rPr>
                    <w:t>1</w:t>
                  </w:r>
                </w:sdtContent>
              </w:sdt>
              <w:r>
                <w:rPr>
                  <w:color w:val="000000"/>
                  <w:szCs w:val="24"/>
                </w:rPr>
                <w:t>.</w:t>
                <w:tab/>
              </w:r>
              <w:r>
                <w:rPr>
                  <w:szCs w:val="24"/>
                </w:rPr>
                <w:t>Perimti Utenos rajono savivaldybės nuosavybėn Utenos rajono savivaldybės apskaitoje registruotą ir valdomą valstybės nekilnojamąjį turtą (vietinės reikšmės kelią) – privažiavimo kelią (atkarpa tarp Pievų g. ir J. Basanavičiaus g. 110B, ilgis (km) - 0,441), esantį Utenos m., Utenos r. sav., unikalus Nr. 4400-5354-1765, įsigijimo savikaina 34800,00 Eur, likutinė vertė 2023 m. spalio 31 d. – 28420,00 Eur.</w:t>
              </w:r>
            </w:p>
          </w:sdtContent>
        </w:sdt>
        <w:sdt>
          <w:sdtPr>
            <w:alias w:val="2 p."/>
            <w:tag w:val="part_beb2eed7e30e4eb0ad983384d1687591"/>
            <w:lock w:val="sdtLocked"/>
            <w:richText/>
          </w:sdtPr>
          <w:sdtContent>
            <w:p>
              <w:pPr>
                <w:tabs>
                  <w:tab w:val="left" w:pos="630"/>
                </w:tabs>
                <w:ind w:firstLine="810"/>
                <w:jc w:val="both"/>
                <w:rPr>
                  <w:color w:val="000000"/>
                  <w:szCs w:val="24"/>
                </w:rPr>
              </w:pPr>
              <w:sdt>
                <w:sdtPr>
                  <w:alias w:val="Numeris"/>
                  <w:tag w:val="nr_beb2eed7e30e4eb0ad983384d1687591"/>
                  <w:lock w:val="sdtLocked"/>
                  <w:richText/>
                </w:sdtPr>
                <w:sdtContent>
                  <w:r>
                    <w:rPr>
                      <w:color w:val="000000"/>
                      <w:szCs w:val="24"/>
                    </w:rPr>
                    <w:t>2</w:t>
                  </w:r>
                </w:sdtContent>
              </w:sdt>
              <w:r>
                <w:rPr>
                  <w:color w:val="000000"/>
                  <w:szCs w:val="24"/>
                </w:rPr>
                <w:t>.</w:t>
                <w:tab/>
                <w:t>Nurodyti, kad šis sprendimas gali būti skundžiamas Utenos rajono savivaldybės tarybai (Utenio a. 4, 28503 Utena) Lietuvos Respublikos viešojo administravimo įstatymo nustatyta tvarka arba Lietuvos administracinių ginčų komisijos Panevėžio apygardos skyriui (Respublikos g. 62, 35158 Panevėžys) Lietuvos Respublikos ikiteisminio administracinių ginčų nagrinėjimo tvarkos įstatymo nustatyta tvarka arba Regionų apygardos administracinio teismo Panevėžio rūmams (Respublikos g. 62, 35158 Panevėžys) Lietuvos Respublikos administracinių bylų teisenos įstatymo nustatyta tvarka per vieną mėnesį nuo jo paskelbimo arba įteikimo suinteresuotai šaliai dienos.</w:t>
              </w:r>
            </w:p>
            <w:p>
              <w:pPr>
                <w:jc w:val="both"/>
                <w:rPr>
                  <w:szCs w:val="24"/>
                </w:rPr>
              </w:pPr>
            </w:p>
            <w:p>
              <w:pPr>
                <w:jc w:val="both"/>
                <w:rPr>
                  <w:szCs w:val="24"/>
                </w:rPr>
              </w:pPr>
            </w:p>
            <w:p>
              <w:pPr>
                <w:jc w:val="both"/>
                <w:rPr>
                  <w:szCs w:val="24"/>
                </w:rPr>
              </w:pPr>
              <w:r>
                <w:rPr>
                  <w:szCs w:val="24"/>
                </w:rPr>
                <w:t>Savivaldybės meras</w:t>
              </w:r>
              <w:r>
                <w:rPr>
                  <w:sz w:val="22"/>
                  <w:szCs w:val="22"/>
                </w:rPr>
                <w:tab/>
                <w:tab/>
                <w:tab/>
              </w:r>
            </w:p>
            <w:p>
              <w:pPr>
                <w:jc w:val="both"/>
                <w:rPr>
                  <w:szCs w:val="24"/>
                </w:rPr>
              </w:pPr>
            </w:p>
            <w:p>
              <w:pPr>
                <w:spacing w:line="259" w:lineRule="auto"/>
                <w:rPr>
                  <w:sz w:val="22"/>
                  <w:szCs w:val="22"/>
                </w:rPr>
              </w:pPr>
              <w:r>
                <w:rPr>
                  <w:sz w:val="22"/>
                  <w:szCs w:val="22"/>
                </w:rPr>
                <w:br w:type="page"/>
              </w:r>
            </w:p>
            <w:p>
              <w:pPr>
                <w:rPr>
                  <w:sz w:val="14"/>
                  <w:szCs w:val="14"/>
                </w:rPr>
              </w:pPr>
            </w:p>
          </w:sdtContent>
        </w:sdt>
        <w:sdt>
          <w:sdtPr>
            <w:alias w:val="skirsnis"/>
            <w:tag w:val="part_3614cf2b8fdf4b8dbf40bb54a728057c"/>
            <w:lock w:val="sdtLocked"/>
            <w:richText/>
          </w:sdtPr>
          <w:sdtContent>
            <w:sdt>
              <w:sdtPr>
                <w:alias w:val="Pavadinimas"/>
                <w:tag w:val="title_3614cf2b8fdf4b8dbf40bb54a728057c"/>
                <w:lock w:val="sdtLocked"/>
                <w:richText/>
              </w:sdtPr>
              <w:sdtContent>
                <w:p>
                  <w:pPr>
                    <w:jc w:val="center"/>
                    <w:rPr>
                      <w:szCs w:val="24"/>
                    </w:rPr>
                  </w:pPr>
                  <w:r>
                    <w:rPr>
                      <w:b/>
                      <w:bCs/>
                      <w:szCs w:val="24"/>
                    </w:rPr>
                    <w:t>SPRENDIMO PROJEKTO</w:t>
                  </w:r>
                </w:p>
                <w:p>
                  <w:pPr>
                    <w:jc w:val="center"/>
                    <w:rPr>
                      <w:szCs w:val="24"/>
                    </w:rPr>
                  </w:pPr>
                  <w:r>
                    <w:rPr>
                      <w:b/>
                      <w:bCs/>
                      <w:szCs w:val="24"/>
                    </w:rPr>
                    <w:t xml:space="preserve">DĖL </w:t>
                  </w:r>
                  <w:r>
                    <w:rPr>
                      <w:b/>
                      <w:bCs/>
                      <w:caps/>
                      <w:color w:val="000000"/>
                      <w:szCs w:val="24"/>
                    </w:rPr>
                    <w:t>VALSTYBĖS TURTO PERĖMIMO UTENOS RAJONO</w:t>
                  </w:r>
                  <w:r>
                    <w:rPr>
                      <w:b/>
                      <w:bCs/>
                      <w:szCs w:val="24"/>
                    </w:rPr>
                    <w:t xml:space="preserve"> SAVIVALDYBĖS NUOSAVYBĖN</w:t>
                  </w:r>
                </w:p>
              </w:sdtContent>
            </w:sdt>
            <w:p>
              <w:pPr>
                <w:jc w:val="center"/>
                <w:rPr>
                  <w:szCs w:val="24"/>
                </w:rPr>
              </w:pPr>
            </w:p>
          </w:sdtContent>
        </w:sdt>
        <w:sdt>
          <w:sdtPr>
            <w:alias w:val="skirsnis"/>
            <w:tag w:val="part_3e56588c5a9d4453b3285434a094b20e"/>
            <w:lock w:val="sdtLocked"/>
            <w:richText/>
          </w:sdtPr>
          <w:sdtContent>
            <w:p>
              <w:pPr>
                <w:jc w:val="center"/>
                <w:rPr>
                  <w:szCs w:val="24"/>
                </w:rPr>
              </w:pPr>
              <w:sdt>
                <w:sdtPr>
                  <w:alias w:val="Pavadinimas"/>
                  <w:tag w:val="title_3e56588c5a9d4453b3285434a094b20e"/>
                  <w:lock w:val="sdtLocked"/>
                  <w:richText/>
                </w:sdtPr>
                <w:sdtContent>
                  <w:r>
                    <w:rPr>
                      <w:b/>
                      <w:bCs/>
                      <w:szCs w:val="24"/>
                    </w:rPr>
                    <w:t>AIŠKINAMASIS RAŠTAS</w:t>
                  </w:r>
                </w:sdtContent>
              </w:sdt>
            </w:p>
            <w:p>
              <w:pPr>
                <w:ind w:firstLine="900"/>
                <w:jc w:val="center"/>
                <w:rPr>
                  <w:szCs w:val="24"/>
                </w:rPr>
              </w:pPr>
            </w:p>
            <w:sdt>
              <w:sdtPr>
                <w:alias w:val="1 p."/>
                <w:tag w:val="part_6d76c9c7dc0a43c38101b07c203e28ca"/>
                <w:lock w:val="sdtLocked"/>
                <w:richText/>
              </w:sdtPr>
              <w:sdtContent>
                <w:p>
                  <w:pPr>
                    <w:tabs>
                      <w:tab w:val="left" w:pos="1134"/>
                    </w:tabs>
                    <w:spacing w:line="256" w:lineRule="auto"/>
                    <w:ind w:firstLine="900"/>
                    <w:jc w:val="both"/>
                    <w:rPr>
                      <w:szCs w:val="24"/>
                    </w:rPr>
                  </w:pPr>
                  <w:sdt>
                    <w:sdtPr>
                      <w:alias w:val="Numeris"/>
                      <w:tag w:val="nr_6d76c9c7dc0a43c38101b07c203e28ca"/>
                      <w:lock w:val="sdtLocked"/>
                      <w:richText/>
                    </w:sdtPr>
                    <w:sdtContent>
                      <w:r>
                        <w:rPr>
                          <w:b/>
                          <w:bCs/>
                          <w:szCs w:val="24"/>
                        </w:rPr>
                        <w:t>1</w:t>
                      </w:r>
                    </w:sdtContent>
                  </w:sdt>
                  <w:r>
                    <w:rPr>
                      <w:b/>
                      <w:bCs/>
                      <w:szCs w:val="24"/>
                    </w:rPr>
                    <w:t>.</w:t>
                    <w:tab/>
                    <w:t>Sprendimo projekto tikslai ir uždaviniai:</w:t>
                  </w:r>
                </w:p>
                <w:p>
                  <w:pPr>
                    <w:ind w:firstLine="900"/>
                    <w:jc w:val="both"/>
                    <w:rPr>
                      <w:szCs w:val="24"/>
                    </w:rPr>
                  </w:pPr>
                  <w:r>
                    <w:rPr>
                      <w:szCs w:val="24"/>
                    </w:rPr>
                    <w:t>Vietinės reikšmės viešieji keliai yra faktiškai valdomas ir Utenos rajono savivaldybės apskaitoje apskaitomas valstybės turtas. Lietuvos Respublikos valstybės turto perėmimo savivaldybių nuosavybėn įstatymo 3 straipsnio 1 dalyje nurodytas turtas (kuris faktiškai buvo savivaldybių teritorijoje iki 1998 metų ir nebuvo perimtas savivaldybių nuosavybėn, tačiau faktiškai valdomas ir apskaitomas buhalterinėje apskaitoje) Savivaldybės nuosavybėn perduodamas Savivaldybės tarybos sprendimu.</w:t>
                  </w:r>
                </w:p>
                <w:p>
                  <w:pPr>
                    <w:ind w:firstLine="900"/>
                    <w:jc w:val="both"/>
                    <w:rPr>
                      <w:szCs w:val="24"/>
                    </w:rPr>
                  </w:pPr>
                  <w:r>
                    <w:rPr>
                      <w:szCs w:val="24"/>
                    </w:rPr>
                    <w:t>Šio sprendimo projekto tikslas – perimti Utenos rajono savivaldybės nuosavybėn faktiškai valdomą valstybės nekilnojamąjį turtą (vietinės reikšmės kelią) – privažiavimo kelią (atkarpa tarp Pievų g. ir J. Basanavičiaus g. 110B, ilgis (km) - 0,441), esantį Utenos m., Utenos r. sav., kurio unikalus Nr. 4400-5354-1765, ir įregistruoti daiktines teises į šį turtą Nekilnojamojo turto registre.</w:t>
                  </w:r>
                </w:p>
              </w:sdtContent>
            </w:sdt>
            <w:sdt>
              <w:sdtPr>
                <w:alias w:val="2 p."/>
                <w:tag w:val="part_4ee0c460a301403a841852451c61cdb1"/>
                <w:lock w:val="sdtLocked"/>
                <w:richText/>
              </w:sdtPr>
              <w:sdtContent>
                <w:p>
                  <w:pPr>
                    <w:tabs>
                      <w:tab w:val="left" w:pos="1134"/>
                    </w:tabs>
                    <w:spacing w:line="256" w:lineRule="auto"/>
                    <w:ind w:firstLine="900"/>
                    <w:jc w:val="both"/>
                    <w:rPr>
                      <w:szCs w:val="24"/>
                    </w:rPr>
                  </w:pPr>
                  <w:sdt>
                    <w:sdtPr>
                      <w:alias w:val="Numeris"/>
                      <w:tag w:val="nr_4ee0c460a301403a841852451c61cdb1"/>
                      <w:lock w:val="sdtLocked"/>
                      <w:richText/>
                    </w:sdtPr>
                    <w:sdtContent>
                      <w:r>
                        <w:rPr>
                          <w:b/>
                          <w:bCs/>
                          <w:szCs w:val="24"/>
                        </w:rPr>
                        <w:t>2</w:t>
                      </w:r>
                    </w:sdtContent>
                  </w:sdt>
                  <w:r>
                    <w:rPr>
                      <w:b/>
                      <w:bCs/>
                      <w:szCs w:val="24"/>
                    </w:rPr>
                    <w:t>. Siūlomos teisinio reguliavimo nuostatos ir kokių rezultatų laukiama:</w:t>
                  </w:r>
                </w:p>
                <w:p>
                  <w:pPr>
                    <w:widowControl w:val="0"/>
                    <w:ind w:firstLine="900"/>
                    <w:jc w:val="both"/>
                    <w:rPr>
                      <w:szCs w:val="24"/>
                    </w:rPr>
                  </w:pPr>
                  <w:r>
                    <w:rPr>
                      <w:szCs w:val="24"/>
                    </w:rPr>
                    <w:t xml:space="preserve">Vadovaujantis Lietuvos Respublikos valstybės turto perdavimo savivaldybių nuosavybėn įstatymo (toliau – Įstatymas) 4 straipsnio 2 dalimi, </w:t>
                  </w:r>
                  <w:r>
                    <w:rPr>
                      <w:color w:val="000000"/>
                      <w:szCs w:val="24"/>
                    </w:rPr>
                    <w:t>priimtas savivaldybės</w:t>
                  </w:r>
                  <w:r>
                    <w:rPr>
                      <w:color w:val="000000"/>
                      <w:sz w:val="22"/>
                      <w:szCs w:val="22"/>
                    </w:rPr>
                    <w:t xml:space="preserve"> </w:t>
                  </w:r>
                  <w:r>
                    <w:rPr>
                      <w:szCs w:val="24"/>
                    </w:rPr>
                    <w:t>tarybos sprendimas yra teisinis pagrindas teisės aktų nustatyta tvarka įregistruoti savivaldybės nuosavybės teises į pagal Įstatymą savivaldybių nuosavybėn priskirtą valstybės nekilnojamąjį turtą, t. y. privažiavimo kelią (atkarpa tarp Pievų g. ir J. Basanavičiaus g. 110B), esantį Utenos m., Utenos r. sav., kurio unikalus Nr. 4400-5354-1765, Nekilnojamojo turto registre.</w:t>
                  </w:r>
                </w:p>
              </w:sdtContent>
            </w:sdt>
            <w:sdt>
              <w:sdtPr>
                <w:alias w:val="3 p."/>
                <w:tag w:val="part_b6273bf7cde4477d807ea18a10cc0081"/>
                <w:lock w:val="sdtLocked"/>
                <w:richText/>
              </w:sdtPr>
              <w:sdtContent>
                <w:p>
                  <w:pPr>
                    <w:tabs>
                      <w:tab w:val="left" w:pos="1134"/>
                    </w:tabs>
                    <w:ind w:firstLine="900"/>
                    <w:jc w:val="both"/>
                    <w:rPr>
                      <w:szCs w:val="24"/>
                    </w:rPr>
                  </w:pPr>
                  <w:sdt>
                    <w:sdtPr>
                      <w:alias w:val="Numeris"/>
                      <w:tag w:val="nr_b6273bf7cde4477d807ea18a10cc0081"/>
                      <w:lock w:val="sdtLocked"/>
                      <w:richText/>
                    </w:sdtPr>
                    <w:sdtContent>
                      <w:r>
                        <w:rPr>
                          <w:b/>
                          <w:bCs/>
                          <w:szCs w:val="24"/>
                        </w:rPr>
                        <w:t>3</w:t>
                      </w:r>
                    </w:sdtContent>
                  </w:sdt>
                  <w:r>
                    <w:rPr>
                      <w:b/>
                      <w:bCs/>
                      <w:szCs w:val="24"/>
                    </w:rPr>
                    <w:t xml:space="preserve">. Lėšų poreikis ir šaltiniai: </w:t>
                  </w:r>
                  <w:r>
                    <w:rPr>
                      <w:szCs w:val="24"/>
                    </w:rPr>
                    <w:t>Nėra.</w:t>
                  </w:r>
                </w:p>
              </w:sdtContent>
            </w:sdt>
            <w:sdt>
              <w:sdtPr>
                <w:alias w:val="4 p."/>
                <w:tag w:val="part_3dca07949a154a168c09f3a06b2d0421"/>
                <w:lock w:val="sdtLocked"/>
                <w:richText/>
              </w:sdtPr>
              <w:sdtContent>
                <w:p>
                  <w:pPr>
                    <w:tabs>
                      <w:tab w:val="left" w:pos="1134"/>
                    </w:tabs>
                    <w:ind w:firstLine="900"/>
                    <w:jc w:val="both"/>
                    <w:rPr>
                      <w:szCs w:val="24"/>
                    </w:rPr>
                  </w:pPr>
                  <w:sdt>
                    <w:sdtPr>
                      <w:alias w:val="Numeris"/>
                      <w:tag w:val="nr_3dca07949a154a168c09f3a06b2d0421"/>
                      <w:lock w:val="sdtLocked"/>
                      <w:richText/>
                    </w:sdtPr>
                    <w:sdtContent>
                      <w:r>
                        <w:rPr>
                          <w:b/>
                          <w:bCs/>
                          <w:szCs w:val="24"/>
                        </w:rPr>
                        <w:t>4</w:t>
                      </w:r>
                    </w:sdtContent>
                  </w:sdt>
                  <w:r>
                    <w:rPr>
                      <w:b/>
                      <w:bCs/>
                      <w:szCs w:val="24"/>
                    </w:rPr>
                    <w:t>. Administracinės naštos asmenims ir ūkio subjektams vertinimas (tik norminio pobūdžio projektams):</w:t>
                  </w:r>
                </w:p>
                <w:sdt>
                  <w:sdtPr>
                    <w:alias w:val="4.1 pp."/>
                    <w:tag w:val="part_6741ac1f0c92467e970042f9d3644406"/>
                    <w:lock w:val="sdtLocked"/>
                    <w:richText/>
                  </w:sdtPr>
                  <w:sdtContent>
                    <w:p>
                      <w:pPr>
                        <w:tabs>
                          <w:tab w:val="left" w:pos="1276"/>
                        </w:tabs>
                        <w:ind w:firstLine="900"/>
                        <w:jc w:val="both"/>
                        <w:rPr>
                          <w:szCs w:val="24"/>
                        </w:rPr>
                      </w:pPr>
                      <w:sdt>
                        <w:sdtPr>
                          <w:alias w:val="Numeris"/>
                          <w:tag w:val="nr_6741ac1f0c92467e970042f9d3644406"/>
                          <w:lock w:val="sdtLocked"/>
                          <w:richText/>
                        </w:sdtPr>
                        <w:sdtContent>
                          <w:r>
                            <w:rPr>
                              <w:b/>
                              <w:bCs/>
                              <w:szCs w:val="24"/>
                            </w:rPr>
                            <w:t>4.1</w:t>
                          </w:r>
                        </w:sdtContent>
                      </w:sdt>
                      <w:r>
                        <w:rPr>
                          <w:b/>
                          <w:bCs/>
                          <w:szCs w:val="24"/>
                        </w:rPr>
                        <w:t xml:space="preserve">. Ar projekte numatomi papildomi informaciniai įpareigojimai asmenims ar ūkio subjektams? Nurodykite numatomą jų poveikį. </w:t>
                      </w:r>
                      <w:r>
                        <w:rPr>
                          <w:szCs w:val="24"/>
                        </w:rPr>
                        <w:t>Nevertinama</w:t>
                      </w:r>
                    </w:p>
                  </w:sdtContent>
                </w:sdt>
                <w:sdt>
                  <w:sdtPr>
                    <w:alias w:val="4.2 pp."/>
                    <w:tag w:val="part_94e9faed1ac04b5aa4d81e2114c3f4d6"/>
                    <w:lock w:val="sdtLocked"/>
                    <w:richText/>
                  </w:sdtPr>
                  <w:sdtContent>
                    <w:p>
                      <w:pPr>
                        <w:tabs>
                          <w:tab w:val="left" w:pos="1276"/>
                        </w:tabs>
                        <w:ind w:firstLine="900"/>
                        <w:jc w:val="both"/>
                        <w:rPr>
                          <w:szCs w:val="24"/>
                        </w:rPr>
                      </w:pPr>
                      <w:sdt>
                        <w:sdtPr>
                          <w:alias w:val="Numeris"/>
                          <w:tag w:val="nr_94e9faed1ac04b5aa4d81e2114c3f4d6"/>
                          <w:lock w:val="sdtLocked"/>
                          <w:richText/>
                        </w:sdtPr>
                        <w:sdtContent>
                          <w:r>
                            <w:rPr>
                              <w:b/>
                              <w:bCs/>
                              <w:szCs w:val="24"/>
                            </w:rPr>
                            <w:t>4.2</w:t>
                          </w:r>
                        </w:sdtContent>
                      </w:sdt>
                      <w:r>
                        <w:rPr>
                          <w:b/>
                          <w:bCs/>
                          <w:szCs w:val="24"/>
                        </w:rPr>
                        <w:t xml:space="preserve">. Ar projekte numatant papildomus informacinius įpareigojimus vieniems subjektams, jie mažės kitiems? Nurodykite numatomą poveikį. </w:t>
                      </w:r>
                      <w:r>
                        <w:rPr>
                          <w:szCs w:val="24"/>
                        </w:rPr>
                        <w:t>Nevertinama</w:t>
                      </w:r>
                    </w:p>
                  </w:sdtContent>
                </w:sdt>
                <w:sdt>
                  <w:sdtPr>
                    <w:alias w:val="4.3 pp."/>
                    <w:tag w:val="part_7f2eb002f8a348d9bb21afe6dcd05c32"/>
                    <w:lock w:val="sdtLocked"/>
                    <w:richText/>
                  </w:sdtPr>
                  <w:sdtContent>
                    <w:p>
                      <w:pPr>
                        <w:tabs>
                          <w:tab w:val="left" w:pos="1134"/>
                        </w:tabs>
                        <w:ind w:firstLine="900"/>
                        <w:jc w:val="both"/>
                        <w:rPr>
                          <w:szCs w:val="24"/>
                        </w:rPr>
                      </w:pPr>
                      <w:sdt>
                        <w:sdtPr>
                          <w:alias w:val="Numeris"/>
                          <w:tag w:val="nr_7f2eb002f8a348d9bb21afe6dcd05c32"/>
                          <w:lock w:val="sdtLocked"/>
                          <w:richText/>
                        </w:sdtPr>
                        <w:sdtContent>
                          <w:r>
                            <w:rPr>
                              <w:b/>
                              <w:bCs/>
                              <w:szCs w:val="24"/>
                            </w:rPr>
                            <w:t>4.3</w:t>
                          </w:r>
                        </w:sdtContent>
                      </w:sdt>
                      <w:r>
                        <w:rPr>
                          <w:b/>
                          <w:bCs/>
                          <w:szCs w:val="24"/>
                        </w:rPr>
                        <w:t xml:space="preserve">. Ar projektu numatoma atsisakyti informacinių įpareigojimų asmenims ar ūkio subjektams? Nurodykite numatomą jų poveikį. </w:t>
                      </w:r>
                      <w:r>
                        <w:rPr>
                          <w:szCs w:val="24"/>
                        </w:rPr>
                        <w:t>Nevertinama</w:t>
                      </w:r>
                    </w:p>
                  </w:sdtContent>
                </w:sdt>
              </w:sdtContent>
            </w:sdt>
            <w:sdt>
              <w:sdtPr>
                <w:alias w:val="5 p."/>
                <w:tag w:val="part_ff66be67c46443878f6d7fc63f9d7fcd"/>
                <w:lock w:val="sdtLocked"/>
                <w:richText/>
              </w:sdtPr>
              <w:sdtContent>
                <w:p>
                  <w:pPr>
                    <w:tabs>
                      <w:tab w:val="left" w:pos="1134"/>
                    </w:tabs>
                    <w:spacing w:line="256" w:lineRule="auto"/>
                    <w:ind w:firstLine="900"/>
                    <w:jc w:val="both"/>
                    <w:rPr>
                      <w:szCs w:val="24"/>
                    </w:rPr>
                  </w:pPr>
                  <w:sdt>
                    <w:sdtPr>
                      <w:alias w:val="Numeris"/>
                      <w:tag w:val="nr_ff66be67c46443878f6d7fc63f9d7fcd"/>
                      <w:lock w:val="sdtLocked"/>
                      <w:richText/>
                    </w:sdtPr>
                    <w:sdtContent>
                      <w:r>
                        <w:rPr>
                          <w:b/>
                          <w:bCs/>
                          <w:szCs w:val="24"/>
                        </w:rPr>
                        <w:t>5</w:t>
                      </w:r>
                    </w:sdtContent>
                  </w:sdt>
                  <w:r>
                    <w:rPr>
                      <w:b/>
                      <w:bCs/>
                      <w:szCs w:val="24"/>
                    </w:rPr>
                    <w:t xml:space="preserve">. Sprendimui priimti reikalingi pagrindimai, skaičiavimai ar paaiškinimai: </w:t>
                  </w:r>
                  <w:r>
                    <w:rPr>
                      <w:szCs w:val="24"/>
                    </w:rPr>
                    <w:t>Nėra.</w:t>
                  </w:r>
                </w:p>
              </w:sdtContent>
            </w:sdt>
            <w:sdt>
              <w:sdtPr>
                <w:alias w:val="6 p."/>
                <w:tag w:val="part_3d21e4cfc6fe42b68afee13d6f688ca2"/>
                <w:lock w:val="sdtLocked"/>
                <w:richText/>
              </w:sdtPr>
              <w:sdtContent>
                <w:p>
                  <w:pPr>
                    <w:tabs>
                      <w:tab w:val="left" w:pos="1134"/>
                    </w:tabs>
                    <w:spacing w:line="256" w:lineRule="auto"/>
                    <w:ind w:firstLine="900"/>
                    <w:jc w:val="both"/>
                    <w:rPr>
                      <w:szCs w:val="24"/>
                    </w:rPr>
                  </w:pPr>
                  <w:sdt>
                    <w:sdtPr>
                      <w:alias w:val="Numeris"/>
                      <w:tag w:val="nr_3d21e4cfc6fe42b68afee13d6f688ca2"/>
                      <w:lock w:val="sdtLocked"/>
                      <w:richText/>
                    </w:sdtPr>
                    <w:sdtContent>
                      <w:r>
                        <w:rPr>
                          <w:b/>
                          <w:bCs/>
                          <w:szCs w:val="24"/>
                        </w:rPr>
                        <w:t>6</w:t>
                      </w:r>
                    </w:sdtContent>
                  </w:sdt>
                  <w:r>
                    <w:rPr>
                      <w:b/>
                      <w:bCs/>
                      <w:szCs w:val="24"/>
                    </w:rPr>
                    <w:t>. Sprendimo projekto rengėjas:</w:t>
                  </w:r>
                </w:p>
                <w:p>
                  <w:pPr>
                    <w:tabs>
                      <w:tab w:val="left" w:pos="1134"/>
                    </w:tabs>
                    <w:ind w:firstLine="900"/>
                    <w:jc w:val="both"/>
                    <w:rPr>
                      <w:szCs w:val="24"/>
                    </w:rPr>
                  </w:pPr>
                  <w:r>
                    <w:rPr>
                      <w:szCs w:val="24"/>
                    </w:rPr>
                    <w:t xml:space="preserve">Turto valdymo skyriaus vyr. specialistė Laura Gimžauskienė, tel. 8 389 64031, el. p. </w:t>
                  </w:r>
                  <w:r>
                    <w:rPr>
                      <w:color w:val="000000"/>
                      <w:szCs w:val="24"/>
                    </w:rPr>
                    <w:t>laura.gimzauskiene.turtas</w:t>
                  </w:r>
                  <w:r>
                    <w:rPr>
                      <w:color w:val="000000"/>
                      <w:szCs w:val="24"/>
                    </w:rPr>
                    <w:t>@utena.lt</w:t>
                  </w:r>
                </w:p>
                <w:p>
                  <w:pPr>
                    <w:tabs>
                      <w:tab w:val="left" w:pos="1134"/>
                    </w:tabs>
                    <w:ind w:firstLine="900"/>
                    <w:jc w:val="both"/>
                    <w:rPr>
                      <w:szCs w:val="24"/>
                    </w:rPr>
                  </w:pPr>
                </w:p>
                <w:p>
                  <w:pPr>
                    <w:tabs>
                      <w:tab w:val="left" w:pos="1134"/>
                    </w:tabs>
                    <w:ind w:firstLine="900"/>
                    <w:jc w:val="both"/>
                    <w:rPr>
                      <w:szCs w:val="24"/>
                    </w:rPr>
                  </w:pPr>
                </w:p>
                <w:p>
                  <w:pPr>
                    <w:tabs>
                      <w:tab w:val="left" w:pos="1134"/>
                    </w:tabs>
                    <w:ind w:firstLine="900"/>
                    <w:jc w:val="both"/>
                    <w:rPr>
                      <w:szCs w:val="24"/>
                    </w:rPr>
                  </w:pPr>
                </w:p>
              </w:sdtContent>
            </w:sdt>
          </w:sdtContent>
        </w:sdt>
        <w:sdt>
          <w:sdtPr>
            <w:alias w:val="signatura"/>
            <w:tag w:val="part_f75c855cf4d249679db96f7c64374b5a"/>
            <w:lock w:val="sdtLocked"/>
            <w:richText/>
          </w:sdtPr>
          <w:sdtContent>
            <w:p>
              <w:pPr>
                <w:tabs>
                  <w:tab w:val="left" w:pos="1134"/>
                  <w:tab w:val="left" w:pos="7371"/>
                </w:tabs>
                <w:jc w:val="both"/>
                <w:rPr>
                  <w:szCs w:val="24"/>
                </w:rPr>
              </w:pPr>
              <w:r>
                <w:rPr>
                  <w:szCs w:val="24"/>
                </w:rPr>
                <w:t xml:space="preserve">Turto valdymo skyriaus vyr. specialistė </w:t>
              </w:r>
              <w:r>
                <w:rPr>
                  <w:sz w:val="22"/>
                  <w:szCs w:val="22"/>
                </w:rPr>
                <w:tab/>
              </w:r>
              <w:r>
                <w:rPr>
                  <w:szCs w:val="24"/>
                </w:rPr>
                <w:t>Laura Gimžauskienė</w:t>
              </w: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4A0F7CF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1B66F3C-D1AF-4F15-BDD3-F4201E83429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d248adaf95d4d659b83581fd4ae7ae7" PartId="a00329760d634b54aba72cb2ae2e8609">
    <Part Type="preambule" DocPartId="440d8c54256c481ab065787ec8afa17f" PartId="829582c0f27d4096b2c6425ca08a308d"/>
    <Part Type="punktas" Nr="1" Abbr="1 p." DocPartId="129ee252e39443fbbc213e7e754ea2e2" PartId="2f1826e45bd449339ca1aef69601baf0"/>
    <Part Type="punktas" Nr="2" Abbr="2 p." DocPartId="0c6a2d01f2af44f5860c5bd61059a119" PartId="beb2eed7e30e4eb0ad983384d1687591"/>
    <Part Type="skirsnis" Title="SPRENDIMO PROJEKTO DĖL VALSTYBĖS TURTO PERĖMIMO UTENOS RAJONO SAVIVALDYBĖS NUOSAVYBĖN" DocPartId="1b10512cd6e2450c80a1b36d617220a5" PartId="3614cf2b8fdf4b8dbf40bb54a728057c"/>
    <Part Type="skirsnis" Title="AIŠKINAMASIS RAŠTAS" DocPartId="846ad8f3d8f345d3a59824122b225be4" PartId="3e56588c5a9d4453b3285434a094b20e">
      <Part Type="punktas" Nr="1" Abbr="1 p." DocPartId="553c3972df2b43d9a3fbb86addfcb833" PartId="6d76c9c7dc0a43c38101b07c203e28ca"/>
      <Part Type="punktas" Nr="2" Abbr="2 p." DocPartId="6f21afdb813d403dbd0cb6610483bd56" PartId="4ee0c460a301403a841852451c61cdb1"/>
      <Part Type="punktas" Nr="3" Abbr="3 p." DocPartId="dff37256bbd74c0b9360a637cd5ecd1b" PartId="b6273bf7cde4477d807ea18a10cc0081"/>
      <Part Type="punktas" Nr="4" Abbr="4 p." DocPartId="5f6e2b01ed9d4ffb8302fac336f86364" PartId="3dca07949a154a168c09f3a06b2d0421">
        <Part Type="papunktis" Nr="4.1" Abbr="4.1 pp." DocPartId="809d15d7e8044ccebfac9aa1a45f6d97" PartId="6741ac1f0c92467e970042f9d3644406"/>
        <Part Type="papunktis" Nr="4.2" Abbr="4.2 pp." DocPartId="3fdcf9dfefa64f9da3aa067255b70f19" PartId="94e9faed1ac04b5aa4d81e2114c3f4d6"/>
        <Part Type="papunktis" Nr="4.3" Abbr="4.3 pp." DocPartId="2d39c497d0e743a49016efbd4c06d386" PartId="7f2eb002f8a348d9bb21afe6dcd05c32"/>
      </Part>
      <Part Type="punktas" Nr="5" Abbr="5 p." DocPartId="46fabcb5477f4b53b0fdcfc7870236af" PartId="ff66be67c46443878f6d7fc63f9d7fcd"/>
      <Part Type="punktas" Nr="6" Abbr="6 p." DocPartId="c90d97abbc5145f2a826558801e47356" PartId="3d21e4cfc6fe42b68afee13d6f688ca2"/>
    </Part>
    <Part Type="signatura" DocPartId="dce720d85393406ea3b962be29189374" PartId="f75c855cf4d249679db96f7c64374b5a"/>
  </Part>
</Parts>
</file>

<file path=customXml/itemProps1.xml><?xml version="1.0" encoding="utf-8"?>
<ds:datastoreItem xmlns:ds="http://schemas.openxmlformats.org/officeDocument/2006/customXml" ds:itemID="{E2AA51C7-D66A-46DE-8387-FB3313C166B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516</Words>
  <Characters>3631</Characters>
  <Application>Microsoft Office Word</Application>
  <DocSecurity>4</DocSecurity>
  <Lines>75</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4116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2023-11-20T07:05:00Z</dcterms:created>
  <dc:creator>Laura Gimžauskienė Turtas</dc:creator>
  <lastModifiedBy>adlibuser</lastModifiedBy>
  <dcterms:modified xsi:type="dcterms:W3CDTF">2023-11-20T07:05:00Z</dcterms:modified>
  <revision>2</revision>
</coreProperties>
</file>