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2259c8e8b854accb577247a0b58e19c"/>
        <w:lock w:val="sdtLocked"/>
        <w:richText/>
      </w:sdtPr>
      <w:sdtContent>
        <w:p w14:paraId="0AAA6476" w14:textId="77777777">
          <w:pPr>
            <w:suppressLineNumbers/>
            <w:tabs>
              <w:tab w:val="center" w:pos="5385"/>
              <w:tab w:val="right" w:pos="10771"/>
            </w:tabs>
            <w:suppressAutoHyphens/>
            <w:rPr>
              <w:lang w:eastAsia="ar-SA"/>
            </w:rPr>
          </w:pPr>
        </w:p>
        <w:p w14:paraId="36FC2327" w14:textId="77777777">
          <w:pPr>
            <w:suppressLineNumbers/>
            <w:tabs>
              <w:tab w:val="left" w:pos="9356"/>
              <w:tab w:val="right" w:pos="10771"/>
            </w:tabs>
            <w:suppressAutoHyphens/>
            <w:ind w:right="-3" w:firstLine="7938"/>
            <w:jc w:val="both"/>
            <w:rPr>
              <w:b/>
              <w:bCs/>
              <w:shd w:val="clear" w:color="auto" w:fill="FFFFFF"/>
              <w:lang w:eastAsia="ar-SA"/>
            </w:rPr>
          </w:pPr>
        </w:p>
        <w:p w14:paraId="1B66EACC" w14:textId="3E6B572D">
          <w:pPr>
            <w:suppressLineNumbers/>
            <w:tabs>
              <w:tab w:val="left" w:pos="9356"/>
              <w:tab w:val="right" w:pos="10771"/>
            </w:tabs>
            <w:suppressAutoHyphens/>
            <w:ind w:right="-3" w:firstLine="7938"/>
            <w:jc w:val="both"/>
            <w:rPr>
              <w:b/>
              <w:bCs/>
              <w:shd w:val="clear" w:color="auto" w:fill="FFFFFF"/>
              <w:lang w:eastAsia="ar-SA"/>
            </w:rPr>
          </w:pPr>
          <w:r>
            <w:rPr>
              <w:b/>
              <w:bCs/>
              <w:shd w:val="clear" w:color="auto" w:fill="FFFFFF"/>
              <w:lang w:eastAsia="ar-SA"/>
            </w:rPr>
            <w:t>Projektas</w:t>
          </w:r>
        </w:p>
        <w:p w14:paraId="1B66EACD" w14:textId="77777777">
          <w:pPr>
            <w:tabs>
              <w:tab w:val="center" w:pos="4819"/>
            </w:tabs>
            <w:jc w:val="center"/>
            <w:rPr>
              <w:b/>
              <w:bCs/>
              <w:szCs w:val="24"/>
              <w:lang w:eastAsia="lt-LT"/>
            </w:rPr>
          </w:pPr>
        </w:p>
        <w:p w14:paraId="1B66EACE" w14:textId="30591AB5">
          <w:pPr>
            <w:tabs>
              <w:tab w:val="center" w:pos="4819"/>
            </w:tabs>
            <w:jc w:val="center"/>
            <w:rPr>
              <w:b/>
              <w:bCs/>
              <w:color w:val="000000"/>
              <w:szCs w:val="24"/>
              <w:lang w:eastAsia="lt-LT"/>
            </w:rPr>
          </w:pPr>
          <w:r>
            <w:rPr>
              <w:b/>
              <w:bCs/>
              <w:color w:val="000000"/>
              <w:szCs w:val="24"/>
              <w:lang w:eastAsia="lt-LT"/>
            </w:rPr>
            <w:t>ŠIAULIŲ MIESTO SAVIVALDYBĖS TARYBA</w:t>
          </w:r>
        </w:p>
        <w:p w14:paraId="1B66EACF" w14:textId="77777777">
          <w:pPr>
            <w:suppressAutoHyphens/>
            <w:jc w:val="center"/>
            <w:rPr>
              <w:b/>
              <w:color w:val="000000"/>
              <w:szCs w:val="24"/>
              <w:lang w:eastAsia="ar-SA"/>
            </w:rPr>
          </w:pPr>
        </w:p>
        <w:p w14:paraId="1B66EAD0" w14:textId="77777777">
          <w:pPr>
            <w:suppressAutoHyphens/>
            <w:jc w:val="center"/>
            <w:rPr>
              <w:b/>
              <w:color w:val="000000"/>
              <w:szCs w:val="24"/>
              <w:lang w:eastAsia="ar-SA"/>
            </w:rPr>
          </w:pPr>
          <w:r>
            <w:rPr>
              <w:b/>
              <w:color w:val="000000"/>
              <w:szCs w:val="24"/>
              <w:lang w:eastAsia="ar-SA"/>
            </w:rPr>
            <w:t>SPRENDIMAS</w:t>
          </w:r>
        </w:p>
        <w:p w14:paraId="1B66EAD1" w14:textId="37314E16">
          <w:pPr>
            <w:suppressAutoHyphens/>
            <w:jc w:val="center"/>
            <w:rPr>
              <w:b/>
              <w:color w:val="000000"/>
              <w:szCs w:val="24"/>
              <w:lang w:eastAsia="ar-SA"/>
            </w:rPr>
          </w:pPr>
          <w:r>
            <w:rPr>
              <w:b/>
              <w:color w:val="000000"/>
              <w:szCs w:val="24"/>
              <w:lang w:eastAsia="ar-SA"/>
            </w:rPr>
            <w:t xml:space="preserve">DĖL PRITARIMO INVESTUOTI TURTĄ IR DIDINTI UŽDAROSIOS AKCINĖS BENDROVĖS „ŠIAULIŲ VANDENYS“ ĮSTATINĮ KAPITALĄ </w:t>
          </w:r>
        </w:p>
        <w:p w14:paraId="1B66EAD3" w14:textId="77777777">
          <w:pPr>
            <w:suppressAutoHyphens/>
            <w:jc w:val="center"/>
            <w:rPr>
              <w:color w:val="000000"/>
              <w:szCs w:val="24"/>
              <w:shd w:val="clear" w:color="auto" w:fill="FFFFFF"/>
              <w:lang w:eastAsia="ar-SA"/>
            </w:rPr>
          </w:pPr>
        </w:p>
        <w:p w14:paraId="1B66EAD4" w14:textId="1F1BCED9">
          <w:pPr>
            <w:suppressAutoHyphens/>
            <w:jc w:val="center"/>
            <w:rPr>
              <w:color w:val="000000"/>
              <w:szCs w:val="24"/>
              <w:shd w:val="clear" w:color="auto" w:fill="FFFFFF"/>
              <w:lang w:eastAsia="ar-SA"/>
            </w:rPr>
          </w:pPr>
          <w:r>
            <w:rPr>
              <w:color w:val="000000"/>
              <w:szCs w:val="24"/>
              <w:shd w:val="clear" w:color="auto" w:fill="FFFFFF"/>
              <w:lang w:eastAsia="ar-SA"/>
            </w:rPr>
            <w:t xml:space="preserve">2024 m.                     d. Nr. T-</w:t>
          </w:r>
        </w:p>
        <w:p w14:paraId="1B66EAD5" w14:textId="3EB26203">
          <w:pPr>
            <w:suppressAutoHyphens/>
            <w:jc w:val="center"/>
            <w:rPr>
              <w:color w:val="000000"/>
              <w:szCs w:val="24"/>
              <w:shd w:val="clear" w:color="auto" w:fill="FFFFFF"/>
              <w:lang w:eastAsia="ar-SA"/>
            </w:rPr>
          </w:pPr>
          <w:r>
            <w:rPr>
              <w:color w:val="000000"/>
              <w:szCs w:val="24"/>
              <w:shd w:val="clear" w:color="auto" w:fill="FFFFFF"/>
              <w:lang w:eastAsia="ar-SA"/>
            </w:rPr>
            <w:t>Šiauliai</w:t>
          </w:r>
        </w:p>
        <w:p w14:paraId="5C66D804" w14:textId="77777777">
          <w:pPr>
            <w:suppressAutoHyphens/>
            <w:jc w:val="center"/>
            <w:rPr>
              <w:color w:val="000000"/>
              <w:szCs w:val="24"/>
              <w:u w:val="single"/>
              <w:shd w:val="clear" w:color="auto" w:fill="FFFFFF"/>
              <w:lang w:eastAsia="ar-SA"/>
            </w:rPr>
          </w:pPr>
        </w:p>
        <w:p w14:paraId="1D07BC4B" w14:textId="77777777">
          <w:pPr>
            <w:suppressAutoHyphens/>
            <w:rPr>
              <w:color w:val="000000"/>
              <w:szCs w:val="24"/>
              <w:lang w:eastAsia="ar-SA"/>
            </w:rPr>
          </w:pPr>
        </w:p>
        <w:sdt>
          <w:sdtPr>
            <w:alias w:val="preambule"/>
            <w:tag w:val="part_95f4c0676e8a4951a260ce2416e34f0b"/>
            <w:lock w:val="sdtLocked"/>
            <w:richText/>
          </w:sdtPr>
          <w:sdtContent>
            <w:p w14:paraId="510432DB" w14:textId="7371FE41">
              <w:pPr>
                <w:tabs>
                  <w:tab w:val="left" w:pos="851"/>
                  <w:tab w:val="left" w:pos="1134"/>
                </w:tabs>
                <w:suppressAutoHyphens/>
                <w:ind w:firstLine="720"/>
                <w:jc w:val="both"/>
                <w:rPr>
                  <w:color w:val="000000"/>
                  <w:spacing w:val="40"/>
                  <w:szCs w:val="24"/>
                  <w:lang w:eastAsia="ar-SA"/>
                </w:rPr>
              </w:pPr>
              <w:r>
                <w:rPr>
                  <w:color w:val="000000"/>
                  <w:szCs w:val="24"/>
                  <w:lang w:eastAsia="ar-SA"/>
                </w:rPr>
                <w:t xml:space="preserve">Vadovaudamasi Lietuvos Respublikos vietos savivaldos įstatymo 15 straipsnio 2 dalies 19 punktu ir 63 straipsnio 2 dalimi, </w:t>
              </w:r>
              <w:r>
                <w:rPr>
                  <w:rFonts w:eastAsia="Lucida Sans Unicode"/>
                  <w:color w:val="000000"/>
                  <w:szCs w:val="24"/>
                  <w:lang w:eastAsia="ar-SA"/>
                </w:rPr>
                <w:t>Lietuvos Respublikos akcinių bendrovių įstatymo 20 straipsnio 1 dalies 18 punktu, 45, 45</w:t>
              </w:r>
              <w:r>
                <w:rPr>
                  <w:rFonts w:eastAsia="Lucida Sans Unicode"/>
                  <w:color w:val="000000"/>
                  <w:szCs w:val="24"/>
                  <w:vertAlign w:val="superscript"/>
                  <w:lang w:eastAsia="ar-SA"/>
                </w:rPr>
                <w:t>1</w:t>
              </w:r>
              <w:r>
                <w:rPr>
                  <w:rFonts w:eastAsia="Lucida Sans Unicode"/>
                  <w:color w:val="000000"/>
                  <w:szCs w:val="24"/>
                  <w:vertAlign w:val="subscript"/>
                  <w:lang w:eastAsia="ar-SA"/>
                </w:rPr>
                <w:t>,</w:t>
              </w:r>
              <w:r>
                <w:rPr>
                  <w:rFonts w:eastAsia="Lucida Sans Unicode"/>
                  <w:color w:val="000000"/>
                  <w:szCs w:val="24"/>
                  <w:vertAlign w:val="superscript"/>
                  <w:lang w:eastAsia="ar-SA"/>
                </w:rPr>
                <w:t xml:space="preserve">  </w:t>
              </w:r>
              <w:r>
                <w:rPr>
                  <w:rFonts w:eastAsia="Lucida Sans Unicode"/>
                  <w:color w:val="000000"/>
                  <w:szCs w:val="24"/>
                  <w:lang w:eastAsia="ar-SA"/>
                </w:rPr>
                <w:t xml:space="preserve">49 ir 50 straipsniais, </w:t>
              </w:r>
              <w:r>
                <w:rPr>
                  <w:color w:val="000000"/>
                  <w:szCs w:val="24"/>
                  <w:lang w:eastAsia="ar-SA"/>
                </w:rPr>
                <w:t xml:space="preserve">Lietuvos Respublikos valstybės ir savivaldybių turto valdymo, naudojimo ir disponavimo juo įstatymo 22, 23 straipsniais, Lietuvos Respublikos Vyriausybės 2007 m. liepos 4 d. nutarimu Nr. 758 „Dėl Sprendimo investuoti valstybės ir savivaldybių turtą priėmimo tvarkos aprašo patvirtinimo“, </w:t>
              </w:r>
              <w:r>
                <w:rPr>
                  <w:rFonts w:eastAsia="Lucida Sans Unicode"/>
                  <w:color w:val="000000"/>
                  <w:szCs w:val="24"/>
                  <w:lang w:eastAsia="ar-SA"/>
                </w:rPr>
                <w:t xml:space="preserve">Savivaldybių turtinių ir neturtinių teisių įgyvendinimo savivaldybių valdomose įmonėse ir savivaldybių valdomų įmonių veiklos skaidrumo užtikrinimo tvarkos aprašo, patvirtinto Lietuvos Respublikos Vyriausybės 2007 m. birželio 6 d. nutarimo Nr. 567 „Dėl Savivaldybių turtinių ir neturtinių teisių įgyvendinimo savivaldybių valdomose įmonėse ir savivaldybių valdomų įmonių veiklos skaidrumo užtikrinimo tvarkos aprašo patvirtinimo“ 1 punktu, 4 punktu, Lietuvos Respublikos geriamojo vandens tiekimo ir nuotekų tvarkymo įstatymo 16 straipsnio 5 dalimi, įgyvendindama Šiaulių miesto savivaldybės tarybos 2015 m. gruodžio 28 d. sprendimą Nr. T-356 „Dėl paviršinių nuotekų tvarkytojo paskyrimo“, </w:t>
              </w:r>
              <w:r>
                <w:rPr>
                  <w:color w:val="000000"/>
                  <w:szCs w:val="24"/>
                  <w:lang w:eastAsia="ar-SA"/>
                </w:rPr>
                <w:t xml:space="preserve">atsižvelgdama į uždarosios akcinės bendrovės „Šiaulių vandenys“ raštus: 2023 m. birželio 09 d. Nr. S-1634 „Dėl paviršinių nuotekų tinklų perdavimo UAB „Šiaulių vandenys“ nuosavybėn“, 2023 m. rugpjūčio 21 d. Nr. S-2308 „Dėl paviršinių nuotekų tinklų perdavimo“ ir 2023 m. rugsėjo 06 d. Nr. S-2460 „Dėl Ginkūnų kapinių teritorijoje esančių paviršinių nuotekų tinklų perdavimo“, Šiaulių miesto savivaldybės administracijos Turto valdymo skyriaus 2023 m. gruodžio 07 d. raštą Nr. TRS-1586 „Dėl nuotekų šalinimo tinklų perdavimo UAB „Šiaulių vandenys“ nuosavybėn, didinant nepiniginiu įnašu bendrovės įstatinį kapitalą“, Šiaulių miesto mero 2023 m. gruodžio 22 d. pasiūlymą Nr. S-4729 „Dėl sprendimo investuoti savivaldybės turtą“ ir įvertinusi UAB „Marleksa“ 2023-10-03 Nekilnojamojo turto rinkos vertės nustatymo ataskaitą Nr. 23-09-27/1, kuri </w:t>
              </w:r>
              <w:r>
                <w:rPr>
                  <w:rFonts w:eastAsia="Calibri"/>
                  <w:color w:val="000000"/>
                  <w:szCs w:val="24"/>
                </w:rPr>
                <w:t xml:space="preserve">pateikta Audito, apskaitos, turto vertinimo ir nemokumo valdymo tarnybai prie Lietuvos Respublikos finansų ministerijos ir 2023 m. lapkričio 6 d. viešai paskelbta, </w:t>
              </w:r>
              <w:r>
                <w:rPr>
                  <w:color w:val="000000"/>
                  <w:szCs w:val="24"/>
                  <w:lang w:eastAsia="ar-SA"/>
                </w:rPr>
                <w:t xml:space="preserve">Šiaulių miesto savivaldybės taryba </w:t>
              </w:r>
              <w:r>
                <w:rPr>
                  <w:color w:val="000000"/>
                  <w:spacing w:val="40"/>
                  <w:szCs w:val="24"/>
                  <w:lang w:eastAsia="ar-SA"/>
                </w:rPr>
                <w:t>nusprendžia:</w:t>
              </w:r>
            </w:p>
          </w:sdtContent>
        </w:sdt>
        <w:sdt>
          <w:sdtPr>
            <w:alias w:val="1 p."/>
            <w:tag w:val="part_cb620f6be4c74d4e95a514322834c3de"/>
            <w:lock w:val="sdtLocked"/>
            <w:richText/>
          </w:sdtPr>
          <w:sdtContent>
            <w:p w14:paraId="1461C7C7" w14:textId="2710824F">
              <w:pPr>
                <w:tabs>
                  <w:tab w:val="left" w:pos="993"/>
                  <w:tab w:val="left" w:pos="1418"/>
                </w:tabs>
                <w:suppressAutoHyphens/>
                <w:ind w:firstLine="720"/>
                <w:jc w:val="both"/>
                <w:rPr>
                  <w:color w:val="000000"/>
                  <w:szCs w:val="24"/>
                  <w:lang w:eastAsia="lt-LT"/>
                </w:rPr>
              </w:pPr>
              <w:sdt>
                <w:sdtPr>
                  <w:alias w:val="Numeris"/>
                  <w:tag w:val="nr_cb620f6be4c74d4e95a514322834c3de"/>
                  <w:lock w:val="sdtLocked"/>
                  <w:richText/>
                </w:sdtPr>
                <w:sdtContent>
                  <w:r>
                    <w:rPr>
                      <w:color w:val="000000"/>
                      <w:szCs w:val="24"/>
                      <w:lang w:eastAsia="lt-LT"/>
                    </w:rPr>
                    <w:t>1</w:t>
                  </w:r>
                </w:sdtContent>
              </w:sdt>
              <w:r>
                <w:rPr>
                  <w:color w:val="000000"/>
                  <w:szCs w:val="24"/>
                  <w:lang w:eastAsia="lt-LT"/>
                </w:rPr>
                <w:t>.</w:t>
                <w:tab/>
              </w:r>
              <w:r>
                <w:rPr>
                  <w:color w:val="000000"/>
                  <w:szCs w:val="24"/>
                  <w:lang w:eastAsia="ar-SA"/>
                </w:rPr>
                <w:t>Investuoti ir kaip nepiniginį įnašą perduoti uždarajai akcinei bendrovei „Šiaulių vandenys“ Šiaulių miesto savivaldybei nuosavybės teise priklausantį nekilnojamąjį turtą – paviršinių nuotekų tinklus</w:t>
              </w:r>
              <w:r>
                <w:rPr>
                  <w:color w:val="000000"/>
                  <w:szCs w:val="24"/>
                  <w:shd w:val="clear" w:color="auto" w:fill="FFFFFF"/>
                  <w:lang w:eastAsia="ar-SA"/>
                </w:rPr>
                <w:t xml:space="preserve"> (nepriklausomo turto vertintojo nustatyta turto vertė </w:t>
              </w:r>
              <w:r>
                <w:rPr>
                  <w:color w:val="000000"/>
                  <w:szCs w:val="24"/>
                  <w:lang w:eastAsia="ar-SA"/>
                </w:rPr>
                <w:t xml:space="preserve">– 4 464 000 </w:t>
              </w:r>
              <w:r>
                <w:rPr>
                  <w:color w:val="000000"/>
                  <w:szCs w:val="24"/>
                  <w:shd w:val="clear" w:color="auto" w:fill="FFFFFF"/>
                  <w:lang w:eastAsia="ar-SA"/>
                </w:rPr>
                <w:t xml:space="preserve">Eur), nurodytus šio sprendimo priede, didinant uždarosios akcinės bendrovės „Šiaulių vandenys“ įstatinį kapitalą </w:t>
              </w:r>
              <w:r>
                <w:rPr>
                  <w:color w:val="000000"/>
                  <w:szCs w:val="24"/>
                  <w:lang w:eastAsia="ar-SA"/>
                </w:rPr>
                <w:t>4 463 981,28 Eur (keturiais milijonais keturiais šimtais šešiasdešimt trimis tūkstančiais devyniais šimtais aštuoniasdešimt vienu euru, 28 ct) ir išleidžiant 154 143 (šimtą penkiasdešimt keturis tūkstančius šimtą keturiasdešimt tris) vnt. paprastųjų nematerialiųjų vardinių akcijų, kurių kiekviena – 28,96 Eur (dvidešimt aštuoni Eur 96 ct) nominaliosios vertės, o 18,72 Eur (aštuoniolika eurų 72 ct.) sudarytų akcijų priedą (akcijos nominalios vertės perviršį).</w:t>
              </w:r>
            </w:p>
          </w:sdtContent>
        </w:sdt>
        <w:sdt>
          <w:sdtPr>
            <w:alias w:val="2 p."/>
            <w:tag w:val="part_f81571cf84a44772af7b99c7ea894df8"/>
            <w:lock w:val="sdtLocked"/>
            <w:richText/>
          </w:sdtPr>
          <w:sdtContent>
            <w:p w14:paraId="3BBCF73B" w14:textId="48EE2E0B">
              <w:pPr>
                <w:tabs>
                  <w:tab w:val="left" w:pos="993"/>
                </w:tabs>
                <w:suppressAutoHyphens/>
                <w:ind w:left="1080" w:hanging="360"/>
                <w:rPr>
                  <w:bCs/>
                  <w:iCs/>
                  <w:color w:val="000000"/>
                  <w:szCs w:val="24"/>
                  <w:lang w:eastAsia="ar-SA"/>
                </w:rPr>
              </w:pPr>
              <w:sdt>
                <w:sdtPr>
                  <w:alias w:val="Numeris"/>
                  <w:tag w:val="nr_f81571cf84a44772af7b99c7ea894df8"/>
                  <w:lock w:val="sdtLocked"/>
                  <w:richText/>
                </w:sdtPr>
                <w:sdtContent>
                  <w:r>
                    <w:rPr>
                      <w:bCs/>
                      <w:iCs/>
                      <w:color w:val="000000"/>
                      <w:szCs w:val="24"/>
                      <w:lang w:eastAsia="ar-SA"/>
                    </w:rPr>
                    <w:t>2</w:t>
                  </w:r>
                </w:sdtContent>
              </w:sdt>
              <w:r>
                <w:rPr>
                  <w:bCs/>
                  <w:iCs/>
                  <w:color w:val="000000"/>
                  <w:szCs w:val="24"/>
                  <w:lang w:eastAsia="ar-SA"/>
                </w:rPr>
                <w:t>.</w:t>
                <w:tab/>
                <w:t>Nustatyti, kad:</w:t>
              </w:r>
            </w:p>
            <w:sdt>
              <w:sdtPr>
                <w:alias w:val="2.1 pp."/>
                <w:tag w:val="part_90fa7327b88646a29a298b6bf42063fb"/>
                <w:lock w:val="sdtLocked"/>
                <w:richText/>
              </w:sdtPr>
              <w:sdtContent>
                <w:p w14:paraId="5B656993" w14:textId="77777777">
                  <w:pPr>
                    <w:suppressAutoHyphens/>
                    <w:ind w:left="720"/>
                    <w:rPr>
                      <w:bCs/>
                      <w:iCs/>
                      <w:color w:val="000000"/>
                      <w:szCs w:val="24"/>
                      <w:lang w:eastAsia="ar-SA"/>
                    </w:rPr>
                  </w:pPr>
                  <w:sdt>
                    <w:sdtPr>
                      <w:alias w:val="Numeris"/>
                      <w:tag w:val="nr_90fa7327b88646a29a298b6bf42063fb"/>
                      <w:lock w:val="sdtLocked"/>
                      <w:richText/>
                    </w:sdtPr>
                    <w:sdtContent>
                      <w:r>
                        <w:rPr>
                          <w:bCs/>
                          <w:iCs/>
                          <w:color w:val="000000"/>
                          <w:szCs w:val="24"/>
                          <w:lang w:eastAsia="ar-SA"/>
                        </w:rPr>
                        <w:t>2.1</w:t>
                      </w:r>
                    </w:sdtContent>
                  </w:sdt>
                  <w:r>
                    <w:rPr>
                      <w:bCs/>
                      <w:iCs/>
                      <w:color w:val="000000"/>
                      <w:szCs w:val="24"/>
                      <w:lang w:eastAsia="ar-SA"/>
                    </w:rPr>
                    <w:t>. akcijų emisijos kaina lygi jų nominaliajai vertei;</w:t>
                  </w:r>
                </w:p>
              </w:sdtContent>
            </w:sdt>
            <w:sdt>
              <w:sdtPr>
                <w:alias w:val="2.2 pp."/>
                <w:tag w:val="part_6092bd2c7e594e9db41501818f3eedcd"/>
                <w:lock w:val="sdtLocked"/>
                <w:richText/>
              </w:sdtPr>
              <w:sdtContent>
                <w:p w14:paraId="5C900FC1" w14:textId="77777777">
                  <w:pPr>
                    <w:suppressAutoHyphens/>
                    <w:ind w:firstLine="720"/>
                    <w:rPr>
                      <w:color w:val="000000"/>
                      <w:szCs w:val="24"/>
                      <w:lang w:eastAsia="ar-SA"/>
                    </w:rPr>
                  </w:pPr>
                  <w:sdt>
                    <w:sdtPr>
                      <w:alias w:val="Numeris"/>
                      <w:tag w:val="nr_6092bd2c7e594e9db41501818f3eedcd"/>
                      <w:lock w:val="sdtLocked"/>
                      <w:richText/>
                    </w:sdtPr>
                    <w:sdtContent>
                      <w:r>
                        <w:rPr>
                          <w:bCs/>
                          <w:iCs/>
                          <w:color w:val="000000"/>
                          <w:szCs w:val="24"/>
                          <w:lang w:eastAsia="ar-SA"/>
                        </w:rPr>
                        <w:t>2.2</w:t>
                      </w:r>
                    </w:sdtContent>
                  </w:sdt>
                  <w:r>
                    <w:rPr>
                      <w:bCs/>
                      <w:iCs/>
                      <w:color w:val="000000"/>
                      <w:szCs w:val="24"/>
                      <w:lang w:eastAsia="ar-SA"/>
                    </w:rPr>
                    <w:t xml:space="preserve">. </w:t>
                  </w:r>
                  <w:r>
                    <w:rPr>
                      <w:bCs/>
                      <w:iCs/>
                      <w:color w:val="000000"/>
                      <w:szCs w:val="24"/>
                      <w:lang w:eastAsia="lt-LT"/>
                    </w:rPr>
                    <w:t>visos išleistos naujos akcijos perduodamos Šiaulių miesto savivaldybei.</w:t>
                  </w:r>
                </w:p>
              </w:sdtContent>
            </w:sdt>
          </w:sdtContent>
        </w:sdt>
        <w:sdt>
          <w:sdtPr>
            <w:alias w:val="3 p."/>
            <w:tag w:val="part_b41e497922e54567964b94c8794c0ecc"/>
            <w:lock w:val="sdtLocked"/>
            <w:richText/>
          </w:sdtPr>
          <w:sdtContent>
            <w:p w14:paraId="1B66EADB" w14:textId="0966A9AB">
              <w:pPr>
                <w:suppressAutoHyphens/>
                <w:ind w:firstLine="720"/>
                <w:jc w:val="both"/>
                <w:rPr>
                  <w:color w:val="000000"/>
                  <w:szCs w:val="24"/>
                  <w:lang w:eastAsia="lt-LT"/>
                </w:rPr>
              </w:pPr>
              <w:sdt>
                <w:sdtPr>
                  <w:alias w:val="Numeris"/>
                  <w:tag w:val="nr_b41e497922e54567964b94c8794c0ecc"/>
                  <w:lock w:val="sdtLocked"/>
                  <w:richText/>
                </w:sdtPr>
                <w:sdtContent>
                  <w:r>
                    <w:rPr>
                      <w:color w:val="000000"/>
                      <w:szCs w:val="24"/>
                      <w:lang w:eastAsia="lt-LT"/>
                    </w:rPr>
                    <w:t>3</w:t>
                  </w:r>
                </w:sdtContent>
              </w:sdt>
              <w:r>
                <w:rPr>
                  <w:color w:val="000000"/>
                  <w:szCs w:val="24"/>
                  <w:lang w:eastAsia="lt-LT"/>
                </w:rPr>
                <w:t xml:space="preserve">. </w:t>
              </w:r>
              <w:r>
                <w:rPr>
                  <w:color w:val="000000"/>
                  <w:szCs w:val="24"/>
                  <w:lang w:eastAsia="ar-SA"/>
                </w:rPr>
                <w:t>Pavesti uždarosios akcinės bendrovės „Šiaulių vandenys“ generaliniam direktoriui parengti naują uždarosios akcinės bendrovės „Šiaulių vandenys“ įstatų redakciją, pateikti ją tvirtinti Šiaulių miesto savivaldybės merui ir įregistruoti Juridinių asmenų registre.</w:t>
              </w:r>
            </w:p>
          </w:sdtContent>
        </w:sdt>
        <w:sdt>
          <w:sdtPr>
            <w:alias w:val="4 p."/>
            <w:tag w:val="part_a4a26ad8c37e420d9be137f62fab2afd"/>
            <w:lock w:val="sdtLocked"/>
            <w:richText/>
          </w:sdtPr>
          <w:sdtContent>
            <w:p w14:paraId="52B1DF88" w14:textId="1C10984B">
              <w:pPr>
                <w:tabs>
                  <w:tab w:val="left" w:pos="709"/>
                </w:tabs>
                <w:suppressAutoHyphens/>
                <w:ind w:firstLine="720"/>
                <w:jc w:val="both"/>
                <w:rPr>
                  <w:color w:val="000000"/>
                  <w:szCs w:val="24"/>
                  <w:lang w:eastAsia="ar-SA"/>
                </w:rPr>
              </w:pPr>
              <w:sdt>
                <w:sdtPr>
                  <w:alias w:val="Numeris"/>
                  <w:tag w:val="nr_a4a26ad8c37e420d9be137f62fab2afd"/>
                  <w:lock w:val="sdtLocked"/>
                  <w:richText/>
                </w:sdtPr>
                <w:sdtContent>
                  <w:r>
                    <w:rPr>
                      <w:color w:val="000000"/>
                      <w:szCs w:val="24"/>
                      <w:lang w:eastAsia="lt-LT"/>
                    </w:rPr>
                    <w:t>4</w:t>
                  </w:r>
                </w:sdtContent>
              </w:sdt>
              <w:r>
                <w:rPr>
                  <w:color w:val="000000"/>
                  <w:szCs w:val="24"/>
                  <w:lang w:eastAsia="lt-LT"/>
                </w:rPr>
                <w:t xml:space="preserve">. </w:t>
              </w:r>
              <w:r>
                <w:rPr>
                  <w:color w:val="000000"/>
                  <w:szCs w:val="24"/>
                  <w:lang w:eastAsia="ar-SA"/>
                </w:rPr>
                <w:t>Įgalioti Šiaulių miesto savivaldybės merą pasirašyti šio sprendimo 1 punkte nurodyto turto perdavimo ir priėmimo aktą ir akcijų pasirašymo sutartį ir atlikti kitus reikalingus veiksmus, susijusius su įstatinio kapitalo didinimu.</w:t>
              </w:r>
            </w:p>
            <w:p w14:paraId="7751846F" w14:textId="707A03DE">
              <w:pPr>
                <w:suppressAutoHyphens/>
                <w:ind w:firstLine="720"/>
                <w:jc w:val="both"/>
                <w:rPr>
                  <w:color w:val="000000"/>
                  <w:szCs w:val="24"/>
                  <w:lang w:eastAsia="ar-SA"/>
                </w:rPr>
              </w:pPr>
              <w:r>
                <w:rPr>
                  <w:color w:val="000000"/>
                  <w:szCs w:val="24"/>
                  <w:lang w:eastAsia="lt-LT"/>
                </w:rPr>
                <w:t>Š</w:t>
              </w:r>
              <w:r>
                <w:rPr>
                  <w:rFonts w:eastAsia="HG Mincho Light J"/>
                  <w:color w:val="000000"/>
                  <w:szCs w:val="24"/>
                  <w:lang w:eastAsia="ar-SA"/>
                </w:rPr>
                <w:t>is sprendimas ne vėliau kaip per vieną mėnesį nuo jo įteikimo dienos gali būti skundžiamas paduodant skundą Lietuvos administracinių ginčų komisijos Šiaulių apygardos skyriui adresu: Dvaro g. 81, Šiauliai, arba Regionų apygardos administraciniams teismui bet kuriuose šio teismo rūmuose.</w:t>
              </w:r>
            </w:p>
            <w:p w14:paraId="1B66EAE3" w14:textId="02338E5D">
              <w:pPr>
                <w:suppressAutoHyphens/>
                <w:jc w:val="both"/>
                <w:rPr>
                  <w:color w:val="000000"/>
                  <w:szCs w:val="24"/>
                  <w:shd w:val="clear" w:color="auto" w:fill="FFFFFF"/>
                  <w:lang w:eastAsia="ar-SA"/>
                </w:rPr>
              </w:pPr>
            </w:p>
            <w:p w14:paraId="0EE93DC3" w14:textId="77777777">
              <w:pPr>
                <w:suppressAutoHyphens/>
                <w:jc w:val="both"/>
                <w:rPr>
                  <w:color w:val="000000"/>
                  <w:szCs w:val="24"/>
                  <w:shd w:val="clear" w:color="auto" w:fill="FFFFFF"/>
                  <w:lang w:eastAsia="ar-SA"/>
                </w:rPr>
              </w:pPr>
            </w:p>
          </w:sdtContent>
        </w:sdt>
        <w:sdt>
          <w:sdtPr>
            <w:alias w:val="signatura"/>
            <w:tag w:val="part_de621937fed04f79b9d148bca90f768a"/>
            <w:lock w:val="sdtLocked"/>
            <w:richText/>
          </w:sdtPr>
          <w:sdtContent>
            <w:p w14:paraId="1B66EAFC" w14:textId="6C51DA17">
              <w:pPr>
                <w:suppressAutoHyphens/>
                <w:jc w:val="both"/>
                <w:rPr>
                  <w:color w:val="000000"/>
                  <w:szCs w:val="24"/>
                  <w:lang w:eastAsia="ar-SA"/>
                </w:rPr>
              </w:pPr>
              <w:r>
                <w:rPr>
                  <w:color w:val="000000"/>
                  <w:szCs w:val="24"/>
                  <w:lang w:eastAsia="ar-SA"/>
                </w:rPr>
                <w:t>Savivaldybės meras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code="9"/>
      <w:pgMar w:top="1134" w:right="567" w:bottom="1134" w:left="1701" w:header="595" w:footer="720" w:gutter="0"/>
      <w:cols w:space="1296"/>
      <w:titlePg/>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DE6B0A8" w14:textId="77777777">
      <w:pPr>
        <w:suppressAutoHyphens/>
        <w:rPr>
          <w:lang w:eastAsia="ar-SA"/>
        </w:rPr>
      </w:pPr>
      <w:r>
        <w:rPr>
          <w:lang w:eastAsia="ar-SA"/>
        </w:rPr>
        <w:separator/>
      </w:r>
    </w:p>
  </w:endnote>
  <w:endnote w:type="continuationSeparator" w:id="0">
    <w:p w14:paraId="1EC340C0"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BA"/>
    <w:family w:val="auto"/>
    <w:pitch w:val="variable"/>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E5F336"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A8F8B3"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79F217"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C44C3E" w14:textId="77777777">
      <w:pPr>
        <w:suppressAutoHyphens/>
        <w:rPr>
          <w:lang w:eastAsia="ar-SA"/>
        </w:rPr>
      </w:pPr>
      <w:r>
        <w:rPr>
          <w:lang w:eastAsia="ar-SA"/>
        </w:rPr>
        <w:separator/>
      </w:r>
    </w:p>
  </w:footnote>
  <w:footnote w:type="continuationSeparator" w:id="0">
    <w:p w14:paraId="0007F785"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2F293A"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E0AF62" w14:textId="10C93B78">
    <w:pPr>
      <w:suppressLineNumbers/>
      <w:tabs>
        <w:tab w:val="center" w:pos="5385"/>
        <w:tab w:val="right" w:pos="10771"/>
      </w:tabs>
      <w:suppressAutoHyphens/>
      <w:jc w:val="center"/>
      <w:rPr>
        <w:lang w:eastAsia="ar-SA"/>
      </w:rPr>
    </w:pPr>
    <w:r>
      <w:rPr>
        <w:lang w:eastAsia="ar-SA"/>
      </w:rPr>
      <w:fldChar w:fldCharType="begin"/>
    </w:r>
    <w:r>
      <w:rPr>
        <w:lang w:eastAsia="ar-SA"/>
      </w:rPr>
      <w:instrText>PAGE   \* MERGEFORMAT</w:instrText>
    </w:r>
    <w:r>
      <w:rPr>
        <w:lang w:eastAsia="ar-SA"/>
      </w:rPr>
      <w:fldChar w:fldCharType="separate"/>
    </w:r>
    <w:r>
      <w:rPr>
        <w:lang w:eastAsia="ar-SA"/>
      </w:rPr>
      <w:t>2</w:t>
    </w:r>
    <w:r>
      <w:rPr>
        <w:lang w:eastAsia="ar-SA"/>
      </w:rPr>
      <w:fldChar w:fldCharType="end"/>
    </w:r>
  </w:p>
  <w:p w14:paraId="1B66EB08" w14:textId="77777777">
    <w:pPr>
      <w:suppressLineNumbers/>
      <w:tabs>
        <w:tab w:val="left" w:pos="9356"/>
        <w:tab w:val="right" w:pos="10771"/>
      </w:tabs>
      <w:suppressAutoHyphens/>
      <w:ind w:right="-3" w:firstLine="8364"/>
      <w:jc w:val="both"/>
      <w:rPr>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E555B3" w14:textId="77777777">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4C4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1B66EACC"/>
  <w15:chartTrackingRefBased/>
  <w15:docId w15:val="{F44AE990-B7FB-4906-92AF-7DF3A3B478E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8280445">
      <w:bodyDiv w:val="1"/>
      <w:marLeft w:val="0"/>
      <w:marRight w:val="0"/>
      <w:marTop w:val="0"/>
      <w:marBottom w:val="0"/>
      <w:divBdr>
        <w:top w:val="none" w:sz="0" w:space="0" w:color="auto"/>
        <w:left w:val="none" w:sz="0" w:space="0" w:color="auto"/>
        <w:bottom w:val="none" w:sz="0" w:space="0" w:color="auto"/>
        <w:right w:val="none" w:sz="0" w:space="0" w:color="auto"/>
      </w:divBdr>
    </w:div>
    <w:div w:id="1060981316">
      <w:bodyDiv w:val="1"/>
      <w:marLeft w:val="0"/>
      <w:marRight w:val="0"/>
      <w:marTop w:val="0"/>
      <w:marBottom w:val="0"/>
      <w:divBdr>
        <w:top w:val="none" w:sz="0" w:space="0" w:color="auto"/>
        <w:left w:val="none" w:sz="0" w:space="0" w:color="auto"/>
        <w:bottom w:val="none" w:sz="0" w:space="0" w:color="auto"/>
        <w:right w:val="none" w:sz="0" w:space="0" w:color="auto"/>
      </w:divBdr>
    </w:div>
    <w:div w:id="1358461616">
      <w:bodyDiv w:val="1"/>
      <w:marLeft w:val="0"/>
      <w:marRight w:val="0"/>
      <w:marTop w:val="0"/>
      <w:marBottom w:val="0"/>
      <w:divBdr>
        <w:top w:val="none" w:sz="0" w:space="0" w:color="auto"/>
        <w:left w:val="none" w:sz="0" w:space="0" w:color="auto"/>
        <w:bottom w:val="none" w:sz="0" w:space="0" w:color="auto"/>
        <w:right w:val="none" w:sz="0" w:space="0" w:color="auto"/>
      </w:divBdr>
    </w:div>
    <w:div w:id="1406368947">
      <w:bodyDiv w:val="1"/>
      <w:marLeft w:val="0"/>
      <w:marRight w:val="0"/>
      <w:marTop w:val="0"/>
      <w:marBottom w:val="0"/>
      <w:divBdr>
        <w:top w:val="none" w:sz="0" w:space="0" w:color="auto"/>
        <w:left w:val="none" w:sz="0" w:space="0" w:color="auto"/>
        <w:bottom w:val="none" w:sz="0" w:space="0" w:color="auto"/>
        <w:right w:val="none" w:sz="0" w:space="0" w:color="auto"/>
      </w:divBdr>
    </w:div>
    <w:div w:id="1446928700">
      <w:bodyDiv w:val="1"/>
      <w:marLeft w:val="0"/>
      <w:marRight w:val="0"/>
      <w:marTop w:val="0"/>
      <w:marBottom w:val="0"/>
      <w:divBdr>
        <w:top w:val="none" w:sz="0" w:space="0" w:color="auto"/>
        <w:left w:val="none" w:sz="0" w:space="0" w:color="auto"/>
        <w:bottom w:val="none" w:sz="0" w:space="0" w:color="auto"/>
        <w:right w:val="none" w:sz="0" w:space="0" w:color="auto"/>
      </w:divBdr>
    </w:div>
    <w:div w:id="1786804961">
      <w:bodyDiv w:val="1"/>
      <w:marLeft w:val="0"/>
      <w:marRight w:val="0"/>
      <w:marTop w:val="0"/>
      <w:marBottom w:val="0"/>
      <w:divBdr>
        <w:top w:val="none" w:sz="0" w:space="0" w:color="auto"/>
        <w:left w:val="none" w:sz="0" w:space="0" w:color="auto"/>
        <w:bottom w:val="none" w:sz="0" w:space="0" w:color="auto"/>
        <w:right w:val="none" w:sz="0" w:space="0" w:color="auto"/>
      </w:divBdr>
    </w:div>
    <w:div w:id="2008628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90524e1886b4339adbfa073214d25da" PartId="02259c8e8b854accb577247a0b58e19c">
    <Part Type="preambule" DocPartId="60807663793c49fd91d920c35043969e" PartId="95f4c0676e8a4951a260ce2416e34f0b"/>
    <Part Type="punktas" Nr="1" Abbr="1 p." DocPartId="818df174463f40ba84ed3ffa37eb6e66" PartId="cb620f6be4c74d4e95a514322834c3de"/>
    <Part Type="punktas" Nr="2" Abbr="2 p." DocPartId="ca0746934b4d402ab5135faf508efe68" PartId="f81571cf84a44772af7b99c7ea894df8">
      <Part Type="papunktis" Nr="2.1" Abbr="2.1 pp." DocPartId="1db09e6c65414873bd5056bc76b6c1bd" PartId="90fa7327b88646a29a298b6bf42063fb"/>
      <Part Type="papunktis" Nr="2.2" Abbr="2.2 pp." DocPartId="d9a15857d3524afe9971093f7e32d8c6" PartId="6092bd2c7e594e9db41501818f3eedcd"/>
    </Part>
    <Part Type="punktas" Nr="3" Abbr="3 p." DocPartId="a9b8c759448a4a4bbc6da93417f0a800" PartId="b41e497922e54567964b94c8794c0ecc"/>
    <Part Type="punktas" Nr="4" Abbr="4 p." DocPartId="846ce354bffe42fa94ca388b20838c4d" PartId="a4a26ad8c37e420d9be137f62fab2afd"/>
    <Part Type="signatura" DocPartId="ef18e46b970d4705a947d800e1f5b862" PartId="de621937fed04f79b9d148bca90f768a"/>
  </Part>
</Parts>
</file>

<file path=customXml/itemProps1.xml><?xml version="1.0" encoding="utf-8"?>
<ds:datastoreItem xmlns:ds="http://schemas.openxmlformats.org/officeDocument/2006/customXml" ds:itemID="{82B6CD86-C7A0-4329-99EC-02AE555E590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551</Words>
  <Characters>3737</Characters>
  <Application>Microsoft Office Word</Application>
  <DocSecurity>4</DocSecurity>
  <Lines>63</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Siauliu m. savivaldybes administracija</Company>
  <LinksUpToDate>false</LinksUpToDate>
  <CharactersWithSpaces>4271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2024-01-08T16:59:00Z</dcterms:created>
  <dc:creator>Evaldas</dc:creator>
  <lastModifiedBy>adlibuser</lastModifiedBy>
  <lastPrinted>2023-12-22T06:06:00Z</lastPrinted>
  <dcterms:modified xsi:type="dcterms:W3CDTF">2024-01-08T16:59:00Z</dcterms:modified>
  <revision>2</revision>
</coreProperties>
</file>