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303E273" w14:textId="77777777" w:rsidR="00FA64DF" w:rsidRPr="003E118B" w:rsidRDefault="00521CC5">
      <w:pPr>
        <w:spacing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3E118B">
        <w:rPr>
          <w:rFonts w:ascii="Times New Roman" w:eastAsia="Times New Roman" w:hAnsi="Times New Roman" w:cs="Times New Roman"/>
          <w:b/>
          <w:sz w:val="24"/>
          <w:szCs w:val="24"/>
        </w:rPr>
        <w:t>PASIŪLYMAS</w:t>
      </w:r>
    </w:p>
    <w:p w14:paraId="7541DBA3" w14:textId="4C01E661" w:rsidR="00FA64DF" w:rsidRPr="003E118B" w:rsidRDefault="00521CC5" w:rsidP="00521CC5">
      <w:pPr>
        <w:spacing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highlight w:val="yellow"/>
        </w:rPr>
      </w:pPr>
      <w:r w:rsidRPr="003E118B">
        <w:rPr>
          <w:rFonts w:ascii="Times New Roman" w:eastAsia="Times New Roman" w:hAnsi="Times New Roman" w:cs="Times New Roman"/>
          <w:b/>
          <w:sz w:val="24"/>
          <w:szCs w:val="24"/>
        </w:rPr>
        <w:t>DĖL NEKILNOJAMOJO TURTO MOKESČIO ĮSTATYMO NR. X-233 PAKEITIMO ĮSTATYMO PROJEKTO NR. XVP-437(2)</w:t>
      </w:r>
    </w:p>
    <w:p w14:paraId="7A93FA04" w14:textId="77777777" w:rsidR="00FA64DF" w:rsidRPr="003E118B" w:rsidRDefault="00521CC5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3E118B">
        <w:rPr>
          <w:rFonts w:ascii="Times New Roman" w:eastAsia="Times New Roman" w:hAnsi="Times New Roman" w:cs="Times New Roman"/>
          <w:sz w:val="24"/>
          <w:szCs w:val="24"/>
        </w:rPr>
        <w:t>2025-05-22</w:t>
      </w:r>
    </w:p>
    <w:p w14:paraId="19EB6AC2" w14:textId="77777777" w:rsidR="00FA64DF" w:rsidRPr="003E118B" w:rsidRDefault="00521CC5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3E118B">
        <w:rPr>
          <w:rFonts w:ascii="Times New Roman" w:eastAsia="Times New Roman" w:hAnsi="Times New Roman" w:cs="Times New Roman"/>
          <w:sz w:val="24"/>
          <w:szCs w:val="24"/>
        </w:rPr>
        <w:t>Vilnius</w:t>
      </w:r>
      <w:r w:rsidRPr="003E118B">
        <w:rPr>
          <w:rFonts w:ascii="Times New Roman" w:eastAsia="Times New Roman" w:hAnsi="Times New Roman" w:cs="Times New Roman"/>
          <w:sz w:val="24"/>
          <w:szCs w:val="24"/>
        </w:rPr>
        <w:tab/>
      </w:r>
    </w:p>
    <w:p w14:paraId="776B5F54" w14:textId="77777777" w:rsidR="00FA64DF" w:rsidRPr="003E118B" w:rsidRDefault="00FA64DF">
      <w:pPr>
        <w:tabs>
          <w:tab w:val="left" w:pos="6096"/>
        </w:tabs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Style w:val="a"/>
        <w:tblpPr w:leftFromText="180" w:rightFromText="180" w:topFromText="180" w:bottomFromText="180" w:vertAnchor="text"/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691"/>
        <w:gridCol w:w="669"/>
        <w:gridCol w:w="669"/>
        <w:gridCol w:w="669"/>
        <w:gridCol w:w="6321"/>
      </w:tblGrid>
      <w:tr w:rsidR="00FA64DF" w:rsidRPr="003E118B" w14:paraId="356693E6" w14:textId="77777777" w:rsidTr="005E149F">
        <w:trPr>
          <w:cantSplit/>
          <w:trHeight w:val="472"/>
        </w:trPr>
        <w:tc>
          <w:tcPr>
            <w:tcW w:w="383" w:type="pct"/>
            <w:vMerge w:val="restart"/>
            <w:vAlign w:val="center"/>
          </w:tcPr>
          <w:p w14:paraId="6D3504F6" w14:textId="77777777" w:rsidR="00FA64DF" w:rsidRPr="003E118B" w:rsidRDefault="00521CC5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bookmarkStart w:id="0" w:name="_GoBack"/>
            <w:r w:rsidRPr="003E118B">
              <w:rPr>
                <w:rFonts w:ascii="Times New Roman" w:eastAsia="Times New Roman" w:hAnsi="Times New Roman" w:cs="Times New Roman"/>
                <w:sz w:val="24"/>
                <w:szCs w:val="24"/>
              </w:rPr>
              <w:t>Eil. Nr.</w:t>
            </w:r>
          </w:p>
        </w:tc>
        <w:tc>
          <w:tcPr>
            <w:tcW w:w="1113" w:type="pct"/>
            <w:gridSpan w:val="3"/>
            <w:vAlign w:val="center"/>
          </w:tcPr>
          <w:p w14:paraId="260C3D57" w14:textId="77777777" w:rsidR="00FA64DF" w:rsidRPr="003E118B" w:rsidRDefault="00521CC5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E118B">
              <w:rPr>
                <w:rFonts w:ascii="Times New Roman" w:eastAsia="Times New Roman" w:hAnsi="Times New Roman" w:cs="Times New Roman"/>
                <w:sz w:val="24"/>
                <w:szCs w:val="24"/>
              </w:rPr>
              <w:t>Siūloma keisti</w:t>
            </w:r>
          </w:p>
        </w:tc>
        <w:tc>
          <w:tcPr>
            <w:tcW w:w="3503" w:type="pct"/>
            <w:vMerge w:val="restart"/>
            <w:vAlign w:val="center"/>
          </w:tcPr>
          <w:p w14:paraId="3E9A02B4" w14:textId="77777777" w:rsidR="00FA64DF" w:rsidRPr="003E118B" w:rsidRDefault="00521CC5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E118B">
              <w:rPr>
                <w:rFonts w:ascii="Times New Roman" w:eastAsia="Times New Roman" w:hAnsi="Times New Roman" w:cs="Times New Roman"/>
                <w:sz w:val="24"/>
                <w:szCs w:val="24"/>
              </w:rPr>
              <w:t>Pasiūlymo turinys</w:t>
            </w:r>
          </w:p>
        </w:tc>
      </w:tr>
      <w:tr w:rsidR="00FA64DF" w:rsidRPr="003E118B" w14:paraId="637490C1" w14:textId="77777777" w:rsidTr="005E149F">
        <w:trPr>
          <w:cantSplit/>
          <w:trHeight w:val="426"/>
        </w:trPr>
        <w:tc>
          <w:tcPr>
            <w:tcW w:w="383" w:type="pct"/>
            <w:vMerge/>
            <w:vAlign w:val="center"/>
          </w:tcPr>
          <w:p w14:paraId="3B44B699" w14:textId="77777777" w:rsidR="00FA64DF" w:rsidRPr="003E118B" w:rsidRDefault="00FA64DF">
            <w:pPr>
              <w:widowControl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71" w:type="pct"/>
            <w:vAlign w:val="center"/>
          </w:tcPr>
          <w:p w14:paraId="561DCF77" w14:textId="77777777" w:rsidR="00FA64DF" w:rsidRPr="003E118B" w:rsidRDefault="00521CC5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E118B">
              <w:rPr>
                <w:rFonts w:ascii="Times New Roman" w:eastAsia="Times New Roman" w:hAnsi="Times New Roman" w:cs="Times New Roman"/>
                <w:sz w:val="24"/>
                <w:szCs w:val="24"/>
              </w:rPr>
              <w:t>str.</w:t>
            </w:r>
          </w:p>
        </w:tc>
        <w:tc>
          <w:tcPr>
            <w:tcW w:w="371" w:type="pct"/>
            <w:vAlign w:val="center"/>
          </w:tcPr>
          <w:p w14:paraId="50ACF7CC" w14:textId="77777777" w:rsidR="00FA64DF" w:rsidRPr="003E118B" w:rsidRDefault="00521CC5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E118B">
              <w:rPr>
                <w:rFonts w:ascii="Times New Roman" w:eastAsia="Times New Roman" w:hAnsi="Times New Roman" w:cs="Times New Roman"/>
                <w:sz w:val="24"/>
                <w:szCs w:val="24"/>
              </w:rPr>
              <w:t>str. d.</w:t>
            </w:r>
          </w:p>
        </w:tc>
        <w:tc>
          <w:tcPr>
            <w:tcW w:w="371" w:type="pct"/>
            <w:vAlign w:val="center"/>
          </w:tcPr>
          <w:p w14:paraId="16AB38B6" w14:textId="77777777" w:rsidR="00FA64DF" w:rsidRPr="003E118B" w:rsidRDefault="00521CC5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E118B">
              <w:rPr>
                <w:rFonts w:ascii="Times New Roman" w:eastAsia="Times New Roman" w:hAnsi="Times New Roman" w:cs="Times New Roman"/>
                <w:sz w:val="24"/>
                <w:szCs w:val="24"/>
              </w:rPr>
              <w:t>p.</w:t>
            </w:r>
          </w:p>
        </w:tc>
        <w:tc>
          <w:tcPr>
            <w:tcW w:w="3503" w:type="pct"/>
            <w:vMerge/>
            <w:vAlign w:val="center"/>
          </w:tcPr>
          <w:p w14:paraId="41AB4B4D" w14:textId="77777777" w:rsidR="00FA64DF" w:rsidRPr="003E118B" w:rsidRDefault="00FA64DF">
            <w:pPr>
              <w:widowControl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FA64DF" w:rsidRPr="003E118B" w14:paraId="7B8222E6" w14:textId="77777777" w:rsidTr="005E149F">
        <w:tc>
          <w:tcPr>
            <w:tcW w:w="383" w:type="pct"/>
          </w:tcPr>
          <w:p w14:paraId="09E21668" w14:textId="77777777" w:rsidR="00FA64DF" w:rsidRPr="003E118B" w:rsidRDefault="00FA64DF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71" w:type="pct"/>
          </w:tcPr>
          <w:p w14:paraId="41824289" w14:textId="15DD98CB" w:rsidR="00FA64DF" w:rsidRPr="003E118B" w:rsidRDefault="003E118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E118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6</w:t>
            </w:r>
          </w:p>
        </w:tc>
        <w:tc>
          <w:tcPr>
            <w:tcW w:w="371" w:type="pct"/>
          </w:tcPr>
          <w:p w14:paraId="3D3F68CC" w14:textId="018E7504" w:rsidR="00FA64DF" w:rsidRPr="003E118B" w:rsidRDefault="00145EED">
            <w:pPr>
              <w:spacing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4</w:t>
            </w:r>
          </w:p>
        </w:tc>
        <w:tc>
          <w:tcPr>
            <w:tcW w:w="371" w:type="pct"/>
          </w:tcPr>
          <w:p w14:paraId="44A42A95" w14:textId="77777777" w:rsidR="00FA64DF" w:rsidRPr="003E118B" w:rsidRDefault="00FA64DF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503" w:type="pct"/>
          </w:tcPr>
          <w:p w14:paraId="6902731D" w14:textId="77777777" w:rsidR="00FA64DF" w:rsidRPr="003E118B" w:rsidRDefault="00521CC5">
            <w:pPr>
              <w:spacing w:line="240" w:lineRule="auto"/>
              <w:ind w:firstLine="285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E118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Argumentai:</w:t>
            </w:r>
          </w:p>
          <w:p w14:paraId="3C2D27D5" w14:textId="6C635DD5" w:rsidR="003515E3" w:rsidRDefault="003515E3" w:rsidP="003E118B">
            <w:pPr>
              <w:pStyle w:val="prastasiniatinklio"/>
              <w:jc w:val="both"/>
            </w:pPr>
            <w:r w:rsidRPr="003515E3">
              <w:rPr>
                <w:rStyle w:val="Grietas"/>
                <w:b w:val="0"/>
              </w:rPr>
              <w:t>Neapmokestinamojo dydžio didinimas yra būtinas siekiant apsaugoti gyventojus nuo per didelės mokestinės naštos.</w:t>
            </w:r>
            <w:r>
              <w:t xml:space="preserve"> Tai ypač svarbu pagrindinio gyvenamojo būsto atveju, nes būstas – tai žmogaus pagrindinis poreikis, o ne prabanga. Didinant neapmokestinamąją vertę, apsaugomi mažesnes pajamas gaunantys gyventojai, pensininkai ir socialiai pažeidžiamos grupės, kuriems papildomas mokestis galėtų reikšti realų pavojų išlaikyti savo būstą.</w:t>
            </w:r>
          </w:p>
          <w:p w14:paraId="492CD08E" w14:textId="531733DB" w:rsidR="003E118B" w:rsidRPr="003E118B" w:rsidRDefault="003E118B" w:rsidP="003E118B">
            <w:pPr>
              <w:pStyle w:val="prastasiniatinklio"/>
              <w:jc w:val="both"/>
            </w:pPr>
            <w:r w:rsidRPr="003E118B">
              <w:t xml:space="preserve">Šis žingsnis rodo, kad valstybė atsižvelgia į visuomenės lūkesčius ir realijas, o mokesčių politika nėra nukreipta prieš vidutines pajamas gaunančius žmones. </w:t>
            </w:r>
          </w:p>
          <w:p w14:paraId="5293DE20" w14:textId="77777777" w:rsidR="003E118B" w:rsidRPr="003E118B" w:rsidRDefault="003E118B" w:rsidP="002E39DB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  <w:p w14:paraId="3EA053F6" w14:textId="77777777" w:rsidR="00FA64DF" w:rsidRPr="003E118B" w:rsidRDefault="00FA64DF" w:rsidP="003E118B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  <w:p w14:paraId="27C1D5AB" w14:textId="77777777" w:rsidR="00FA64DF" w:rsidRDefault="00521CC5">
            <w:pPr>
              <w:spacing w:line="240" w:lineRule="auto"/>
              <w:ind w:firstLine="285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E118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Pasiūlymas:</w:t>
            </w:r>
          </w:p>
          <w:p w14:paraId="7E4AC6C8" w14:textId="7683B0EF" w:rsidR="00A651E5" w:rsidRPr="00A651E5" w:rsidRDefault="00A651E5">
            <w:pPr>
              <w:spacing w:line="240" w:lineRule="auto"/>
              <w:ind w:firstLine="28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651E5">
              <w:rPr>
                <w:rFonts w:ascii="Times New Roman" w:eastAsia="Times New Roman" w:hAnsi="Times New Roman" w:cs="Times New Roman"/>
                <w:sz w:val="24"/>
                <w:szCs w:val="24"/>
              </w:rPr>
              <w:t>Pakeisti 6 straipsnio 4 dalį ir ją išdėstyti taip:</w:t>
            </w:r>
          </w:p>
          <w:p w14:paraId="5046DE6D" w14:textId="3527B830" w:rsidR="00145EED" w:rsidRPr="00145EED" w:rsidRDefault="00A651E5" w:rsidP="00145EED">
            <w:pPr>
              <w:spacing w:line="240" w:lineRule="auto"/>
              <w:ind w:right="-1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lt-LT" w:eastAsia="lt-L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lt-LT" w:eastAsia="lt-LT"/>
              </w:rPr>
              <w:t>”</w:t>
            </w:r>
            <w:r w:rsidR="00145EED" w:rsidRPr="00145EE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lt-LT" w:eastAsia="lt-LT"/>
              </w:rPr>
              <w:t xml:space="preserve">4. Savivaldybės taryba nustato pagrindinio gyvenamojo būsto mokestinės vertės neapmokestinamąjį dydį (dydžius) (toliau – neapmokestinamasis dydis), ne mažesnį (mažesnius) negu </w:t>
            </w:r>
            <w:r w:rsidR="00145EED" w:rsidRPr="00145EED">
              <w:rPr>
                <w:rFonts w:ascii="Times New Roman" w:eastAsia="Times New Roman" w:hAnsi="Times New Roman" w:cs="Times New Roman"/>
                <w:b/>
                <w:strike/>
                <w:color w:val="000000"/>
                <w:sz w:val="24"/>
                <w:szCs w:val="24"/>
                <w:lang w:val="lt-LT" w:eastAsia="lt-LT"/>
              </w:rPr>
              <w:t>10 000</w:t>
            </w:r>
            <w:r w:rsidR="00145EED" w:rsidRPr="00145EE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lt-LT" w:eastAsia="lt-LT"/>
              </w:rPr>
              <w:t xml:space="preserve"> </w:t>
            </w:r>
            <w:r w:rsidR="00145EED" w:rsidRPr="00145EE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lt-LT" w:eastAsia="lt-LT"/>
              </w:rPr>
              <w:t>40</w:t>
            </w:r>
            <w:r w:rsidR="00145EE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lt-LT" w:eastAsia="lt-LT"/>
              </w:rPr>
              <w:t xml:space="preserve"> </w:t>
            </w:r>
            <w:r w:rsidR="00145EED" w:rsidRPr="00145EE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lt-LT" w:eastAsia="lt-LT"/>
              </w:rPr>
              <w:t>000</w:t>
            </w:r>
            <w:r w:rsidR="00145EE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lt-LT" w:eastAsia="lt-LT"/>
              </w:rPr>
              <w:t xml:space="preserve"> </w:t>
            </w:r>
            <w:r w:rsidR="00145EED" w:rsidRPr="00145EE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lt-LT" w:eastAsia="lt-LT"/>
              </w:rPr>
              <w:t>eurų,</w:t>
            </w:r>
            <w:r w:rsidR="00145EED" w:rsidRPr="00145EE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lt-LT" w:eastAsia="lt-LT"/>
              </w:rPr>
              <w:t> </w:t>
            </w:r>
            <w:r w:rsidR="00145EED" w:rsidRPr="00145EE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lt-LT" w:eastAsia="lt-LT"/>
              </w:rPr>
              <w:t> </w:t>
            </w:r>
            <w:proofErr w:type="spellStart"/>
            <w:r w:rsidR="00145EED" w:rsidRPr="00145EED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lt-LT" w:eastAsia="lt-LT"/>
              </w:rPr>
              <w:t>mutatis</w:t>
            </w:r>
            <w:proofErr w:type="spellEnd"/>
            <w:r w:rsidR="00145EED" w:rsidRPr="00145EED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lt-LT" w:eastAsia="lt-LT"/>
              </w:rPr>
              <w:t xml:space="preserve"> </w:t>
            </w:r>
            <w:proofErr w:type="spellStart"/>
            <w:r w:rsidR="00145EED" w:rsidRPr="00145EED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lt-LT" w:eastAsia="lt-LT"/>
              </w:rPr>
              <w:t>mutandis</w:t>
            </w:r>
            <w:proofErr w:type="spellEnd"/>
            <w:r w:rsidR="00145EED" w:rsidRPr="00145EE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lt-LT" w:eastAsia="lt-LT"/>
              </w:rPr>
              <w:t> šio straipsnio 2 dalyje nustatyta tvarka, atsižvelgdama į vieną arba kelis kriterijus:</w:t>
            </w:r>
          </w:p>
          <w:p w14:paraId="49CFD164" w14:textId="77777777" w:rsidR="00145EED" w:rsidRPr="00145EED" w:rsidRDefault="00145EED" w:rsidP="00145EED">
            <w:pPr>
              <w:spacing w:line="240" w:lineRule="auto"/>
              <w:ind w:right="-1" w:firstLine="72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lt-LT" w:eastAsia="lt-LT"/>
              </w:rPr>
            </w:pPr>
            <w:bookmarkStart w:id="1" w:name="part_9f260ad5668943c5a7bcab47d83180c1"/>
            <w:bookmarkEnd w:id="1"/>
            <w:r w:rsidRPr="00145EE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lt-LT" w:eastAsia="lt-LT"/>
              </w:rPr>
              <w:t>1) nekilnojamojo turto mokestinę vertę;</w:t>
            </w:r>
          </w:p>
          <w:p w14:paraId="44A0C258" w14:textId="449FEAB3" w:rsidR="00145EED" w:rsidRPr="00145EED" w:rsidRDefault="00145EED" w:rsidP="00145EED">
            <w:pPr>
              <w:spacing w:line="240" w:lineRule="auto"/>
              <w:ind w:right="-1" w:firstLine="72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lt-LT" w:eastAsia="lt-LT"/>
              </w:rPr>
            </w:pPr>
            <w:bookmarkStart w:id="2" w:name="part_cb320765a828458d8ef0b09069df2326"/>
            <w:bookmarkEnd w:id="2"/>
            <w:r w:rsidRPr="00145EE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lt-LT" w:eastAsia="lt-LT"/>
              </w:rPr>
              <w:t>2) fizinių asmenų ekonominę, socialinę padėtį.</w:t>
            </w:r>
            <w:r w:rsidR="00A651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lt-LT" w:eastAsia="lt-LT"/>
              </w:rPr>
              <w:t>“</w:t>
            </w:r>
          </w:p>
          <w:p w14:paraId="3C434385" w14:textId="0D9F0B19" w:rsidR="00FA64DF" w:rsidRPr="003E118B" w:rsidRDefault="00FA64DF" w:rsidP="00145EED">
            <w:pPr>
              <w:spacing w:line="240" w:lineRule="auto"/>
              <w:ind w:right="-1" w:firstLine="72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bookmarkEnd w:id="0"/>
    </w:tbl>
    <w:p w14:paraId="4A81CCBD" w14:textId="6D12A520" w:rsidR="00FA64DF" w:rsidRDefault="00FA64DF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F55A765" w14:textId="77777777" w:rsidR="005E149F" w:rsidRPr="003E118B" w:rsidRDefault="005E149F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09839D0" w14:textId="208EC82E" w:rsidR="00FA64DF" w:rsidRPr="003E118B" w:rsidRDefault="0094340F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Teikia Seimo nariai</w:t>
      </w:r>
    </w:p>
    <w:sectPr w:rsidR="00FA64DF" w:rsidRPr="003E118B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64DF"/>
    <w:rsid w:val="00145EED"/>
    <w:rsid w:val="002E39DB"/>
    <w:rsid w:val="003515E3"/>
    <w:rsid w:val="003E118B"/>
    <w:rsid w:val="00461234"/>
    <w:rsid w:val="00521CC5"/>
    <w:rsid w:val="005E149F"/>
    <w:rsid w:val="0094340F"/>
    <w:rsid w:val="00A651E5"/>
    <w:rsid w:val="00C24673"/>
    <w:rsid w:val="00D319AC"/>
    <w:rsid w:val="00D5443F"/>
    <w:rsid w:val="00FA64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36FE79"/>
  <w15:docId w15:val="{707FD409-406C-DA4E-931F-D76A4CABAA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lt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paragraph" w:styleId="Antrat1">
    <w:name w:val="heading 1"/>
    <w:basedOn w:val="prastasis"/>
    <w:next w:val="prastasis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Antrat2">
    <w:name w:val="heading 2"/>
    <w:basedOn w:val="prastasis"/>
    <w:next w:val="prastasis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Antrat3">
    <w:name w:val="heading 3"/>
    <w:basedOn w:val="prastasis"/>
    <w:next w:val="prastasis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Antrat4">
    <w:name w:val="heading 4"/>
    <w:basedOn w:val="prastasis"/>
    <w:next w:val="prastasis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Antrat5">
    <w:name w:val="heading 5"/>
    <w:basedOn w:val="prastasis"/>
    <w:next w:val="prastasis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Antrat6">
    <w:name w:val="heading 6"/>
    <w:basedOn w:val="prastasis"/>
    <w:next w:val="prastasis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Pavadinimas">
    <w:name w:val="Title"/>
    <w:basedOn w:val="prastasis"/>
    <w:next w:val="prastasis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Paantrat">
    <w:name w:val="Subtitle"/>
    <w:basedOn w:val="prastasis"/>
    <w:next w:val="prastasis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prastojilente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prastasiniatinklio">
    <w:name w:val="Normal (Web)"/>
    <w:basedOn w:val="prastasis"/>
    <w:uiPriority w:val="99"/>
    <w:semiHidden/>
    <w:unhideWhenUsed/>
    <w:rsid w:val="003E118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lt-LT" w:eastAsia="lt-LT"/>
    </w:rPr>
  </w:style>
  <w:style w:type="character" w:styleId="Grietas">
    <w:name w:val="Strong"/>
    <w:basedOn w:val="Numatytasispastraiposriftas"/>
    <w:uiPriority w:val="22"/>
    <w:qFormat/>
    <w:rsid w:val="003515E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502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4737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621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020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538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119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886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827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2483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3482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801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2970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60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065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542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296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815</Words>
  <Characters>465</Characters>
  <Application>Microsoft Office Word</Application>
  <DocSecurity>0</DocSecurity>
  <Lines>3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LUKOČIENĖ Eglė</dc:creator>
  <cp:lastModifiedBy>GRUNDAITĖ Aistė</cp:lastModifiedBy>
  <cp:revision>10</cp:revision>
  <dcterms:created xsi:type="dcterms:W3CDTF">2025-05-22T08:06:00Z</dcterms:created>
  <dcterms:modified xsi:type="dcterms:W3CDTF">2025-05-27T10:19:00Z</dcterms:modified>
</cp:coreProperties>
</file>