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62CFF" w:rsidRPr="00A62CFF" w:rsidRDefault="00A62CFF" w:rsidP="00A62CFF">
      <w:pPr>
        <w:spacing w:after="0" w:line="240" w:lineRule="auto"/>
        <w:jc w:val="center"/>
        <w:rPr>
          <w:rFonts w:ascii="Times New Roman" w:eastAsia="Times New Roman" w:hAnsi="Times New Roman" w:cs="Times New Roman"/>
          <w:b/>
          <w:sz w:val="24"/>
          <w:szCs w:val="24"/>
          <w:lang w:val="en-US"/>
        </w:rPr>
      </w:pPr>
      <w:r w:rsidRPr="00A62CFF">
        <w:rPr>
          <w:rFonts w:ascii="Times New Roman" w:eastAsia="Times New Roman" w:hAnsi="Times New Roman" w:cs="Times New Roman"/>
          <w:b/>
          <w:bCs/>
          <w:sz w:val="24"/>
          <w:szCs w:val="24"/>
        </w:rPr>
        <w:t>PASIŪLYMAS</w:t>
      </w:r>
    </w:p>
    <w:p w:rsidR="00A62CFF" w:rsidRPr="00A62CFF" w:rsidRDefault="00A62CFF" w:rsidP="00A62CFF">
      <w:pPr>
        <w:spacing w:after="0" w:line="240" w:lineRule="auto"/>
        <w:jc w:val="center"/>
        <w:rPr>
          <w:rFonts w:ascii="Times New Roman" w:eastAsia="Times New Roman" w:hAnsi="Times New Roman" w:cs="Times New Roman"/>
          <w:b/>
          <w:bCs/>
          <w:sz w:val="24"/>
          <w:szCs w:val="24"/>
        </w:rPr>
      </w:pPr>
    </w:p>
    <w:p w:rsidR="00A62CFF" w:rsidRPr="00A62CFF" w:rsidRDefault="00A62CFF" w:rsidP="00A62CFF">
      <w:pPr>
        <w:spacing w:after="0" w:line="240" w:lineRule="auto"/>
        <w:jc w:val="center"/>
        <w:rPr>
          <w:rFonts w:ascii="Times New Roman" w:eastAsia="Times New Roman" w:hAnsi="Times New Roman" w:cs="Times New Roman"/>
          <w:b/>
          <w:bCs/>
          <w:sz w:val="24"/>
          <w:szCs w:val="24"/>
        </w:rPr>
      </w:pPr>
      <w:r w:rsidRPr="00A62CFF">
        <w:rPr>
          <w:rFonts w:ascii="Times New Roman" w:eastAsia="Times New Roman" w:hAnsi="Times New Roman" w:cs="Times New Roman"/>
          <w:b/>
          <w:bCs/>
          <w:sz w:val="24"/>
          <w:szCs w:val="24"/>
        </w:rPr>
        <w:t xml:space="preserve">DĖL LIETUVOS RESPUBLIKOS </w:t>
      </w:r>
    </w:p>
    <w:p w:rsidR="00A62CFF" w:rsidRPr="00A62CFF" w:rsidRDefault="00A62CFF" w:rsidP="00A62CFF">
      <w:pPr>
        <w:spacing w:after="0" w:line="240" w:lineRule="auto"/>
        <w:jc w:val="center"/>
        <w:rPr>
          <w:rFonts w:ascii="Times New Roman" w:eastAsia="Times New Roman" w:hAnsi="Times New Roman" w:cs="Times New Roman"/>
          <w:b/>
          <w:bCs/>
          <w:sz w:val="24"/>
          <w:szCs w:val="24"/>
        </w:rPr>
      </w:pPr>
      <w:r w:rsidRPr="00A62CFF">
        <w:rPr>
          <w:rFonts w:ascii="Times New Roman" w:eastAsia="Times New Roman" w:hAnsi="Times New Roman" w:cs="Times New Roman"/>
          <w:b/>
          <w:bCs/>
          <w:sz w:val="24"/>
          <w:szCs w:val="24"/>
        </w:rPr>
        <w:t>NEKILNOJAMOJO KULTŪROS PA</w:t>
      </w:r>
      <w:bookmarkStart w:id="0" w:name="_GoBack"/>
      <w:bookmarkEnd w:id="0"/>
      <w:r w:rsidRPr="00A62CFF">
        <w:rPr>
          <w:rFonts w:ascii="Times New Roman" w:eastAsia="Times New Roman" w:hAnsi="Times New Roman" w:cs="Times New Roman"/>
          <w:b/>
          <w:bCs/>
          <w:sz w:val="24"/>
          <w:szCs w:val="24"/>
        </w:rPr>
        <w:t>VELDO APSAUGOS ĮSTATYMO NR. I-733 PAKEITIMO ĮSTATYMO PROJEKTO NR. XIVP-4207</w:t>
      </w:r>
    </w:p>
    <w:p w:rsidR="00A62CFF" w:rsidRPr="00A62CFF" w:rsidRDefault="00A62CFF" w:rsidP="00A62CFF">
      <w:pPr>
        <w:spacing w:after="0" w:line="240" w:lineRule="auto"/>
        <w:rPr>
          <w:rFonts w:ascii="Times New Roman" w:eastAsia="Times New Roman" w:hAnsi="Times New Roman" w:cs="Times New Roman"/>
          <w:b/>
          <w:bCs/>
          <w:sz w:val="24"/>
          <w:szCs w:val="20"/>
        </w:rPr>
      </w:pPr>
    </w:p>
    <w:p w:rsidR="00A62CFF" w:rsidRPr="00A62CFF" w:rsidRDefault="00A62CFF" w:rsidP="00A62CFF">
      <w:pPr>
        <w:spacing w:after="0" w:line="240" w:lineRule="auto"/>
        <w:jc w:val="center"/>
        <w:rPr>
          <w:rFonts w:ascii="Times New Roman" w:eastAsia="Times New Roman" w:hAnsi="Times New Roman" w:cs="Times New Roman"/>
          <w:sz w:val="24"/>
          <w:szCs w:val="20"/>
        </w:rPr>
      </w:pPr>
      <w:r w:rsidRPr="00A62CFF">
        <w:rPr>
          <w:rFonts w:ascii="Times New Roman" w:eastAsia="Times New Roman" w:hAnsi="Times New Roman" w:cs="Times New Roman"/>
          <w:sz w:val="24"/>
          <w:szCs w:val="20"/>
        </w:rPr>
        <w:t>2024-10-</w:t>
      </w:r>
    </w:p>
    <w:p w:rsidR="00A62CFF" w:rsidRPr="00A62CFF" w:rsidRDefault="00A62CFF" w:rsidP="00A62CFF">
      <w:pPr>
        <w:spacing w:after="0" w:line="240" w:lineRule="auto"/>
        <w:jc w:val="center"/>
        <w:rPr>
          <w:rFonts w:ascii="Times New Roman" w:eastAsia="Times New Roman" w:hAnsi="Times New Roman" w:cs="Times New Roman"/>
          <w:bCs/>
          <w:sz w:val="24"/>
          <w:szCs w:val="20"/>
        </w:rPr>
      </w:pPr>
      <w:r w:rsidRPr="00A62CFF">
        <w:rPr>
          <w:rFonts w:ascii="Times New Roman" w:eastAsia="Times New Roman" w:hAnsi="Times New Roman" w:cs="Times New Roman"/>
          <w:sz w:val="24"/>
          <w:szCs w:val="20"/>
        </w:rPr>
        <w:t>Vilnius</w:t>
      </w:r>
    </w:p>
    <w:p w:rsidR="00A62CFF" w:rsidRPr="00A62CFF" w:rsidRDefault="00A62CFF" w:rsidP="00A62CFF">
      <w:pPr>
        <w:spacing w:after="0" w:line="240" w:lineRule="auto"/>
        <w:jc w:val="both"/>
        <w:rPr>
          <w:rFonts w:ascii="Times New Roman" w:eastAsia="Times New Roman" w:hAnsi="Times New Roman" w:cs="Times New Roman"/>
          <w:sz w:val="24"/>
          <w:szCs w:val="20"/>
        </w:rPr>
      </w:pPr>
    </w:p>
    <w:tbl>
      <w:tblPr>
        <w:tblW w:w="87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2"/>
        <w:gridCol w:w="567"/>
        <w:gridCol w:w="709"/>
        <w:gridCol w:w="709"/>
        <w:gridCol w:w="6237"/>
      </w:tblGrid>
      <w:tr w:rsidR="00A62CFF" w:rsidRPr="00A62CFF" w:rsidTr="00B25BA7">
        <w:trPr>
          <w:cantSplit/>
          <w:trHeight w:val="472"/>
          <w:jc w:val="center"/>
        </w:trPr>
        <w:tc>
          <w:tcPr>
            <w:tcW w:w="562" w:type="dxa"/>
            <w:vMerge w:val="restart"/>
            <w:tcBorders>
              <w:top w:val="single" w:sz="4" w:space="0" w:color="auto"/>
              <w:left w:val="single" w:sz="4" w:space="0" w:color="auto"/>
              <w:bottom w:val="single" w:sz="4" w:space="0" w:color="auto"/>
              <w:right w:val="single" w:sz="4" w:space="0" w:color="auto"/>
            </w:tcBorders>
            <w:vAlign w:val="center"/>
            <w:hideMark/>
          </w:tcPr>
          <w:p w:rsidR="00A62CFF" w:rsidRPr="00A62CFF" w:rsidRDefault="00A62CFF" w:rsidP="00A62CFF">
            <w:pPr>
              <w:spacing w:after="0" w:line="276" w:lineRule="auto"/>
              <w:jc w:val="center"/>
              <w:rPr>
                <w:rFonts w:ascii="Times New Roman" w:eastAsia="Times New Roman" w:hAnsi="Times New Roman" w:cs="Times New Roman"/>
              </w:rPr>
            </w:pPr>
            <w:r w:rsidRPr="00A62CFF">
              <w:rPr>
                <w:rFonts w:ascii="Times New Roman" w:eastAsia="Times New Roman" w:hAnsi="Times New Roman" w:cs="Times New Roman"/>
              </w:rPr>
              <w:t>Eil. Nr.</w:t>
            </w:r>
          </w:p>
        </w:tc>
        <w:tc>
          <w:tcPr>
            <w:tcW w:w="1985" w:type="dxa"/>
            <w:gridSpan w:val="3"/>
            <w:tcBorders>
              <w:top w:val="single" w:sz="4" w:space="0" w:color="auto"/>
              <w:left w:val="single" w:sz="4" w:space="0" w:color="auto"/>
              <w:bottom w:val="single" w:sz="4" w:space="0" w:color="auto"/>
              <w:right w:val="single" w:sz="4" w:space="0" w:color="auto"/>
            </w:tcBorders>
            <w:vAlign w:val="center"/>
            <w:hideMark/>
          </w:tcPr>
          <w:p w:rsidR="00A62CFF" w:rsidRPr="00A62CFF" w:rsidRDefault="00A62CFF" w:rsidP="00A62CFF">
            <w:pPr>
              <w:spacing w:after="0" w:line="276" w:lineRule="auto"/>
              <w:jc w:val="center"/>
              <w:rPr>
                <w:rFonts w:ascii="Times New Roman" w:eastAsia="Times New Roman" w:hAnsi="Times New Roman" w:cs="Times New Roman"/>
                <w:sz w:val="24"/>
                <w:szCs w:val="24"/>
              </w:rPr>
            </w:pPr>
            <w:r w:rsidRPr="00A62CFF">
              <w:rPr>
                <w:rFonts w:ascii="Times New Roman" w:eastAsia="Times New Roman" w:hAnsi="Times New Roman" w:cs="Times New Roman"/>
                <w:sz w:val="24"/>
                <w:szCs w:val="24"/>
              </w:rPr>
              <w:t>Siūloma keisti</w:t>
            </w:r>
          </w:p>
        </w:tc>
        <w:tc>
          <w:tcPr>
            <w:tcW w:w="6237" w:type="dxa"/>
            <w:vMerge w:val="restart"/>
            <w:tcBorders>
              <w:top w:val="single" w:sz="4" w:space="0" w:color="auto"/>
              <w:left w:val="single" w:sz="4" w:space="0" w:color="auto"/>
              <w:bottom w:val="single" w:sz="4" w:space="0" w:color="auto"/>
              <w:right w:val="single" w:sz="4" w:space="0" w:color="auto"/>
            </w:tcBorders>
            <w:vAlign w:val="center"/>
            <w:hideMark/>
          </w:tcPr>
          <w:p w:rsidR="00A62CFF" w:rsidRPr="00A62CFF" w:rsidRDefault="00A62CFF" w:rsidP="00A62CFF">
            <w:pPr>
              <w:spacing w:after="0" w:line="276" w:lineRule="auto"/>
              <w:jc w:val="center"/>
              <w:rPr>
                <w:rFonts w:ascii="Times New Roman" w:eastAsia="Times New Roman" w:hAnsi="Times New Roman" w:cs="Times New Roman"/>
                <w:sz w:val="24"/>
                <w:szCs w:val="24"/>
              </w:rPr>
            </w:pPr>
            <w:r w:rsidRPr="00A62CFF">
              <w:rPr>
                <w:rFonts w:ascii="Times New Roman" w:eastAsia="Times New Roman" w:hAnsi="Times New Roman" w:cs="Times New Roman"/>
                <w:sz w:val="24"/>
                <w:szCs w:val="24"/>
              </w:rPr>
              <w:t>Pasiūlymo turinys</w:t>
            </w:r>
          </w:p>
        </w:tc>
      </w:tr>
      <w:tr w:rsidR="00A62CFF" w:rsidRPr="00A62CFF" w:rsidTr="00B25BA7">
        <w:trPr>
          <w:cantSplit/>
          <w:trHeight w:val="426"/>
          <w:jc w:val="center"/>
        </w:trPr>
        <w:tc>
          <w:tcPr>
            <w:tcW w:w="562" w:type="dxa"/>
            <w:vMerge/>
            <w:tcBorders>
              <w:top w:val="single" w:sz="4" w:space="0" w:color="auto"/>
              <w:left w:val="single" w:sz="4" w:space="0" w:color="auto"/>
              <w:bottom w:val="single" w:sz="4" w:space="0" w:color="auto"/>
              <w:right w:val="single" w:sz="4" w:space="0" w:color="auto"/>
            </w:tcBorders>
            <w:vAlign w:val="center"/>
            <w:hideMark/>
          </w:tcPr>
          <w:p w:rsidR="00A62CFF" w:rsidRPr="00A62CFF" w:rsidRDefault="00A62CFF" w:rsidP="00A62CFF">
            <w:pPr>
              <w:spacing w:after="0" w:line="256" w:lineRule="auto"/>
              <w:rPr>
                <w:rFonts w:ascii="Times New Roman" w:eastAsia="Times New Roman" w:hAnsi="Times New Roman" w:cs="Times New Roman"/>
              </w:rPr>
            </w:pPr>
          </w:p>
        </w:tc>
        <w:tc>
          <w:tcPr>
            <w:tcW w:w="567" w:type="dxa"/>
            <w:tcBorders>
              <w:top w:val="single" w:sz="4" w:space="0" w:color="auto"/>
              <w:left w:val="single" w:sz="4" w:space="0" w:color="auto"/>
              <w:bottom w:val="single" w:sz="4" w:space="0" w:color="auto"/>
              <w:right w:val="single" w:sz="4" w:space="0" w:color="auto"/>
            </w:tcBorders>
            <w:vAlign w:val="center"/>
            <w:hideMark/>
          </w:tcPr>
          <w:p w:rsidR="00A62CFF" w:rsidRPr="00A62CFF" w:rsidRDefault="00A62CFF" w:rsidP="00A62CFF">
            <w:pPr>
              <w:spacing w:after="0" w:line="276" w:lineRule="auto"/>
              <w:jc w:val="center"/>
              <w:rPr>
                <w:rFonts w:ascii="Times New Roman" w:eastAsia="Times New Roman" w:hAnsi="Times New Roman" w:cs="Times New Roman"/>
                <w:sz w:val="24"/>
                <w:szCs w:val="20"/>
              </w:rPr>
            </w:pPr>
            <w:r w:rsidRPr="00A62CFF">
              <w:rPr>
                <w:rFonts w:ascii="Times New Roman" w:eastAsia="Times New Roman" w:hAnsi="Times New Roman" w:cs="Times New Roman"/>
                <w:sz w:val="20"/>
                <w:szCs w:val="24"/>
              </w:rPr>
              <w:t>str.</w:t>
            </w:r>
          </w:p>
        </w:tc>
        <w:tc>
          <w:tcPr>
            <w:tcW w:w="709" w:type="dxa"/>
            <w:tcBorders>
              <w:top w:val="single" w:sz="4" w:space="0" w:color="auto"/>
              <w:left w:val="single" w:sz="4" w:space="0" w:color="auto"/>
              <w:bottom w:val="single" w:sz="4" w:space="0" w:color="auto"/>
              <w:right w:val="single" w:sz="4" w:space="0" w:color="auto"/>
            </w:tcBorders>
            <w:vAlign w:val="center"/>
            <w:hideMark/>
          </w:tcPr>
          <w:p w:rsidR="00A62CFF" w:rsidRPr="00A62CFF" w:rsidRDefault="00A62CFF" w:rsidP="00A62CFF">
            <w:pPr>
              <w:spacing w:after="0" w:line="276" w:lineRule="auto"/>
              <w:jc w:val="center"/>
              <w:rPr>
                <w:rFonts w:ascii="Times New Roman" w:eastAsia="Times New Roman" w:hAnsi="Times New Roman" w:cs="Times New Roman"/>
                <w:sz w:val="24"/>
                <w:szCs w:val="20"/>
              </w:rPr>
            </w:pPr>
            <w:r w:rsidRPr="00A62CFF">
              <w:rPr>
                <w:rFonts w:ascii="Times New Roman" w:eastAsia="Times New Roman" w:hAnsi="Times New Roman" w:cs="Times New Roman"/>
                <w:sz w:val="20"/>
                <w:szCs w:val="24"/>
              </w:rPr>
              <w:t>str. d.</w:t>
            </w:r>
          </w:p>
        </w:tc>
        <w:tc>
          <w:tcPr>
            <w:tcW w:w="709" w:type="dxa"/>
            <w:tcBorders>
              <w:top w:val="single" w:sz="4" w:space="0" w:color="auto"/>
              <w:left w:val="single" w:sz="4" w:space="0" w:color="auto"/>
              <w:bottom w:val="single" w:sz="4" w:space="0" w:color="auto"/>
              <w:right w:val="single" w:sz="4" w:space="0" w:color="auto"/>
            </w:tcBorders>
            <w:vAlign w:val="center"/>
            <w:hideMark/>
          </w:tcPr>
          <w:p w:rsidR="00A62CFF" w:rsidRPr="00A62CFF" w:rsidRDefault="00A62CFF" w:rsidP="00A62CFF">
            <w:pPr>
              <w:spacing w:after="0" w:line="276" w:lineRule="auto"/>
              <w:jc w:val="center"/>
              <w:rPr>
                <w:rFonts w:ascii="Times New Roman" w:eastAsia="Times New Roman" w:hAnsi="Times New Roman" w:cs="Times New Roman"/>
                <w:sz w:val="24"/>
                <w:szCs w:val="20"/>
              </w:rPr>
            </w:pPr>
            <w:r w:rsidRPr="00A62CFF">
              <w:rPr>
                <w:rFonts w:ascii="Times New Roman" w:eastAsia="Times New Roman" w:hAnsi="Times New Roman" w:cs="Times New Roman"/>
                <w:sz w:val="20"/>
                <w:szCs w:val="24"/>
              </w:rPr>
              <w:t>p.</w:t>
            </w:r>
          </w:p>
        </w:tc>
        <w:tc>
          <w:tcPr>
            <w:tcW w:w="6237" w:type="dxa"/>
            <w:vMerge/>
            <w:tcBorders>
              <w:top w:val="single" w:sz="4" w:space="0" w:color="auto"/>
              <w:left w:val="single" w:sz="4" w:space="0" w:color="auto"/>
              <w:bottom w:val="single" w:sz="4" w:space="0" w:color="auto"/>
              <w:right w:val="single" w:sz="4" w:space="0" w:color="auto"/>
            </w:tcBorders>
            <w:vAlign w:val="center"/>
            <w:hideMark/>
          </w:tcPr>
          <w:p w:rsidR="00A62CFF" w:rsidRPr="00A62CFF" w:rsidRDefault="00A62CFF" w:rsidP="00A62CFF">
            <w:pPr>
              <w:spacing w:after="0" w:line="256" w:lineRule="auto"/>
              <w:rPr>
                <w:rFonts w:ascii="Times New Roman" w:eastAsia="Times New Roman" w:hAnsi="Times New Roman" w:cs="Times New Roman"/>
                <w:sz w:val="24"/>
                <w:szCs w:val="24"/>
              </w:rPr>
            </w:pPr>
          </w:p>
        </w:tc>
      </w:tr>
      <w:tr w:rsidR="00A62CFF" w:rsidRPr="00A62CFF" w:rsidTr="00B25BA7">
        <w:trPr>
          <w:trHeight w:val="416"/>
          <w:jc w:val="center"/>
        </w:trPr>
        <w:tc>
          <w:tcPr>
            <w:tcW w:w="562" w:type="dxa"/>
            <w:tcBorders>
              <w:top w:val="single" w:sz="4" w:space="0" w:color="auto"/>
              <w:left w:val="single" w:sz="4" w:space="0" w:color="auto"/>
              <w:bottom w:val="single" w:sz="4" w:space="0" w:color="auto"/>
              <w:right w:val="single" w:sz="4" w:space="0" w:color="auto"/>
            </w:tcBorders>
          </w:tcPr>
          <w:p w:rsidR="00A62CFF" w:rsidRPr="00A62CFF" w:rsidRDefault="00A62CFF" w:rsidP="00A62CFF">
            <w:pPr>
              <w:spacing w:after="0" w:line="276" w:lineRule="auto"/>
              <w:jc w:val="center"/>
              <w:rPr>
                <w:rFonts w:ascii="Times New Roman" w:eastAsia="Times New Roman" w:hAnsi="Times New Roman" w:cs="Times New Roman"/>
                <w:bCs/>
                <w:sz w:val="24"/>
                <w:szCs w:val="24"/>
              </w:rPr>
            </w:pPr>
            <w:r w:rsidRPr="00A62CFF">
              <w:rPr>
                <w:rFonts w:ascii="Times New Roman" w:eastAsia="Times New Roman" w:hAnsi="Times New Roman" w:cs="Times New Roman"/>
                <w:bCs/>
                <w:sz w:val="24"/>
                <w:szCs w:val="24"/>
              </w:rPr>
              <w:t>1</w:t>
            </w:r>
          </w:p>
        </w:tc>
        <w:tc>
          <w:tcPr>
            <w:tcW w:w="567" w:type="dxa"/>
            <w:tcBorders>
              <w:top w:val="single" w:sz="4" w:space="0" w:color="auto"/>
              <w:left w:val="single" w:sz="4" w:space="0" w:color="auto"/>
              <w:bottom w:val="single" w:sz="4" w:space="0" w:color="auto"/>
              <w:right w:val="single" w:sz="4" w:space="0" w:color="auto"/>
            </w:tcBorders>
          </w:tcPr>
          <w:p w:rsidR="00A62CFF" w:rsidRPr="00A62CFF" w:rsidRDefault="00A62CFF" w:rsidP="00A62CFF">
            <w:pPr>
              <w:spacing w:after="0" w:line="276" w:lineRule="auto"/>
              <w:jc w:val="center"/>
              <w:rPr>
                <w:rFonts w:ascii="Times New Roman" w:eastAsia="Times New Roman" w:hAnsi="Times New Roman" w:cs="Times New Roman"/>
                <w:b/>
                <w:bCs/>
                <w:sz w:val="24"/>
                <w:szCs w:val="24"/>
              </w:rPr>
            </w:pPr>
            <w:r w:rsidRPr="00A62CFF">
              <w:rPr>
                <w:rFonts w:ascii="Times New Roman" w:eastAsia="Times New Roman" w:hAnsi="Times New Roman" w:cs="Times New Roman"/>
                <w:b/>
                <w:bCs/>
                <w:sz w:val="24"/>
                <w:szCs w:val="24"/>
              </w:rPr>
              <w:t>1</w:t>
            </w:r>
          </w:p>
          <w:p w:rsidR="00A62CFF" w:rsidRPr="00A62CFF" w:rsidRDefault="00A62CFF" w:rsidP="00A62CFF">
            <w:pPr>
              <w:spacing w:after="0" w:line="276" w:lineRule="auto"/>
              <w:jc w:val="center"/>
              <w:rPr>
                <w:rFonts w:ascii="Times New Roman" w:eastAsia="Times New Roman" w:hAnsi="Times New Roman" w:cs="Times New Roman"/>
                <w:b/>
                <w:bCs/>
                <w:sz w:val="24"/>
                <w:szCs w:val="24"/>
              </w:rPr>
            </w:pPr>
            <w:r w:rsidRPr="00A62CFF">
              <w:rPr>
                <w:rFonts w:ascii="Times New Roman" w:eastAsia="Times New Roman" w:hAnsi="Times New Roman" w:cs="Times New Roman"/>
                <w:b/>
                <w:bCs/>
                <w:sz w:val="24"/>
                <w:szCs w:val="24"/>
              </w:rPr>
              <w:t>(2)</w:t>
            </w:r>
          </w:p>
        </w:tc>
        <w:tc>
          <w:tcPr>
            <w:tcW w:w="709" w:type="dxa"/>
            <w:tcBorders>
              <w:top w:val="single" w:sz="4" w:space="0" w:color="auto"/>
              <w:left w:val="single" w:sz="4" w:space="0" w:color="auto"/>
              <w:bottom w:val="single" w:sz="4" w:space="0" w:color="auto"/>
              <w:right w:val="single" w:sz="4" w:space="0" w:color="auto"/>
            </w:tcBorders>
          </w:tcPr>
          <w:p w:rsidR="00A62CFF" w:rsidRPr="00A62CFF" w:rsidRDefault="00A62CFF" w:rsidP="00A62CFF">
            <w:pPr>
              <w:spacing w:after="0" w:line="276" w:lineRule="auto"/>
              <w:jc w:val="center"/>
              <w:rPr>
                <w:rFonts w:ascii="Times New Roman" w:eastAsia="Times New Roman" w:hAnsi="Times New Roman" w:cs="Times New Roman"/>
                <w:b/>
                <w:bCs/>
                <w:sz w:val="24"/>
                <w:szCs w:val="24"/>
              </w:rPr>
            </w:pPr>
          </w:p>
          <w:p w:rsidR="00A62CFF" w:rsidRPr="00A62CFF" w:rsidRDefault="00A62CFF" w:rsidP="00A62CFF">
            <w:pPr>
              <w:spacing w:after="0" w:line="276" w:lineRule="auto"/>
              <w:jc w:val="center"/>
              <w:rPr>
                <w:rFonts w:ascii="Times New Roman" w:eastAsia="Times New Roman" w:hAnsi="Times New Roman" w:cs="Times New Roman"/>
                <w:b/>
                <w:bCs/>
                <w:sz w:val="24"/>
                <w:szCs w:val="24"/>
              </w:rPr>
            </w:pPr>
            <w:r w:rsidRPr="00A62CFF">
              <w:rPr>
                <w:rFonts w:ascii="Times New Roman" w:eastAsia="Times New Roman" w:hAnsi="Times New Roman" w:cs="Times New Roman"/>
                <w:b/>
                <w:bCs/>
                <w:sz w:val="24"/>
                <w:szCs w:val="24"/>
              </w:rPr>
              <w:t>(16)</w:t>
            </w:r>
          </w:p>
        </w:tc>
        <w:tc>
          <w:tcPr>
            <w:tcW w:w="709" w:type="dxa"/>
            <w:tcBorders>
              <w:top w:val="single" w:sz="4" w:space="0" w:color="auto"/>
              <w:left w:val="single" w:sz="4" w:space="0" w:color="auto"/>
              <w:bottom w:val="single" w:sz="4" w:space="0" w:color="auto"/>
              <w:right w:val="single" w:sz="4" w:space="0" w:color="auto"/>
            </w:tcBorders>
          </w:tcPr>
          <w:p w:rsidR="00A62CFF" w:rsidRPr="00A62CFF" w:rsidRDefault="00A62CFF" w:rsidP="00A62CFF">
            <w:pPr>
              <w:spacing w:after="0" w:line="276" w:lineRule="auto"/>
              <w:jc w:val="center"/>
              <w:rPr>
                <w:rFonts w:ascii="Times New Roman" w:eastAsia="Times New Roman" w:hAnsi="Times New Roman" w:cs="Times New Roman"/>
                <w:b/>
                <w:bCs/>
                <w:sz w:val="24"/>
                <w:szCs w:val="24"/>
              </w:rPr>
            </w:pPr>
          </w:p>
        </w:tc>
        <w:tc>
          <w:tcPr>
            <w:tcW w:w="6237" w:type="dxa"/>
            <w:tcBorders>
              <w:top w:val="single" w:sz="4" w:space="0" w:color="auto"/>
              <w:left w:val="single" w:sz="4" w:space="0" w:color="auto"/>
              <w:bottom w:val="single" w:sz="4" w:space="0" w:color="auto"/>
              <w:right w:val="single" w:sz="4" w:space="0" w:color="auto"/>
            </w:tcBorders>
          </w:tcPr>
          <w:p w:rsidR="00A62CFF" w:rsidRPr="00A62CFF" w:rsidRDefault="00A62CFF" w:rsidP="00A62CFF">
            <w:pPr>
              <w:spacing w:after="0" w:line="276" w:lineRule="auto"/>
              <w:jc w:val="both"/>
              <w:rPr>
                <w:rFonts w:ascii="Times New Roman" w:eastAsia="Times New Roman" w:hAnsi="Times New Roman" w:cs="Times New Roman"/>
                <w:b/>
                <w:bCs/>
              </w:rPr>
            </w:pPr>
            <w:r w:rsidRPr="00A62CFF">
              <w:rPr>
                <w:rFonts w:ascii="Times New Roman" w:eastAsia="Times New Roman" w:hAnsi="Times New Roman" w:cs="Times New Roman"/>
                <w:b/>
                <w:bCs/>
              </w:rPr>
              <w:t>Argumentai:</w:t>
            </w:r>
          </w:p>
          <w:p w:rsidR="00A62CFF" w:rsidRPr="00A62CFF" w:rsidRDefault="00A62CFF" w:rsidP="00A62CFF">
            <w:pPr>
              <w:spacing w:after="0" w:line="276" w:lineRule="auto"/>
              <w:jc w:val="both"/>
              <w:rPr>
                <w:rFonts w:ascii="Times New Roman" w:eastAsia="Times New Roman" w:hAnsi="Times New Roman" w:cs="Times New Roman"/>
                <w:bCs/>
              </w:rPr>
            </w:pPr>
            <w:r w:rsidRPr="00A62CFF">
              <w:rPr>
                <w:rFonts w:ascii="Times New Roman" w:eastAsia="Times New Roman" w:hAnsi="Times New Roman" w:cs="Times New Roman"/>
                <w:bCs/>
              </w:rPr>
              <w:t xml:space="preserve">Kultūros paveldo objektų apsaugai ir sklaidai lėšų vien tik iš valstybės ar savivaldybių biudžetų nepakanka. Trūkstamų lėšų būtų galima gauti iš kitų šaltinių – pvz. lėšos iš fizinių ir / ar juridinių asmenų, kitų organizacijų ar jų padalinių, lėšos iš užsienio valstybių piniginių fondų, lėšos, gautos privatizavus nekilnojamojo kultūros paveldo objektus (čia aktualu ir neprivatizuojamų kultūros paveldo objektų – buvusių dvarų sodybų sąraše esančių objektų, pritarus Vyriausybei, privatizavimo atveju), teisme išieškotos lėšos už kultūros paveldo objektų sužalojimą (žalos atlyginimas), iš fiziniams ir juridiniams asmenims paskirtų baudų gautos lėšos. Tikslinga sudaryti teisines prielaidas, kad  kultūros paveldo objektų apsaugai ir sklaidai būtų galima teisėtai skirti lėšas iš įvairių finansavimo šaltinių – geriausia tai padaryti, tai numatyti, kad  nekilnojamojo kultūros paveldo apsaugos programa yra finansuojama iš įvairių šaltinių, įskaitant iš valstybės ar savivaldybių biudžetų.  </w:t>
            </w:r>
          </w:p>
          <w:p w:rsidR="00A62CFF" w:rsidRPr="00A62CFF" w:rsidRDefault="00A62CFF" w:rsidP="00A62CFF">
            <w:pPr>
              <w:spacing w:after="0" w:line="276" w:lineRule="auto"/>
              <w:jc w:val="both"/>
              <w:rPr>
                <w:rFonts w:ascii="Times New Roman" w:eastAsia="Times New Roman" w:hAnsi="Times New Roman" w:cs="Times New Roman"/>
                <w:bCs/>
              </w:rPr>
            </w:pPr>
            <w:r w:rsidRPr="00A62CFF">
              <w:rPr>
                <w:rFonts w:ascii="Times New Roman" w:eastAsia="Times New Roman" w:hAnsi="Times New Roman" w:cs="Times New Roman"/>
                <w:bCs/>
              </w:rPr>
              <w:t>Siūlomas pakeitimas taip pat prisidėtų prie neteisėtų veiksmų vykdymo prevencijos, nes galiojantis žalos išieškojimo ir baudų mechanizmas neretai praranda prasmę – teismuose argumentuojama tuo, kad priteistos lėšos negrįžta paveldo objektų tvarkybai (patenka į bendrą biudžetą), todėl neatitinka Nekilnojamojo kultūros paveldo apsaugos įstatymo teisinio reguliavimo ir juo siekiamų tikslų (pvz., atkurti iki sužalojimo buvusią konkretaus objekto būklę). Kontrolę vykdančios institucijos, žinodamos, kad teisme išieškotos lėšos už kultūros paveldo objektų sužalojimą (žalos atlyginimas) yra kultūros paveldo objektų tvarkybos finansavimo šaltinis, bus suinteresuotos aktyviau išieškoti baudas fiksavus pažeidimus.</w:t>
            </w:r>
          </w:p>
          <w:p w:rsidR="00A62CFF" w:rsidRPr="00A62CFF" w:rsidRDefault="00A62CFF" w:rsidP="00A62CFF">
            <w:pPr>
              <w:spacing w:after="0" w:line="276" w:lineRule="auto"/>
              <w:jc w:val="both"/>
              <w:rPr>
                <w:rFonts w:ascii="Times New Roman" w:eastAsia="Times New Roman" w:hAnsi="Times New Roman" w:cs="Times New Roman"/>
                <w:bCs/>
              </w:rPr>
            </w:pPr>
          </w:p>
          <w:p w:rsidR="00A62CFF" w:rsidRPr="00A62CFF" w:rsidRDefault="00A62CFF" w:rsidP="00A62CFF">
            <w:pPr>
              <w:spacing w:after="0" w:line="276" w:lineRule="auto"/>
              <w:jc w:val="both"/>
              <w:rPr>
                <w:rFonts w:ascii="Times New Roman" w:eastAsia="Times New Roman" w:hAnsi="Times New Roman" w:cs="Times New Roman"/>
                <w:b/>
                <w:bCs/>
              </w:rPr>
            </w:pPr>
            <w:r w:rsidRPr="00A62CFF">
              <w:rPr>
                <w:rFonts w:ascii="Times New Roman" w:eastAsia="Times New Roman" w:hAnsi="Times New Roman" w:cs="Times New Roman"/>
                <w:b/>
                <w:bCs/>
              </w:rPr>
              <w:t>Pasiūlymas:</w:t>
            </w:r>
          </w:p>
          <w:p w:rsidR="00A62CFF" w:rsidRPr="00A62CFF" w:rsidRDefault="00A62CFF" w:rsidP="00A62CFF">
            <w:pPr>
              <w:tabs>
                <w:tab w:val="left" w:pos="4980"/>
              </w:tabs>
              <w:spacing w:after="0" w:line="276" w:lineRule="auto"/>
              <w:jc w:val="both"/>
              <w:rPr>
                <w:rFonts w:ascii="Times New Roman" w:eastAsia="Times New Roman" w:hAnsi="Times New Roman" w:cs="Times New Roman"/>
                <w:bCs/>
              </w:rPr>
            </w:pPr>
            <w:r w:rsidRPr="00A62CFF">
              <w:rPr>
                <w:rFonts w:ascii="Times New Roman" w:eastAsia="Times New Roman" w:hAnsi="Times New Roman" w:cs="Times New Roman"/>
                <w:bCs/>
              </w:rPr>
              <w:t>Pakeisti Projekto 1 straipsniu nauja redakcija dėstomo Nekilnojamojo kultūros paveldo apsaugos įstatymo 2 straipsnio 16 dalį ir ją išdėstyti taip:</w:t>
            </w:r>
          </w:p>
          <w:p w:rsidR="00A62CFF" w:rsidRPr="00A62CFF" w:rsidRDefault="00A62CFF" w:rsidP="00A62CFF">
            <w:pPr>
              <w:tabs>
                <w:tab w:val="left" w:pos="4980"/>
              </w:tabs>
              <w:spacing w:after="0" w:line="276" w:lineRule="auto"/>
              <w:jc w:val="both"/>
              <w:rPr>
                <w:rFonts w:ascii="Times New Roman" w:eastAsia="Times New Roman" w:hAnsi="Times New Roman" w:cs="Times New Roman"/>
                <w:bCs/>
              </w:rPr>
            </w:pPr>
            <w:r w:rsidRPr="00A62CFF">
              <w:rPr>
                <w:rFonts w:ascii="Times New Roman" w:eastAsia="Times New Roman" w:hAnsi="Times New Roman" w:cs="Times New Roman"/>
                <w:bCs/>
              </w:rPr>
              <w:t xml:space="preserve">„16. Nekilnojamojo kultūros paveldo apsaugos programa – valstybės ar savivaldybių biudžeto lėšomis, </w:t>
            </w:r>
            <w:r w:rsidRPr="00A62CFF">
              <w:rPr>
                <w:rFonts w:ascii="Times New Roman" w:eastAsia="Times New Roman" w:hAnsi="Times New Roman" w:cs="Times New Roman"/>
                <w:b/>
                <w:bCs/>
              </w:rPr>
              <w:t xml:space="preserve">taip pat fizinių ar juridinių asmenų ir užsienio valstybių tikslinėmis lėšomis, už nekilnojamojo kultūros paveldo objektų sužalojimą teisme išieškotomis lėšomis, iš fiziniams ir juridiniams asmenims paskirtų baudų lėšomis, už nekilnojamojo kultūros paveldo </w:t>
            </w:r>
            <w:r w:rsidRPr="00A62CFF">
              <w:rPr>
                <w:rFonts w:ascii="Times New Roman" w:eastAsia="Times New Roman" w:hAnsi="Times New Roman" w:cs="Times New Roman"/>
                <w:b/>
                <w:bCs/>
              </w:rPr>
              <w:lastRenderedPageBreak/>
              <w:t>objektų privatizavimą gautomis lėšomis</w:t>
            </w:r>
            <w:r w:rsidRPr="00A62CFF">
              <w:rPr>
                <w:rFonts w:ascii="Times New Roman" w:eastAsia="Times New Roman" w:hAnsi="Times New Roman" w:cs="Times New Roman"/>
                <w:bCs/>
              </w:rPr>
              <w:t xml:space="preserve"> finansuojama programa, skirta nekilnojamajam kultūros paveldui išsaugoti ir aktualizuoti.“ </w:t>
            </w:r>
          </w:p>
          <w:p w:rsidR="00A62CFF" w:rsidRPr="00A62CFF" w:rsidRDefault="00A62CFF" w:rsidP="00A62CFF">
            <w:pPr>
              <w:spacing w:after="0" w:line="276" w:lineRule="auto"/>
              <w:jc w:val="both"/>
              <w:rPr>
                <w:rFonts w:ascii="Times New Roman" w:eastAsia="Times New Roman" w:hAnsi="Times New Roman" w:cs="Times New Roman"/>
                <w:bCs/>
              </w:rPr>
            </w:pPr>
          </w:p>
        </w:tc>
      </w:tr>
    </w:tbl>
    <w:p w:rsidR="00A62CFF" w:rsidRPr="00A62CFF" w:rsidRDefault="00A62CFF" w:rsidP="00A62CFF">
      <w:pPr>
        <w:spacing w:after="0" w:line="240" w:lineRule="auto"/>
        <w:jc w:val="both"/>
        <w:rPr>
          <w:rFonts w:ascii="Times New Roman" w:eastAsia="Times New Roman" w:hAnsi="Times New Roman" w:cs="Times New Roman"/>
          <w:sz w:val="24"/>
          <w:szCs w:val="20"/>
        </w:rPr>
      </w:pPr>
    </w:p>
    <w:p w:rsidR="00A62CFF" w:rsidRPr="00A62CFF" w:rsidRDefault="00A62CFF" w:rsidP="00A62CFF">
      <w:pPr>
        <w:spacing w:after="0" w:line="240" w:lineRule="auto"/>
        <w:jc w:val="both"/>
        <w:rPr>
          <w:rFonts w:ascii="Times New Roman" w:eastAsia="Times New Roman" w:hAnsi="Times New Roman" w:cs="Times New Roman"/>
          <w:bCs/>
          <w:sz w:val="24"/>
          <w:szCs w:val="24"/>
        </w:rPr>
      </w:pPr>
    </w:p>
    <w:p w:rsidR="00A62CFF" w:rsidRPr="00A62CFF" w:rsidRDefault="00A62CFF" w:rsidP="00A62CFF">
      <w:pPr>
        <w:spacing w:after="0" w:line="240" w:lineRule="auto"/>
        <w:jc w:val="both"/>
        <w:rPr>
          <w:rFonts w:ascii="Times New Roman" w:eastAsia="Times New Roman" w:hAnsi="Times New Roman" w:cs="Times New Roman"/>
          <w:bCs/>
          <w:sz w:val="24"/>
          <w:szCs w:val="24"/>
        </w:rPr>
      </w:pPr>
      <w:r w:rsidRPr="00A62CFF">
        <w:rPr>
          <w:rFonts w:ascii="Times New Roman" w:eastAsia="Times New Roman" w:hAnsi="Times New Roman" w:cs="Times New Roman"/>
          <w:bCs/>
          <w:sz w:val="24"/>
          <w:szCs w:val="24"/>
        </w:rPr>
        <w:t>Teikia</w:t>
      </w:r>
    </w:p>
    <w:p w:rsidR="00A62CFF" w:rsidRPr="00A62CFF" w:rsidRDefault="00A62CFF" w:rsidP="00A62CFF">
      <w:pPr>
        <w:spacing w:after="0" w:line="240" w:lineRule="auto"/>
        <w:jc w:val="both"/>
        <w:rPr>
          <w:rFonts w:ascii="Times New Roman" w:eastAsia="Times New Roman" w:hAnsi="Times New Roman" w:cs="Times New Roman"/>
          <w:bCs/>
          <w:sz w:val="24"/>
          <w:szCs w:val="24"/>
        </w:rPr>
      </w:pPr>
    </w:p>
    <w:p w:rsidR="00265F76" w:rsidRDefault="00A62CFF" w:rsidP="00A62CFF">
      <w:r w:rsidRPr="00A62CFF">
        <w:rPr>
          <w:rFonts w:ascii="Times New Roman" w:eastAsia="Times New Roman" w:hAnsi="Times New Roman" w:cs="Times New Roman"/>
          <w:bCs/>
          <w:sz w:val="24"/>
          <w:szCs w:val="24"/>
        </w:rPr>
        <w:t>Seimo nariai:</w:t>
      </w:r>
      <w:r w:rsidRPr="00A62CFF">
        <w:rPr>
          <w:rFonts w:ascii="Times New Roman" w:eastAsia="Times New Roman" w:hAnsi="Times New Roman" w:cs="Times New Roman"/>
          <w:bCs/>
          <w:sz w:val="24"/>
          <w:szCs w:val="24"/>
        </w:rPr>
        <w:tab/>
      </w:r>
      <w:r w:rsidRPr="00A62CFF">
        <w:rPr>
          <w:rFonts w:ascii="Times New Roman" w:eastAsia="Times New Roman" w:hAnsi="Times New Roman" w:cs="Times New Roman"/>
          <w:bCs/>
          <w:sz w:val="24"/>
          <w:szCs w:val="24"/>
        </w:rPr>
        <w:tab/>
      </w:r>
    </w:p>
    <w:sectPr w:rsidR="00265F76" w:rsidSect="00A62CFF">
      <w:pgSz w:w="11906" w:h="16838"/>
      <w:pgMar w:top="1135" w:right="567" w:bottom="1134"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BA"/>
    <w:family w:val="swiss"/>
    <w:pitch w:val="variable"/>
    <w:sig w:usb0="E4002EFF" w:usb1="C000247B"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2CFF"/>
    <w:rsid w:val="00265F76"/>
    <w:rsid w:val="00A62CF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C27B85F-495E-4DE2-BCDE-6848CF98B7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vt="http://schemas.openxmlformats.org/officeDocument/2006/docPropsVTypes" xmlns:ap="http://schemas.openxmlformats.org/officeDocument/2006/extended-properties">
  <ap:Template>Normal.dotm</ap:Template>
  <ap:TotalTime>2</ap:TotalTime>
  <ap:Pages>2</ap:Pages>
  <ap:Words>1676</ap:Words>
  <ap:Characters>956</ap:Characters>
  <ap:Application>Microsoft Office Word</ap:Application>
  <ap:DocSecurity>0</ap:DocSecurity>
  <ap:Lines>7</ap:Lines>
  <ap:Paragraphs>5</ap:Paragraphs>
  <ap:ScaleCrop>false</ap:ScaleCrop>
  <ap:HeadingPairs>
    <vt:vector baseType="variant" size="2">
      <vt:variant>
        <vt:lpstr>Pavadinimas</vt:lpstr>
      </vt:variant>
      <vt:variant>
        <vt:i4>1</vt:i4>
      </vt:variant>
    </vt:vector>
  </ap:HeadingPairs>
  <ap:TitlesOfParts>
    <vt:vector baseType="lpstr" size="1">
      <vt:lpstr/>
    </vt:vector>
  </ap:TitlesOfParts>
  <ap:Company>LR Seimo kanceliarija</ap:Company>
  <ap:LinksUpToDate>false</ap:LinksUpToDate>
  <ap:CharactersWithSpaces>2627</ap:CharactersWithSpaces>
  <ap:SharedDoc>false</ap:SharedDoc>
  <ap:HyperlinksChanged>false</ap:HyperlinksChanged>
  <ap:AppVersion>15.0000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ŽUROMSKIENĖ Giedrė</dc:creator>
  <cp:keywords/>
  <dc:description/>
  <cp:lastModifiedBy>ŽUROMSKIENĖ Giedrė</cp:lastModifiedBy>
  <cp:revision>1</cp:revision>
  <dcterms:created xsi:type="dcterms:W3CDTF">2024-10-22T12:00:00Z</dcterms:created>
  <dcterms:modified xsi:type="dcterms:W3CDTF">2024-10-22T12:02:00Z</dcterms:modified>
</cp:coreProperties>
</file>