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6784D" w14:textId="77777777" w:rsidR="0087202C" w:rsidRPr="006632EC" w:rsidRDefault="0087202C">
      <w:pPr>
        <w:tabs>
          <w:tab w:val="left" w:pos="4536"/>
        </w:tabs>
        <w:rPr>
          <w:lang w:val="lt-LT"/>
        </w:rPr>
      </w:pPr>
    </w:p>
    <w:tbl>
      <w:tblPr>
        <w:tblW w:w="0" w:type="auto"/>
        <w:tblInd w:w="108" w:type="dxa"/>
        <w:tblLayout w:type="fixed"/>
        <w:tblLook w:val="00A0" w:firstRow="1" w:lastRow="0" w:firstColumn="1" w:lastColumn="0" w:noHBand="0" w:noVBand="0"/>
      </w:tblPr>
      <w:tblGrid>
        <w:gridCol w:w="3828"/>
        <w:gridCol w:w="283"/>
        <w:gridCol w:w="5387"/>
      </w:tblGrid>
      <w:tr w:rsidR="0087202C" w:rsidRPr="00D4321A" w14:paraId="50A36752" w14:textId="77777777" w:rsidTr="00A64954">
        <w:trPr>
          <w:trHeight w:hRule="exact" w:val="1055"/>
        </w:trPr>
        <w:tc>
          <w:tcPr>
            <w:tcW w:w="9498" w:type="dxa"/>
            <w:gridSpan w:val="3"/>
          </w:tcPr>
          <w:p w14:paraId="5C51FEA8" w14:textId="77777777" w:rsidR="0087202C" w:rsidRPr="00D4321A" w:rsidRDefault="00705792" w:rsidP="00A64954">
            <w:pPr>
              <w:spacing w:after="360"/>
              <w:jc w:val="center"/>
              <w:rPr>
                <w:color w:val="000000"/>
                <w:lang w:val="lt-LT"/>
              </w:rPr>
            </w:pPr>
            <w:r>
              <w:rPr>
                <w:noProof/>
                <w:lang w:val="lt-LT" w:eastAsia="lt-LT"/>
              </w:rPr>
              <w:drawing>
                <wp:inline distT="0" distB="0" distL="0" distR="0" wp14:anchorId="1432357D" wp14:editId="653AA5C5">
                  <wp:extent cx="504825" cy="571500"/>
                  <wp:effectExtent l="0" t="0" r="9525" b="0"/>
                  <wp:docPr id="2" name="Picture 1" descr="herbas-L_spalvo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L_spalvota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825" cy="571500"/>
                          </a:xfrm>
                          <a:prstGeom prst="rect">
                            <a:avLst/>
                          </a:prstGeom>
                          <a:noFill/>
                          <a:ln>
                            <a:noFill/>
                          </a:ln>
                        </pic:spPr>
                      </pic:pic>
                    </a:graphicData>
                  </a:graphic>
                </wp:inline>
              </w:drawing>
            </w:r>
          </w:p>
        </w:tc>
      </w:tr>
      <w:tr w:rsidR="0087202C" w:rsidRPr="00D4321A" w14:paraId="59738B88" w14:textId="77777777" w:rsidTr="00050B0E">
        <w:trPr>
          <w:trHeight w:hRule="exact" w:val="825"/>
        </w:trPr>
        <w:tc>
          <w:tcPr>
            <w:tcW w:w="9498" w:type="dxa"/>
            <w:gridSpan w:val="3"/>
          </w:tcPr>
          <w:p w14:paraId="27BF8B09" w14:textId="77777777" w:rsidR="0087202C" w:rsidRPr="00D4321A" w:rsidRDefault="0087202C">
            <w:pPr>
              <w:pStyle w:val="Heading1"/>
              <w:rPr>
                <w:color w:val="000000"/>
                <w:szCs w:val="24"/>
              </w:rPr>
            </w:pPr>
            <w:r w:rsidRPr="00D4321A">
              <w:rPr>
                <w:szCs w:val="24"/>
              </w:rPr>
              <w:t>LIETUVOS BANKAS</w:t>
            </w:r>
          </w:p>
          <w:p w14:paraId="7A458E5D" w14:textId="77777777" w:rsidR="0087202C" w:rsidRPr="00050B0E" w:rsidRDefault="0087202C">
            <w:pPr>
              <w:spacing w:before="120"/>
              <w:jc w:val="center"/>
              <w:rPr>
                <w:b/>
                <w:vanish/>
                <w:color w:val="000000"/>
                <w:sz w:val="24"/>
                <w:szCs w:val="24"/>
                <w:lang w:val="lt-LT"/>
              </w:rPr>
            </w:pPr>
          </w:p>
        </w:tc>
      </w:tr>
      <w:tr w:rsidR="00050B0E" w:rsidRPr="00D4321A" w14:paraId="2495054D" w14:textId="77777777" w:rsidTr="000D6A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498" w:type="dxa"/>
            <w:gridSpan w:val="3"/>
            <w:tcBorders>
              <w:top w:val="nil"/>
              <w:left w:val="nil"/>
              <w:bottom w:val="nil"/>
              <w:right w:val="nil"/>
            </w:tcBorders>
          </w:tcPr>
          <w:p w14:paraId="40BCC316" w14:textId="77777777" w:rsidR="00050B0E" w:rsidRPr="00D4321A" w:rsidRDefault="00050B0E" w:rsidP="000D6AEB">
            <w:pPr>
              <w:rPr>
                <w:b/>
                <w:bCs/>
                <w:lang w:val="lt-LT"/>
              </w:rPr>
            </w:pPr>
          </w:p>
        </w:tc>
      </w:tr>
      <w:tr w:rsidR="0087202C" w:rsidRPr="00D4321A" w14:paraId="7D99FA30" w14:textId="77777777" w:rsidTr="00255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3828" w:type="dxa"/>
            <w:tcBorders>
              <w:top w:val="nil"/>
              <w:left w:val="nil"/>
              <w:bottom w:val="nil"/>
              <w:right w:val="nil"/>
            </w:tcBorders>
          </w:tcPr>
          <w:p w14:paraId="03F91A71" w14:textId="77777777" w:rsidR="00641E2D" w:rsidRPr="00641E2D" w:rsidRDefault="00641E2D" w:rsidP="00641E2D">
            <w:pPr>
              <w:rPr>
                <w:lang w:val="lt-LT"/>
              </w:rPr>
            </w:pPr>
            <w:r w:rsidRPr="00641E2D">
              <w:rPr>
                <w:lang w:val="lt-LT"/>
              </w:rPr>
              <w:t>Lietuvos Respublikos Seimui</w:t>
            </w:r>
          </w:p>
          <w:p w14:paraId="06780EC3" w14:textId="77777777" w:rsidR="00641E2D" w:rsidRPr="00641E2D" w:rsidRDefault="00641E2D" w:rsidP="00641E2D">
            <w:pPr>
              <w:rPr>
                <w:lang w:val="lt-LT"/>
              </w:rPr>
            </w:pPr>
            <w:r w:rsidRPr="00641E2D">
              <w:rPr>
                <w:lang w:val="lt-LT"/>
              </w:rPr>
              <w:t>Gedimino pr. 53</w:t>
            </w:r>
          </w:p>
          <w:p w14:paraId="46DAFAAC" w14:textId="77777777" w:rsidR="0087202C" w:rsidRPr="00D4321A" w:rsidRDefault="00641E2D" w:rsidP="00641E2D">
            <w:pPr>
              <w:rPr>
                <w:lang w:val="lt-LT"/>
              </w:rPr>
            </w:pPr>
            <w:r w:rsidRPr="00641E2D">
              <w:rPr>
                <w:lang w:val="lt-LT"/>
              </w:rPr>
              <w:t>01109 Vilnius</w:t>
            </w:r>
          </w:p>
        </w:tc>
        <w:tc>
          <w:tcPr>
            <w:tcW w:w="283" w:type="dxa"/>
            <w:tcBorders>
              <w:top w:val="nil"/>
              <w:left w:val="nil"/>
              <w:bottom w:val="nil"/>
              <w:right w:val="nil"/>
            </w:tcBorders>
          </w:tcPr>
          <w:p w14:paraId="59CF7C4A" w14:textId="77777777" w:rsidR="0087202C" w:rsidRPr="00D4321A" w:rsidRDefault="0087202C">
            <w:pPr>
              <w:pStyle w:val="Heading2"/>
              <w:rPr>
                <w:sz w:val="20"/>
              </w:rPr>
            </w:pPr>
          </w:p>
          <w:p w14:paraId="07DFFAA1" w14:textId="77777777" w:rsidR="0087202C" w:rsidRPr="00D4321A" w:rsidRDefault="0087202C">
            <w:pPr>
              <w:pStyle w:val="Heading2"/>
              <w:rPr>
                <w:sz w:val="20"/>
              </w:rPr>
            </w:pPr>
          </w:p>
        </w:tc>
        <w:tc>
          <w:tcPr>
            <w:tcW w:w="5387" w:type="dxa"/>
            <w:tcBorders>
              <w:top w:val="nil"/>
              <w:left w:val="nil"/>
              <w:bottom w:val="nil"/>
              <w:right w:val="nil"/>
            </w:tcBorders>
          </w:tcPr>
          <w:p w14:paraId="369E9A80" w14:textId="77777777" w:rsidR="0087202C" w:rsidRPr="00D4321A" w:rsidRDefault="0087202C" w:rsidP="00255AD3">
            <w:pPr>
              <w:rPr>
                <w:lang w:val="lt-LT"/>
              </w:rPr>
            </w:pPr>
            <w:r w:rsidRPr="00D4321A">
              <w:rPr>
                <w:lang w:val="lt-LT"/>
              </w:rPr>
              <w:fldChar w:fldCharType="begin"/>
            </w:r>
            <w:r w:rsidRPr="00D4321A">
              <w:rPr>
                <w:lang w:val="lt-LT"/>
              </w:rPr>
              <w:instrText xml:space="preserve"> DOCPROPERTY  "dok_data" </w:instrText>
            </w:r>
            <w:r w:rsidRPr="00D4321A">
              <w:rPr>
                <w:lang w:val="lt-LT"/>
              </w:rPr>
              <w:fldChar w:fldCharType="separate"/>
            </w:r>
            <w:r w:rsidR="00A27554">
              <w:rPr>
                <w:lang w:val="lt-LT"/>
              </w:rPr>
              <w:t>    </w:t>
            </w:r>
            <w:r w:rsidRPr="00D4321A">
              <w:rPr>
                <w:lang w:val="lt-LT"/>
              </w:rPr>
              <w:fldChar w:fldCharType="end"/>
            </w:r>
            <w:r w:rsidRPr="00D4321A">
              <w:rPr>
                <w:lang w:val="lt-LT"/>
              </w:rPr>
              <w:t xml:space="preserve"> Nr. </w:t>
            </w:r>
            <w:r w:rsidRPr="00D4321A">
              <w:rPr>
                <w:lang w:val="lt-LT"/>
              </w:rPr>
              <w:fldChar w:fldCharType="begin"/>
            </w:r>
            <w:r w:rsidRPr="00D4321A">
              <w:rPr>
                <w:lang w:val="lt-LT"/>
              </w:rPr>
              <w:instrText xml:space="preserve"> DOCPROPERTY  "reg_nr" </w:instrText>
            </w:r>
            <w:r w:rsidRPr="00D4321A">
              <w:rPr>
                <w:lang w:val="lt-LT"/>
              </w:rPr>
              <w:fldChar w:fldCharType="separate"/>
            </w:r>
            <w:r w:rsidR="00A27554">
              <w:rPr>
                <w:lang w:val="lt-LT"/>
              </w:rPr>
              <w:t>    </w:t>
            </w:r>
            <w:r w:rsidRPr="00D4321A">
              <w:rPr>
                <w:lang w:val="lt-LT"/>
              </w:rPr>
              <w:fldChar w:fldCharType="end"/>
            </w:r>
            <w:r w:rsidRPr="00D4321A">
              <w:rPr>
                <w:lang w:val="lt-LT"/>
              </w:rPr>
              <w:t xml:space="preserve"> </w:t>
            </w:r>
          </w:p>
        </w:tc>
      </w:tr>
      <w:tr w:rsidR="00255AD3" w:rsidRPr="00D4321A" w14:paraId="3EE88267" w14:textId="77777777" w:rsidTr="00A649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498" w:type="dxa"/>
            <w:gridSpan w:val="3"/>
            <w:tcBorders>
              <w:top w:val="nil"/>
              <w:left w:val="nil"/>
              <w:bottom w:val="nil"/>
              <w:right w:val="nil"/>
            </w:tcBorders>
          </w:tcPr>
          <w:p w14:paraId="171FED8A" w14:textId="77777777" w:rsidR="00255AD3" w:rsidRPr="00D4321A" w:rsidRDefault="00255AD3">
            <w:pPr>
              <w:rPr>
                <w:b/>
                <w:bCs/>
                <w:lang w:val="lt-LT"/>
              </w:rPr>
            </w:pPr>
          </w:p>
        </w:tc>
      </w:tr>
      <w:tr w:rsidR="0087202C" w:rsidRPr="00D4321A" w14:paraId="2FE101FD" w14:textId="77777777" w:rsidTr="00A649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498" w:type="dxa"/>
            <w:gridSpan w:val="3"/>
            <w:tcBorders>
              <w:top w:val="nil"/>
              <w:left w:val="nil"/>
              <w:bottom w:val="nil"/>
              <w:right w:val="nil"/>
            </w:tcBorders>
          </w:tcPr>
          <w:p w14:paraId="78DF76E4" w14:textId="77777777" w:rsidR="0087202C" w:rsidRPr="00D4321A" w:rsidRDefault="00641E2D" w:rsidP="00641E2D">
            <w:pPr>
              <w:rPr>
                <w:b/>
                <w:lang w:val="lt-LT"/>
              </w:rPr>
            </w:pPr>
            <w:r w:rsidRPr="00641E2D">
              <w:rPr>
                <w:b/>
                <w:lang w:val="lt-LT"/>
              </w:rPr>
              <w:t>DĖL LIETUVOS RESPUBLIKOS 202</w:t>
            </w:r>
            <w:r>
              <w:rPr>
                <w:b/>
                <w:lang w:val="lt-LT"/>
              </w:rPr>
              <w:t>1</w:t>
            </w:r>
            <w:r w:rsidRPr="00641E2D">
              <w:rPr>
                <w:b/>
                <w:lang w:val="lt-LT"/>
              </w:rPr>
              <w:t xml:space="preserve"> METŲ VALDŽIOS SEKTORIAUS BALANSO RODIKLIO PAGERĖJIMO UŽDUOČIŲ ĮVYKDYMO POVEIKIO PASITIKĖJIMUI FINANSŲ SISTEMOS STABILUMU IR KAINŲ STABILUMUI</w:t>
            </w:r>
          </w:p>
        </w:tc>
      </w:tr>
    </w:tbl>
    <w:p w14:paraId="661615CF" w14:textId="77777777" w:rsidR="0087202C" w:rsidRPr="00D4321A" w:rsidRDefault="0087202C">
      <w:pPr>
        <w:rPr>
          <w:lang w:val="lt-LT"/>
        </w:rPr>
      </w:pPr>
    </w:p>
    <w:p w14:paraId="784F8A4D" w14:textId="77777777" w:rsidR="0087202C" w:rsidRPr="00D4321A" w:rsidRDefault="0087202C">
      <w:pPr>
        <w:rPr>
          <w:lang w:val="lt-LT"/>
        </w:rPr>
      </w:pPr>
    </w:p>
    <w:p w14:paraId="1E799F97" w14:textId="77777777" w:rsidR="0087202C" w:rsidRPr="00D4321A" w:rsidRDefault="0087202C">
      <w:pPr>
        <w:rPr>
          <w:lang w:val="lt-LT"/>
        </w:rPr>
      </w:pPr>
    </w:p>
    <w:p w14:paraId="3AEC21D2" w14:textId="77777777" w:rsidR="00641E2D" w:rsidRDefault="00641E2D" w:rsidP="007E3194">
      <w:pPr>
        <w:ind w:firstLine="709"/>
        <w:jc w:val="both"/>
        <w:rPr>
          <w:lang w:val="lt-LT"/>
        </w:rPr>
      </w:pPr>
      <w:r w:rsidRPr="00F32352">
        <w:rPr>
          <w:lang w:val="lt-LT"/>
        </w:rPr>
        <w:t>Remdamiesi Lietuvos Respublikos biudžeto sandaros įstatymo 19 straipsnio 2 dalimi, teikiame išvadą dėl numatomų Lietuvos Respublikos 202</w:t>
      </w:r>
      <w:r>
        <w:rPr>
          <w:lang w:val="lt-LT"/>
        </w:rPr>
        <w:t>1</w:t>
      </w:r>
      <w:r w:rsidRPr="00F32352">
        <w:rPr>
          <w:lang w:val="lt-LT"/>
        </w:rPr>
        <w:t xml:space="preserve"> m. valstybės, savivaldybių, Valstybinio socialinio draudimo fondo ir Privalomojo sveikatos draudimo fondo biudžetų rodiklių galimo poveikio pasitikėjimui finansų sistemos stabilumu ir kainų stabilumui, išskirtinį dėmesį skirdami išoriniam ūkio </w:t>
      </w:r>
      <w:proofErr w:type="spellStart"/>
      <w:r w:rsidRPr="00F32352">
        <w:rPr>
          <w:lang w:val="lt-LT"/>
        </w:rPr>
        <w:t>subalansuotumui</w:t>
      </w:r>
      <w:proofErr w:type="spellEnd"/>
      <w:r w:rsidRPr="00F32352">
        <w:rPr>
          <w:lang w:val="lt-LT"/>
        </w:rPr>
        <w:t xml:space="preserve"> i</w:t>
      </w:r>
      <w:r w:rsidR="000E09D4">
        <w:rPr>
          <w:lang w:val="lt-LT"/>
        </w:rPr>
        <w:t>r</w:t>
      </w:r>
      <w:r w:rsidRPr="00F32352">
        <w:rPr>
          <w:lang w:val="lt-LT"/>
        </w:rPr>
        <w:t xml:space="preserve"> ilgalaikiam valdžios sektoriaus finansų </w:t>
      </w:r>
      <w:r w:rsidRPr="00962005">
        <w:rPr>
          <w:lang w:val="lt-LT"/>
        </w:rPr>
        <w:t>tvarumui. Vertinimas atliktas remiantis Lietuvos Respublikos Vyriausybės 202</w:t>
      </w:r>
      <w:r w:rsidR="00962005" w:rsidRPr="00962005">
        <w:rPr>
          <w:lang w:val="lt-LT"/>
        </w:rPr>
        <w:t>1</w:t>
      </w:r>
      <w:r w:rsidRPr="00962005">
        <w:rPr>
          <w:lang w:val="lt-LT"/>
        </w:rPr>
        <w:t> m. spalio 15 d</w:t>
      </w:r>
      <w:r w:rsidRPr="00F32352">
        <w:rPr>
          <w:lang w:val="lt-LT"/>
        </w:rPr>
        <w:t>. Lietuvos Respublikos Seimui pateiktu Lietuvos Respublikos 202</w:t>
      </w:r>
      <w:r>
        <w:rPr>
          <w:lang w:val="lt-LT"/>
        </w:rPr>
        <w:t>1</w:t>
      </w:r>
      <w:r w:rsidRPr="00F32352">
        <w:rPr>
          <w:lang w:val="lt-LT"/>
        </w:rPr>
        <w:t> m. valstybės biudžeto ir savivaldybių biudžetų finansinių rodiklių patvirtinimo įstatymo projektu ir kita su juo susijusia informacija (toliau – projektai)</w:t>
      </w:r>
      <w:r w:rsidRPr="00F32352">
        <w:rPr>
          <w:rStyle w:val="FootnoteReference"/>
          <w:lang w:val="lt-LT"/>
        </w:rPr>
        <w:footnoteReference w:id="2"/>
      </w:r>
      <w:r w:rsidRPr="00F32352">
        <w:rPr>
          <w:lang w:val="lt-LT"/>
        </w:rPr>
        <w:t>.</w:t>
      </w:r>
    </w:p>
    <w:p w14:paraId="0FDA5773" w14:textId="77777777" w:rsidR="009C5087" w:rsidRPr="00312A35" w:rsidRDefault="009C5087" w:rsidP="007E3194">
      <w:pPr>
        <w:ind w:firstLine="709"/>
        <w:jc w:val="both"/>
        <w:rPr>
          <w:b/>
          <w:lang w:val="lt-LT"/>
        </w:rPr>
      </w:pPr>
    </w:p>
    <w:p w14:paraId="4659884E" w14:textId="77777777" w:rsidR="009C5087" w:rsidRPr="00BC53C3" w:rsidRDefault="00312A35" w:rsidP="00312A35">
      <w:pPr>
        <w:jc w:val="both"/>
        <w:rPr>
          <w:b/>
          <w:u w:val="single"/>
          <w:lang w:val="lt-LT"/>
        </w:rPr>
      </w:pPr>
      <w:r w:rsidRPr="00BC53C3">
        <w:rPr>
          <w:b/>
          <w:u w:val="single"/>
          <w:lang w:val="lt-LT"/>
        </w:rPr>
        <w:t>Santrauka:</w:t>
      </w:r>
    </w:p>
    <w:p w14:paraId="73CEF4A5" w14:textId="77777777" w:rsidR="00312A35" w:rsidRPr="00312A35" w:rsidRDefault="00312A35" w:rsidP="007E3194">
      <w:pPr>
        <w:ind w:firstLine="709"/>
        <w:jc w:val="both"/>
        <w:rPr>
          <w:b/>
          <w:lang w:val="lt-LT"/>
        </w:rPr>
      </w:pPr>
    </w:p>
    <w:p w14:paraId="658C55C0" w14:textId="77777777" w:rsidR="00312A35" w:rsidRPr="00312A35" w:rsidRDefault="00641E2D" w:rsidP="00312A35">
      <w:pPr>
        <w:pStyle w:val="ListParagraph"/>
        <w:numPr>
          <w:ilvl w:val="0"/>
          <w:numId w:val="2"/>
        </w:numPr>
        <w:ind w:left="426" w:hanging="426"/>
        <w:jc w:val="both"/>
        <w:rPr>
          <w:rFonts w:ascii="Verdana" w:hAnsi="Verdana"/>
        </w:rPr>
      </w:pPr>
      <w:r w:rsidRPr="00312A35">
        <w:rPr>
          <w:rFonts w:ascii="Verdana" w:hAnsi="Verdana"/>
        </w:rPr>
        <w:t xml:space="preserve">Lietuvos banko vertinimu, </w:t>
      </w:r>
      <w:r w:rsidR="007F322A" w:rsidRPr="00312A35">
        <w:rPr>
          <w:rFonts w:ascii="Verdana" w:hAnsi="Verdana"/>
        </w:rPr>
        <w:t xml:space="preserve">dėl projektuose formuojamo 2021 m. valdžios sektoriaus balanso </w:t>
      </w:r>
      <w:r w:rsidR="006C3311">
        <w:rPr>
          <w:rFonts w:ascii="Verdana" w:hAnsi="Verdana"/>
        </w:rPr>
        <w:t xml:space="preserve">ir </w:t>
      </w:r>
      <w:r w:rsidR="000E09D4">
        <w:rPr>
          <w:rFonts w:ascii="Verdana" w:hAnsi="Verdana"/>
        </w:rPr>
        <w:t xml:space="preserve">gerokai </w:t>
      </w:r>
      <w:r w:rsidR="006C3311">
        <w:rPr>
          <w:rFonts w:ascii="Verdana" w:hAnsi="Verdana"/>
        </w:rPr>
        <w:t>išaugsiančios valdžios sektoriaus skolos,</w:t>
      </w:r>
      <w:r w:rsidR="007F322A" w:rsidRPr="00312A35">
        <w:rPr>
          <w:rFonts w:ascii="Verdana" w:hAnsi="Verdana"/>
        </w:rPr>
        <w:t xml:space="preserve"> nepasitikėjim</w:t>
      </w:r>
      <w:r w:rsidR="000E09D4">
        <w:rPr>
          <w:rFonts w:ascii="Verdana" w:hAnsi="Verdana"/>
        </w:rPr>
        <w:t>o</w:t>
      </w:r>
      <w:r w:rsidR="007F322A" w:rsidRPr="00312A35">
        <w:rPr>
          <w:rFonts w:ascii="Verdana" w:hAnsi="Verdana"/>
        </w:rPr>
        <w:t xml:space="preserve"> finansų sistemos stabilumu </w:t>
      </w:r>
      <w:r w:rsidR="001964EC">
        <w:rPr>
          <w:rFonts w:ascii="Verdana" w:hAnsi="Verdana"/>
        </w:rPr>
        <w:t>rizika</w:t>
      </w:r>
      <w:r w:rsidR="001964EC" w:rsidRPr="00312A35">
        <w:rPr>
          <w:rFonts w:ascii="Verdana" w:hAnsi="Verdana"/>
        </w:rPr>
        <w:t xml:space="preserve"> </w:t>
      </w:r>
      <w:r w:rsidR="007F322A" w:rsidRPr="00312A35">
        <w:rPr>
          <w:rFonts w:ascii="Verdana" w:hAnsi="Verdana"/>
        </w:rPr>
        <w:t>yra padidėjusi, tačiau valdoma</w:t>
      </w:r>
      <w:r w:rsidR="008B2F3E" w:rsidRPr="00312A35">
        <w:rPr>
          <w:rFonts w:ascii="Verdana" w:hAnsi="Verdana"/>
        </w:rPr>
        <w:t xml:space="preserve">, nes </w:t>
      </w:r>
      <w:r w:rsidR="00A130FE" w:rsidRPr="00312A35">
        <w:rPr>
          <w:rFonts w:ascii="Verdana" w:hAnsi="Verdana"/>
        </w:rPr>
        <w:t>mažų</w:t>
      </w:r>
      <w:r w:rsidR="00187E18" w:rsidRPr="00312A35">
        <w:rPr>
          <w:rFonts w:ascii="Verdana" w:hAnsi="Verdana"/>
        </w:rPr>
        <w:t xml:space="preserve"> palūkanų normų aplinka </w:t>
      </w:r>
      <w:r w:rsidR="008B2F3E" w:rsidRPr="00312A35">
        <w:rPr>
          <w:rFonts w:ascii="Verdana" w:hAnsi="Verdana"/>
        </w:rPr>
        <w:t>sudaro prielaidas finansuoti</w:t>
      </w:r>
      <w:r w:rsidR="00E62BE4" w:rsidRPr="00312A35">
        <w:rPr>
          <w:rFonts w:ascii="Verdana" w:hAnsi="Verdana"/>
        </w:rPr>
        <w:t xml:space="preserve"> valdžios sektoriaus</w:t>
      </w:r>
      <w:r w:rsidR="008B2F3E" w:rsidRPr="00312A35">
        <w:rPr>
          <w:rFonts w:ascii="Verdana" w:hAnsi="Verdana"/>
        </w:rPr>
        <w:t xml:space="preserve"> deficitą mažesnėmis </w:t>
      </w:r>
      <w:r w:rsidR="00737F25" w:rsidRPr="00312A35">
        <w:rPr>
          <w:rFonts w:ascii="Verdana" w:hAnsi="Verdana"/>
        </w:rPr>
        <w:t>išlaidomis</w:t>
      </w:r>
      <w:r w:rsidR="007F322A" w:rsidRPr="00312A35">
        <w:rPr>
          <w:rFonts w:ascii="Verdana" w:hAnsi="Verdana"/>
        </w:rPr>
        <w:t xml:space="preserve">. </w:t>
      </w:r>
    </w:p>
    <w:p w14:paraId="53C291AC" w14:textId="77777777" w:rsidR="00312A35" w:rsidRPr="00312A35" w:rsidRDefault="007F322A" w:rsidP="00312A35">
      <w:pPr>
        <w:pStyle w:val="ListParagraph"/>
        <w:numPr>
          <w:ilvl w:val="0"/>
          <w:numId w:val="2"/>
        </w:numPr>
        <w:ind w:left="426" w:hanging="426"/>
        <w:jc w:val="both"/>
        <w:rPr>
          <w:rFonts w:ascii="Verdana" w:hAnsi="Verdana"/>
        </w:rPr>
      </w:pPr>
      <w:r w:rsidRPr="00312A35">
        <w:rPr>
          <w:rFonts w:ascii="Verdana" w:hAnsi="Verdana"/>
        </w:rPr>
        <w:t>N</w:t>
      </w:r>
      <w:r w:rsidR="00DF0B80" w:rsidRPr="00312A35">
        <w:rPr>
          <w:rFonts w:ascii="Verdana" w:hAnsi="Verdana"/>
        </w:rPr>
        <w:t xml:space="preserve">aujai įgyvendinamų priemonių </w:t>
      </w:r>
      <w:r w:rsidR="007E3194" w:rsidRPr="00312A35">
        <w:rPr>
          <w:rFonts w:ascii="Verdana" w:hAnsi="Verdana"/>
        </w:rPr>
        <w:t>poveikis kainų raidai bus ribotas – 2021</w:t>
      </w:r>
      <w:r w:rsidR="001D3D01" w:rsidRPr="00312A35">
        <w:rPr>
          <w:rFonts w:ascii="Verdana" w:hAnsi="Verdana"/>
        </w:rPr>
        <w:t>–</w:t>
      </w:r>
      <w:r w:rsidR="007E3194" w:rsidRPr="00312A35">
        <w:rPr>
          <w:rFonts w:ascii="Verdana" w:hAnsi="Verdana"/>
        </w:rPr>
        <w:t>2023 m. vidutinę metinę infliaciją iš viso padidins apie 0,2 proc. punkto</w:t>
      </w:r>
      <w:r w:rsidR="00AF2E66" w:rsidRPr="0066083D">
        <w:rPr>
          <w:rFonts w:ascii="Verdana" w:hAnsi="Verdana"/>
          <w:vertAlign w:val="superscript"/>
        </w:rPr>
        <w:footnoteReference w:id="3"/>
      </w:r>
      <w:r w:rsidR="007E3194" w:rsidRPr="00312A35">
        <w:rPr>
          <w:rFonts w:ascii="Verdana" w:hAnsi="Verdana"/>
        </w:rPr>
        <w:t xml:space="preserve">. </w:t>
      </w:r>
    </w:p>
    <w:p w14:paraId="6A5B550A" w14:textId="77777777" w:rsidR="00312A35" w:rsidRDefault="00AE088E" w:rsidP="00312A35">
      <w:pPr>
        <w:pStyle w:val="ListParagraph"/>
        <w:numPr>
          <w:ilvl w:val="0"/>
          <w:numId w:val="2"/>
        </w:numPr>
        <w:ind w:left="426" w:hanging="426"/>
        <w:jc w:val="both"/>
        <w:rPr>
          <w:rFonts w:ascii="Verdana" w:hAnsi="Verdana"/>
        </w:rPr>
      </w:pPr>
      <w:r w:rsidRPr="00312A35">
        <w:rPr>
          <w:rFonts w:ascii="Verdana" w:hAnsi="Verdana"/>
        </w:rPr>
        <w:t>Vis dėlto atkreipiame dėmesį</w:t>
      </w:r>
      <w:r w:rsidR="003172E1">
        <w:rPr>
          <w:rFonts w:ascii="Verdana" w:hAnsi="Verdana"/>
        </w:rPr>
        <w:t xml:space="preserve"> į tai</w:t>
      </w:r>
      <w:r w:rsidRPr="00312A35">
        <w:rPr>
          <w:rFonts w:ascii="Verdana" w:hAnsi="Verdana"/>
        </w:rPr>
        <w:t xml:space="preserve">, kad </w:t>
      </w:r>
      <w:r w:rsidR="002E021B" w:rsidRPr="00312A35">
        <w:rPr>
          <w:rFonts w:ascii="Verdana" w:hAnsi="Verdana"/>
        </w:rPr>
        <w:t>f</w:t>
      </w:r>
      <w:r w:rsidR="00641E2D" w:rsidRPr="00312A35">
        <w:rPr>
          <w:rFonts w:ascii="Verdana" w:hAnsi="Verdana"/>
        </w:rPr>
        <w:t>ormuojami valdžios sektoriaus rodikliai</w:t>
      </w:r>
      <w:r w:rsidR="002E021B" w:rsidRPr="00312A35">
        <w:rPr>
          <w:rFonts w:ascii="Verdana" w:hAnsi="Verdana"/>
        </w:rPr>
        <w:t xml:space="preserve"> gali būti prastesni</w:t>
      </w:r>
      <w:r w:rsidR="004A69D8" w:rsidRPr="00312A35">
        <w:rPr>
          <w:rFonts w:ascii="Verdana" w:hAnsi="Verdana"/>
        </w:rPr>
        <w:t>,</w:t>
      </w:r>
      <w:r w:rsidR="002E021B" w:rsidRPr="00312A35">
        <w:rPr>
          <w:rFonts w:ascii="Verdana" w:hAnsi="Verdana"/>
        </w:rPr>
        <w:t xml:space="preserve"> nei numatyt</w:t>
      </w:r>
      <w:r w:rsidR="00527E64" w:rsidRPr="00312A35">
        <w:rPr>
          <w:rFonts w:ascii="Verdana" w:hAnsi="Verdana"/>
        </w:rPr>
        <w:t>a</w:t>
      </w:r>
      <w:r w:rsidR="002E021B" w:rsidRPr="00312A35">
        <w:rPr>
          <w:rFonts w:ascii="Verdana" w:hAnsi="Verdana"/>
        </w:rPr>
        <w:t xml:space="preserve"> projektuose. </w:t>
      </w:r>
    </w:p>
    <w:p w14:paraId="4CDA4D81" w14:textId="77777777" w:rsidR="009E3F4E" w:rsidRPr="00312A35" w:rsidRDefault="009E3F4E" w:rsidP="00312A35">
      <w:pPr>
        <w:pStyle w:val="ListParagraph"/>
        <w:numPr>
          <w:ilvl w:val="0"/>
          <w:numId w:val="2"/>
        </w:numPr>
        <w:ind w:left="426" w:hanging="426"/>
        <w:jc w:val="both"/>
        <w:rPr>
          <w:rFonts w:ascii="Verdana" w:hAnsi="Verdana"/>
        </w:rPr>
      </w:pPr>
      <w:r w:rsidRPr="009E3F4E">
        <w:rPr>
          <w:rFonts w:ascii="Verdana" w:hAnsi="Verdana"/>
        </w:rPr>
        <w:t xml:space="preserve">2021 m. valdžios sektoriaus deficitas gali būti didesnis, jeigu visa numatyta </w:t>
      </w:r>
      <w:r>
        <w:rPr>
          <w:rFonts w:ascii="Verdana" w:hAnsi="Verdana"/>
        </w:rPr>
        <w:t>dotacijų</w:t>
      </w:r>
      <w:r w:rsidRPr="009E3F4E">
        <w:rPr>
          <w:rFonts w:ascii="Verdana" w:hAnsi="Verdana"/>
        </w:rPr>
        <w:t xml:space="preserve"> iš </w:t>
      </w:r>
      <w:r w:rsidRPr="00312A35">
        <w:rPr>
          <w:rFonts w:ascii="Verdana" w:hAnsi="Verdana"/>
        </w:rPr>
        <w:t xml:space="preserve">Europos Sąjungos </w:t>
      </w:r>
      <w:r w:rsidR="006D110F">
        <w:rPr>
          <w:rFonts w:ascii="Verdana" w:hAnsi="Verdana"/>
        </w:rPr>
        <w:t>E</w:t>
      </w:r>
      <w:r w:rsidRPr="00312A35">
        <w:rPr>
          <w:rFonts w:ascii="Verdana" w:hAnsi="Verdana"/>
        </w:rPr>
        <w:t xml:space="preserve">konomikos gaivinimo ir atsparumo didinimo priemonės (angl. </w:t>
      </w:r>
      <w:proofErr w:type="spellStart"/>
      <w:r w:rsidRPr="00FA27C6">
        <w:rPr>
          <w:rFonts w:ascii="Verdana" w:hAnsi="Verdana"/>
          <w:i/>
        </w:rPr>
        <w:t>Recovery</w:t>
      </w:r>
      <w:proofErr w:type="spellEnd"/>
      <w:r w:rsidRPr="00FA27C6">
        <w:rPr>
          <w:rFonts w:ascii="Verdana" w:hAnsi="Verdana"/>
          <w:i/>
        </w:rPr>
        <w:t xml:space="preserve"> </w:t>
      </w:r>
      <w:proofErr w:type="spellStart"/>
      <w:r w:rsidRPr="00FA27C6">
        <w:rPr>
          <w:rFonts w:ascii="Verdana" w:hAnsi="Verdana"/>
          <w:i/>
        </w:rPr>
        <w:t>and</w:t>
      </w:r>
      <w:proofErr w:type="spellEnd"/>
      <w:r w:rsidRPr="00FA27C6">
        <w:rPr>
          <w:rFonts w:ascii="Verdana" w:hAnsi="Verdana"/>
          <w:i/>
        </w:rPr>
        <w:t xml:space="preserve"> </w:t>
      </w:r>
      <w:proofErr w:type="spellStart"/>
      <w:r w:rsidRPr="00FA27C6">
        <w:rPr>
          <w:rFonts w:ascii="Verdana" w:hAnsi="Verdana"/>
          <w:i/>
        </w:rPr>
        <w:t>Resilience</w:t>
      </w:r>
      <w:proofErr w:type="spellEnd"/>
      <w:r w:rsidRPr="00FA27C6">
        <w:rPr>
          <w:rFonts w:ascii="Verdana" w:hAnsi="Verdana"/>
          <w:i/>
        </w:rPr>
        <w:t xml:space="preserve"> </w:t>
      </w:r>
      <w:proofErr w:type="spellStart"/>
      <w:r w:rsidRPr="00FA27C6">
        <w:rPr>
          <w:rFonts w:ascii="Verdana" w:hAnsi="Verdana"/>
          <w:i/>
        </w:rPr>
        <w:t>Facility</w:t>
      </w:r>
      <w:proofErr w:type="spellEnd"/>
      <w:r w:rsidRPr="00312A35">
        <w:rPr>
          <w:rFonts w:ascii="Verdana" w:hAnsi="Verdana"/>
        </w:rPr>
        <w:t xml:space="preserve">, toliau RRF) </w:t>
      </w:r>
      <w:r w:rsidRPr="009E3F4E">
        <w:rPr>
          <w:rFonts w:ascii="Verdana" w:hAnsi="Verdana"/>
        </w:rPr>
        <w:t>suma nebus gauta, o išlaidos, susijusios su Ateities ekonomikos DNR plano įgyvendinimu, patirtos</w:t>
      </w:r>
      <w:r w:rsidR="00AB2E8C">
        <w:rPr>
          <w:rFonts w:ascii="Verdana" w:hAnsi="Verdana"/>
        </w:rPr>
        <w:t>.</w:t>
      </w:r>
    </w:p>
    <w:p w14:paraId="6DDC24C7" w14:textId="77777777" w:rsidR="00312A35" w:rsidRPr="00312A35" w:rsidRDefault="00312A35" w:rsidP="00312A35">
      <w:pPr>
        <w:pStyle w:val="ListParagraph"/>
        <w:numPr>
          <w:ilvl w:val="0"/>
          <w:numId w:val="2"/>
        </w:numPr>
        <w:ind w:left="426" w:hanging="426"/>
        <w:jc w:val="both"/>
        <w:rPr>
          <w:rFonts w:ascii="Verdana" w:hAnsi="Verdana"/>
        </w:rPr>
      </w:pPr>
      <w:r w:rsidRPr="00312A35">
        <w:rPr>
          <w:rFonts w:ascii="Verdana" w:hAnsi="Verdana"/>
        </w:rPr>
        <w:t>B</w:t>
      </w:r>
      <w:r w:rsidR="00C508B6" w:rsidRPr="00312A35">
        <w:rPr>
          <w:rFonts w:ascii="Verdana" w:hAnsi="Verdana"/>
        </w:rPr>
        <w:t xml:space="preserve">e to, yra rizika, kad gaunama pajamų suma </w:t>
      </w:r>
      <w:r w:rsidR="00187E18" w:rsidRPr="00312A35">
        <w:rPr>
          <w:rFonts w:ascii="Verdana" w:hAnsi="Verdana"/>
        </w:rPr>
        <w:t xml:space="preserve">iš </w:t>
      </w:r>
      <w:r w:rsidR="00C508B6" w:rsidRPr="00312A35">
        <w:rPr>
          <w:rFonts w:ascii="Verdana" w:hAnsi="Verdana"/>
        </w:rPr>
        <w:t>kitais metais prasidėsiančių mokesčių atidėjimų</w:t>
      </w:r>
      <w:r w:rsidR="00187E18" w:rsidRPr="00312A35">
        <w:rPr>
          <w:rFonts w:ascii="Verdana" w:hAnsi="Verdana"/>
        </w:rPr>
        <w:t>,</w:t>
      </w:r>
      <w:r w:rsidR="00C508B6" w:rsidRPr="00312A35">
        <w:rPr>
          <w:rFonts w:ascii="Verdana" w:hAnsi="Verdana"/>
        </w:rPr>
        <w:t xml:space="preserve"> susikaupusių per 2020 m.</w:t>
      </w:r>
      <w:r w:rsidR="00187E18" w:rsidRPr="00312A35">
        <w:rPr>
          <w:rFonts w:ascii="Verdana" w:hAnsi="Verdana"/>
        </w:rPr>
        <w:t>,</w:t>
      </w:r>
      <w:r w:rsidR="00C508B6" w:rsidRPr="00312A35">
        <w:rPr>
          <w:rFonts w:ascii="Verdana" w:hAnsi="Verdana"/>
        </w:rPr>
        <w:t xml:space="preserve"> </w:t>
      </w:r>
      <w:r w:rsidR="00FA2312" w:rsidRPr="00312A35">
        <w:rPr>
          <w:rFonts w:ascii="Verdana" w:hAnsi="Verdana"/>
        </w:rPr>
        <w:t>grąžinim</w:t>
      </w:r>
      <w:r w:rsidR="00FA2312">
        <w:rPr>
          <w:rFonts w:ascii="Verdana" w:hAnsi="Verdana"/>
        </w:rPr>
        <w:t>o</w:t>
      </w:r>
      <w:r w:rsidR="00FA2312" w:rsidRPr="00312A35">
        <w:rPr>
          <w:rFonts w:ascii="Verdana" w:hAnsi="Verdana"/>
        </w:rPr>
        <w:t xml:space="preserve"> </w:t>
      </w:r>
      <w:r w:rsidR="00C508B6" w:rsidRPr="00312A35">
        <w:rPr>
          <w:rFonts w:ascii="Verdana" w:hAnsi="Verdana"/>
        </w:rPr>
        <w:t>gali būti mažesnė</w:t>
      </w:r>
      <w:r w:rsidR="00E625F8">
        <w:rPr>
          <w:rFonts w:ascii="Verdana" w:hAnsi="Verdana"/>
        </w:rPr>
        <w:t>,</w:t>
      </w:r>
      <w:r w:rsidR="00C508B6" w:rsidRPr="00312A35">
        <w:rPr>
          <w:rFonts w:ascii="Verdana" w:hAnsi="Verdana"/>
        </w:rPr>
        <w:t xml:space="preserve"> nei planuojama</w:t>
      </w:r>
      <w:r w:rsidR="00641E2D" w:rsidRPr="00312A35">
        <w:rPr>
          <w:rFonts w:ascii="Verdana" w:hAnsi="Verdana"/>
        </w:rPr>
        <w:t xml:space="preserve">. </w:t>
      </w:r>
    </w:p>
    <w:p w14:paraId="317BDB1B" w14:textId="77777777" w:rsidR="00312A35" w:rsidRPr="00312A35" w:rsidRDefault="00E676A1" w:rsidP="00312A35">
      <w:pPr>
        <w:pStyle w:val="ListParagraph"/>
        <w:numPr>
          <w:ilvl w:val="0"/>
          <w:numId w:val="2"/>
        </w:numPr>
        <w:ind w:left="426" w:hanging="426"/>
        <w:jc w:val="both"/>
        <w:rPr>
          <w:rFonts w:ascii="Verdana" w:hAnsi="Verdana"/>
        </w:rPr>
      </w:pPr>
      <w:r>
        <w:rPr>
          <w:rFonts w:ascii="Verdana" w:hAnsi="Verdana"/>
        </w:rPr>
        <w:t>Kita vertus</w:t>
      </w:r>
      <w:r w:rsidR="002E021B" w:rsidRPr="00312A35">
        <w:rPr>
          <w:rFonts w:ascii="Verdana" w:hAnsi="Verdana"/>
        </w:rPr>
        <w:t xml:space="preserve">, </w:t>
      </w:r>
      <w:r w:rsidR="00C508B6" w:rsidRPr="00312A35">
        <w:rPr>
          <w:rFonts w:ascii="Verdana" w:hAnsi="Verdana"/>
        </w:rPr>
        <w:t>valdžios sektoriaus išlaidos gali būti didesnės</w:t>
      </w:r>
      <w:r w:rsidR="00C348E5">
        <w:rPr>
          <w:rFonts w:ascii="Verdana" w:hAnsi="Verdana"/>
        </w:rPr>
        <w:t>,</w:t>
      </w:r>
      <w:r w:rsidR="00C508B6" w:rsidRPr="00312A35">
        <w:rPr>
          <w:rFonts w:ascii="Verdana" w:hAnsi="Verdana"/>
        </w:rPr>
        <w:t xml:space="preserve"> nei planuojama</w:t>
      </w:r>
      <w:r w:rsidR="00C348E5">
        <w:rPr>
          <w:rFonts w:ascii="Verdana" w:hAnsi="Verdana"/>
        </w:rPr>
        <w:t>,</w:t>
      </w:r>
      <w:r w:rsidR="00C508B6" w:rsidRPr="00312A35">
        <w:rPr>
          <w:rFonts w:ascii="Verdana" w:hAnsi="Verdana"/>
        </w:rPr>
        <w:t xml:space="preserve"> dėl didesnių</w:t>
      </w:r>
      <w:r w:rsidR="00C348E5">
        <w:rPr>
          <w:rFonts w:ascii="Verdana" w:hAnsi="Verdana"/>
        </w:rPr>
        <w:t>,</w:t>
      </w:r>
      <w:r w:rsidR="00C508B6" w:rsidRPr="00312A35">
        <w:rPr>
          <w:rFonts w:ascii="Verdana" w:hAnsi="Verdana"/>
        </w:rPr>
        <w:t xml:space="preserve"> nei numatyta</w:t>
      </w:r>
      <w:r w:rsidR="00C348E5">
        <w:rPr>
          <w:rFonts w:ascii="Verdana" w:hAnsi="Verdana"/>
        </w:rPr>
        <w:t>,</w:t>
      </w:r>
      <w:r w:rsidR="00C508B6" w:rsidRPr="00312A35">
        <w:rPr>
          <w:rFonts w:ascii="Verdana" w:hAnsi="Verdana"/>
        </w:rPr>
        <w:t xml:space="preserve"> </w:t>
      </w:r>
      <w:r w:rsidR="002E021B" w:rsidRPr="00312A35">
        <w:rPr>
          <w:rFonts w:ascii="Verdana" w:hAnsi="Verdana"/>
        </w:rPr>
        <w:t xml:space="preserve">pandemijai </w:t>
      </w:r>
      <w:r w:rsidR="004F71DC" w:rsidRPr="00312A35">
        <w:rPr>
          <w:rFonts w:ascii="Verdana" w:hAnsi="Verdana"/>
        </w:rPr>
        <w:t xml:space="preserve">ir jos pasekmėms </w:t>
      </w:r>
      <w:r w:rsidR="002E021B" w:rsidRPr="00312A35">
        <w:rPr>
          <w:rFonts w:ascii="Verdana" w:hAnsi="Verdana"/>
        </w:rPr>
        <w:t>suvaldyti reikaling</w:t>
      </w:r>
      <w:r w:rsidR="00C508B6" w:rsidRPr="00312A35">
        <w:rPr>
          <w:rFonts w:ascii="Verdana" w:hAnsi="Verdana"/>
        </w:rPr>
        <w:t>ų</w:t>
      </w:r>
      <w:r w:rsidR="002E021B" w:rsidRPr="00312A35">
        <w:rPr>
          <w:rFonts w:ascii="Verdana" w:hAnsi="Verdana"/>
        </w:rPr>
        <w:t xml:space="preserve"> lėš</w:t>
      </w:r>
      <w:r w:rsidR="00C508B6" w:rsidRPr="00312A35">
        <w:rPr>
          <w:rFonts w:ascii="Verdana" w:hAnsi="Verdana"/>
        </w:rPr>
        <w:t xml:space="preserve">ų. </w:t>
      </w:r>
    </w:p>
    <w:p w14:paraId="77917B8A" w14:textId="77777777" w:rsidR="00641E2D" w:rsidRPr="00312A35" w:rsidRDefault="002E021B" w:rsidP="00312A35">
      <w:pPr>
        <w:pStyle w:val="ListParagraph"/>
        <w:numPr>
          <w:ilvl w:val="0"/>
          <w:numId w:val="2"/>
        </w:numPr>
        <w:ind w:left="426" w:hanging="426"/>
        <w:jc w:val="both"/>
        <w:rPr>
          <w:rFonts w:ascii="Verdana" w:hAnsi="Verdana"/>
        </w:rPr>
      </w:pPr>
      <w:r w:rsidRPr="00312A35">
        <w:rPr>
          <w:rFonts w:ascii="Verdana" w:hAnsi="Verdana"/>
        </w:rPr>
        <w:t xml:space="preserve">Taip pat </w:t>
      </w:r>
      <w:r w:rsidR="00C947E7" w:rsidRPr="00312A35">
        <w:rPr>
          <w:rFonts w:ascii="Verdana" w:hAnsi="Verdana"/>
        </w:rPr>
        <w:t xml:space="preserve">yra rizikų dėl skolintų lėšų efektyvaus panaudojimo, ypač susijusių su </w:t>
      </w:r>
      <w:r w:rsidRPr="00312A35">
        <w:rPr>
          <w:rFonts w:ascii="Verdana" w:hAnsi="Verdana"/>
        </w:rPr>
        <w:t>Ateities ekonomikos DNR plan</w:t>
      </w:r>
      <w:r w:rsidR="00C947E7" w:rsidRPr="00312A35">
        <w:rPr>
          <w:rFonts w:ascii="Verdana" w:hAnsi="Verdana"/>
        </w:rPr>
        <w:t xml:space="preserve">o įgyvendinimu. </w:t>
      </w:r>
      <w:r w:rsidRPr="00312A35">
        <w:rPr>
          <w:rFonts w:ascii="Verdana" w:hAnsi="Verdana"/>
        </w:rPr>
        <w:t xml:space="preserve">  </w:t>
      </w:r>
      <w:r w:rsidR="007F322A" w:rsidRPr="00312A35">
        <w:rPr>
          <w:rFonts w:ascii="Verdana" w:hAnsi="Verdana"/>
        </w:rPr>
        <w:t xml:space="preserve"> </w:t>
      </w:r>
    </w:p>
    <w:p w14:paraId="233D4A15" w14:textId="77777777" w:rsidR="00312A35" w:rsidRPr="00312A35" w:rsidRDefault="00312A35" w:rsidP="00312A35">
      <w:pPr>
        <w:pStyle w:val="ListParagraph"/>
        <w:ind w:left="1429"/>
        <w:jc w:val="both"/>
        <w:rPr>
          <w:b/>
        </w:rPr>
      </w:pPr>
    </w:p>
    <w:p w14:paraId="014FBF4E" w14:textId="77777777" w:rsidR="00F85D25" w:rsidRPr="00904DC4" w:rsidRDefault="004B390C" w:rsidP="00904DC4">
      <w:pPr>
        <w:ind w:firstLine="709"/>
        <w:jc w:val="both"/>
        <w:rPr>
          <w:lang w:val="lt-LT"/>
        </w:rPr>
      </w:pPr>
      <w:r w:rsidRPr="004B390C">
        <w:rPr>
          <w:b/>
          <w:bCs/>
          <w:lang w:val="lt-LT"/>
        </w:rPr>
        <w:lastRenderedPageBreak/>
        <w:t xml:space="preserve">2021 m. </w:t>
      </w:r>
      <w:r w:rsidR="00C07464">
        <w:rPr>
          <w:b/>
          <w:bCs/>
          <w:lang w:val="lt-LT"/>
        </w:rPr>
        <w:t>valdžios sektoriaus</w:t>
      </w:r>
      <w:r>
        <w:rPr>
          <w:b/>
          <w:bCs/>
          <w:lang w:val="lt-LT"/>
        </w:rPr>
        <w:t xml:space="preserve"> deficitas gali būti didesnis</w:t>
      </w:r>
      <w:r w:rsidR="00DB3E44">
        <w:rPr>
          <w:b/>
          <w:bCs/>
          <w:lang w:val="lt-LT"/>
        </w:rPr>
        <w:t>,</w:t>
      </w:r>
      <w:r>
        <w:rPr>
          <w:b/>
          <w:bCs/>
          <w:lang w:val="lt-LT"/>
        </w:rPr>
        <w:t xml:space="preserve"> jeigu </w:t>
      </w:r>
      <w:r w:rsidR="00CD5349">
        <w:rPr>
          <w:b/>
          <w:bCs/>
          <w:lang w:val="lt-LT"/>
        </w:rPr>
        <w:t xml:space="preserve">visa </w:t>
      </w:r>
      <w:r>
        <w:rPr>
          <w:b/>
          <w:bCs/>
          <w:lang w:val="lt-LT"/>
        </w:rPr>
        <w:t xml:space="preserve">numatyta </w:t>
      </w:r>
      <w:r w:rsidR="00CD5349">
        <w:rPr>
          <w:b/>
          <w:bCs/>
          <w:lang w:val="lt-LT"/>
        </w:rPr>
        <w:t>lėšų</w:t>
      </w:r>
      <w:r>
        <w:rPr>
          <w:b/>
          <w:bCs/>
          <w:lang w:val="lt-LT"/>
        </w:rPr>
        <w:t xml:space="preserve"> iš </w:t>
      </w:r>
      <w:r w:rsidR="00014EE4" w:rsidRPr="00014EE4">
        <w:rPr>
          <w:b/>
          <w:lang w:val="lt-LT"/>
        </w:rPr>
        <w:t xml:space="preserve">RRF </w:t>
      </w:r>
      <w:r w:rsidRPr="004B390C">
        <w:rPr>
          <w:b/>
          <w:lang w:val="lt-LT"/>
        </w:rPr>
        <w:t>suma nebus gauta, o išlaidos</w:t>
      </w:r>
      <w:r w:rsidR="00205C4C">
        <w:rPr>
          <w:b/>
          <w:lang w:val="lt-LT"/>
        </w:rPr>
        <w:t>,</w:t>
      </w:r>
      <w:r w:rsidRPr="004B390C">
        <w:rPr>
          <w:b/>
          <w:lang w:val="lt-LT"/>
        </w:rPr>
        <w:t xml:space="preserve"> susijusios su</w:t>
      </w:r>
      <w:r>
        <w:rPr>
          <w:bCs/>
          <w:lang w:val="lt-LT"/>
        </w:rPr>
        <w:t xml:space="preserve"> </w:t>
      </w:r>
      <w:r w:rsidR="003A6233">
        <w:rPr>
          <w:b/>
          <w:bCs/>
          <w:lang w:val="lt-LT"/>
        </w:rPr>
        <w:t>A</w:t>
      </w:r>
      <w:r w:rsidRPr="004B390C">
        <w:rPr>
          <w:b/>
          <w:bCs/>
          <w:lang w:val="lt-LT"/>
        </w:rPr>
        <w:t>teities ekonomikos DNR plano įgyvendinim</w:t>
      </w:r>
      <w:r>
        <w:rPr>
          <w:b/>
          <w:bCs/>
          <w:lang w:val="lt-LT"/>
        </w:rPr>
        <w:t>u</w:t>
      </w:r>
      <w:r w:rsidR="00205C4C">
        <w:rPr>
          <w:b/>
          <w:bCs/>
          <w:lang w:val="lt-LT"/>
        </w:rPr>
        <w:t>,</w:t>
      </w:r>
      <w:r>
        <w:rPr>
          <w:b/>
          <w:bCs/>
          <w:lang w:val="lt-LT"/>
        </w:rPr>
        <w:t xml:space="preserve"> patirtos</w:t>
      </w:r>
      <w:r w:rsidR="00FA2312">
        <w:rPr>
          <w:b/>
          <w:bCs/>
          <w:lang w:val="lt-LT"/>
        </w:rPr>
        <w:t>.</w:t>
      </w:r>
      <w:r w:rsidR="00AB2E8C">
        <w:rPr>
          <w:b/>
          <w:bCs/>
          <w:lang w:val="lt-LT"/>
        </w:rPr>
        <w:t xml:space="preserve"> </w:t>
      </w:r>
      <w:r w:rsidR="00FA2312">
        <w:rPr>
          <w:b/>
          <w:bCs/>
          <w:lang w:val="lt-LT"/>
        </w:rPr>
        <w:t xml:space="preserve">Taip </w:t>
      </w:r>
      <w:r w:rsidR="005F1ABE">
        <w:rPr>
          <w:b/>
          <w:bCs/>
          <w:lang w:val="lt-LT"/>
        </w:rPr>
        <w:t xml:space="preserve">pat yra rizika, kad </w:t>
      </w:r>
      <w:r w:rsidR="00C508B6">
        <w:rPr>
          <w:b/>
          <w:bCs/>
          <w:lang w:val="lt-LT"/>
        </w:rPr>
        <w:t xml:space="preserve">pajamos </w:t>
      </w:r>
      <w:r w:rsidR="00187E18">
        <w:rPr>
          <w:b/>
          <w:bCs/>
          <w:lang w:val="lt-LT"/>
        </w:rPr>
        <w:t>iš</w:t>
      </w:r>
      <w:r w:rsidR="00C508B6">
        <w:rPr>
          <w:b/>
          <w:bCs/>
          <w:lang w:val="lt-LT"/>
        </w:rPr>
        <w:t xml:space="preserve"> mokesčių atidėjimų grąžinimo </w:t>
      </w:r>
      <w:r w:rsidR="00BE3F6D">
        <w:rPr>
          <w:b/>
          <w:bCs/>
          <w:lang w:val="lt-LT"/>
        </w:rPr>
        <w:t>gali būti</w:t>
      </w:r>
      <w:r w:rsidR="00C508B6">
        <w:rPr>
          <w:b/>
          <w:bCs/>
          <w:lang w:val="lt-LT"/>
        </w:rPr>
        <w:t xml:space="preserve"> mažesnės</w:t>
      </w:r>
      <w:r w:rsidR="00D6082B">
        <w:rPr>
          <w:b/>
          <w:bCs/>
          <w:lang w:val="lt-LT"/>
        </w:rPr>
        <w:t>,</w:t>
      </w:r>
      <w:r w:rsidR="00187E18">
        <w:rPr>
          <w:b/>
          <w:bCs/>
          <w:lang w:val="lt-LT"/>
        </w:rPr>
        <w:t xml:space="preserve"> nei planuojama</w:t>
      </w:r>
      <w:r>
        <w:rPr>
          <w:b/>
          <w:bCs/>
          <w:lang w:val="lt-LT"/>
        </w:rPr>
        <w:t xml:space="preserve">. </w:t>
      </w:r>
      <w:r w:rsidRPr="00CE026B">
        <w:rPr>
          <w:lang w:val="lt-LT"/>
        </w:rPr>
        <w:t xml:space="preserve">Biudžeto projektuose numatoma, kad </w:t>
      </w:r>
      <w:r w:rsidR="00CE026B" w:rsidRPr="00CE026B">
        <w:rPr>
          <w:lang w:val="lt-LT"/>
        </w:rPr>
        <w:t xml:space="preserve">2021 m. </w:t>
      </w:r>
      <w:r w:rsidRPr="00CE026B">
        <w:rPr>
          <w:lang w:val="lt-LT"/>
        </w:rPr>
        <w:t xml:space="preserve">išlaidos naujų </w:t>
      </w:r>
      <w:r w:rsidR="003A6233">
        <w:rPr>
          <w:lang w:val="lt-LT"/>
        </w:rPr>
        <w:t>A</w:t>
      </w:r>
      <w:r w:rsidRPr="00CE026B">
        <w:rPr>
          <w:lang w:val="lt-LT"/>
        </w:rPr>
        <w:t xml:space="preserve">teities </w:t>
      </w:r>
      <w:r w:rsidRPr="00527E64">
        <w:rPr>
          <w:lang w:val="lt-LT"/>
        </w:rPr>
        <w:t>ekonomikos DNR</w:t>
      </w:r>
      <w:r w:rsidR="00CE026B" w:rsidRPr="00CE026B">
        <w:rPr>
          <w:lang w:val="lt-LT"/>
        </w:rPr>
        <w:t xml:space="preserve"> </w:t>
      </w:r>
      <w:r w:rsidR="00C07464">
        <w:rPr>
          <w:lang w:val="lt-LT"/>
        </w:rPr>
        <w:t xml:space="preserve">plano </w:t>
      </w:r>
      <w:r w:rsidR="00CE026B" w:rsidRPr="00CE026B">
        <w:rPr>
          <w:lang w:val="lt-LT"/>
        </w:rPr>
        <w:t xml:space="preserve">veiksmų įgyvendinimui sudarys </w:t>
      </w:r>
      <w:bookmarkStart w:id="0" w:name="_Hlk55281656"/>
      <w:r w:rsidR="00CE026B" w:rsidRPr="00527E64">
        <w:rPr>
          <w:lang w:val="lt-LT"/>
        </w:rPr>
        <w:t>1,6 mlrd. eurų (3,2</w:t>
      </w:r>
      <w:r w:rsidR="004F71DC">
        <w:rPr>
          <w:lang w:val="lt-LT"/>
        </w:rPr>
        <w:t xml:space="preserve"> </w:t>
      </w:r>
      <w:r w:rsidR="00CE026B" w:rsidRPr="00527E64">
        <w:rPr>
          <w:lang w:val="lt-LT"/>
        </w:rPr>
        <w:t>% BVP)</w:t>
      </w:r>
      <w:bookmarkEnd w:id="0"/>
      <w:r w:rsidR="00CE026B" w:rsidRPr="00CE026B">
        <w:rPr>
          <w:lang w:val="lt-LT"/>
        </w:rPr>
        <w:t xml:space="preserve">, iš jų </w:t>
      </w:r>
      <w:r w:rsidR="00CE026B" w:rsidRPr="00527E64">
        <w:rPr>
          <w:lang w:val="lt-LT"/>
        </w:rPr>
        <w:t>813 mln. eurų (1,6</w:t>
      </w:r>
      <w:r w:rsidR="004F71DC">
        <w:rPr>
          <w:lang w:val="lt-LT"/>
        </w:rPr>
        <w:t xml:space="preserve"> </w:t>
      </w:r>
      <w:r w:rsidR="00CE026B" w:rsidRPr="00527E64">
        <w:rPr>
          <w:lang w:val="lt-LT"/>
        </w:rPr>
        <w:t>% BVP)</w:t>
      </w:r>
      <w:r w:rsidR="00CE026B">
        <w:rPr>
          <w:lang w:val="lt-LT"/>
        </w:rPr>
        <w:t xml:space="preserve"> bus finansuojama </w:t>
      </w:r>
      <w:r w:rsidR="00014EE4" w:rsidRPr="00014EE4">
        <w:rPr>
          <w:bCs/>
          <w:lang w:val="lt-LT"/>
        </w:rPr>
        <w:t>RRF</w:t>
      </w:r>
      <w:r w:rsidR="00014EE4">
        <w:rPr>
          <w:lang w:val="lt-LT"/>
        </w:rPr>
        <w:t xml:space="preserve"> </w:t>
      </w:r>
      <w:r w:rsidR="00CE026B">
        <w:rPr>
          <w:lang w:val="lt-LT"/>
        </w:rPr>
        <w:t>lėšomis</w:t>
      </w:r>
      <w:r w:rsidR="00510991">
        <w:rPr>
          <w:rStyle w:val="FootnoteReference"/>
          <w:lang w:val="lt-LT"/>
        </w:rPr>
        <w:footnoteReference w:id="4"/>
      </w:r>
      <w:r w:rsidR="00CE026B" w:rsidRPr="00527E64">
        <w:rPr>
          <w:lang w:val="lt-LT"/>
        </w:rPr>
        <w:t>.</w:t>
      </w:r>
      <w:r w:rsidR="00CE026B">
        <w:rPr>
          <w:lang w:val="lt-LT"/>
        </w:rPr>
        <w:t xml:space="preserve"> </w:t>
      </w:r>
      <w:r w:rsidR="00014EE4" w:rsidRPr="00014EE4">
        <w:rPr>
          <w:bCs/>
          <w:lang w:val="lt-LT"/>
        </w:rPr>
        <w:t>RRF</w:t>
      </w:r>
      <w:r w:rsidR="00014EE4">
        <w:rPr>
          <w:lang w:val="lt-LT"/>
        </w:rPr>
        <w:t xml:space="preserve"> </w:t>
      </w:r>
      <w:r w:rsidR="00C07464">
        <w:rPr>
          <w:lang w:val="lt-LT"/>
        </w:rPr>
        <w:t xml:space="preserve">ir </w:t>
      </w:r>
      <w:r w:rsidR="004F71DC">
        <w:rPr>
          <w:lang w:val="lt-LT"/>
        </w:rPr>
        <w:t xml:space="preserve">dotacijų </w:t>
      </w:r>
      <w:r w:rsidR="00C07464">
        <w:rPr>
          <w:lang w:val="lt-LT"/>
        </w:rPr>
        <w:t>sumos</w:t>
      </w:r>
      <w:r w:rsidR="00C3577C">
        <w:rPr>
          <w:lang w:val="lt-LT"/>
        </w:rPr>
        <w:t>,</w:t>
      </w:r>
      <w:r w:rsidR="00C07464">
        <w:rPr>
          <w:lang w:val="lt-LT"/>
        </w:rPr>
        <w:t xml:space="preserve"> teksiančios atskiroms šalims</w:t>
      </w:r>
      <w:r w:rsidR="00C3577C">
        <w:rPr>
          <w:lang w:val="lt-LT"/>
        </w:rPr>
        <w:t>,</w:t>
      </w:r>
      <w:r w:rsidR="00CE026B">
        <w:rPr>
          <w:lang w:val="lt-LT"/>
        </w:rPr>
        <w:t xml:space="preserve"> </w:t>
      </w:r>
      <w:r w:rsidR="00C07464">
        <w:rPr>
          <w:lang w:val="lt-LT"/>
        </w:rPr>
        <w:t xml:space="preserve">kol kas nėra </w:t>
      </w:r>
      <w:r w:rsidR="00FF20AC">
        <w:rPr>
          <w:lang w:val="lt-LT"/>
        </w:rPr>
        <w:t>patvirtintos</w:t>
      </w:r>
      <w:r w:rsidR="00CE026B">
        <w:rPr>
          <w:lang w:val="lt-LT"/>
        </w:rPr>
        <w:t xml:space="preserve">, be to, net ir ES šalims susitarus dėl </w:t>
      </w:r>
      <w:r w:rsidR="00014EE4" w:rsidRPr="00014EE4">
        <w:rPr>
          <w:bCs/>
          <w:lang w:val="lt-LT"/>
        </w:rPr>
        <w:t>RRF</w:t>
      </w:r>
      <w:r w:rsidR="00CE026B">
        <w:rPr>
          <w:lang w:val="lt-LT"/>
        </w:rPr>
        <w:t xml:space="preserve">, yra rizika, kad siūlomi </w:t>
      </w:r>
      <w:r w:rsidR="003A6233">
        <w:rPr>
          <w:lang w:val="lt-LT"/>
        </w:rPr>
        <w:t>A</w:t>
      </w:r>
      <w:r w:rsidR="00CE026B">
        <w:rPr>
          <w:lang w:val="lt-LT"/>
        </w:rPr>
        <w:t xml:space="preserve">teities ekonomikos DNR plano projektai neatitiks </w:t>
      </w:r>
      <w:r w:rsidR="00014EE4" w:rsidRPr="00014EE4">
        <w:rPr>
          <w:lang w:val="lt-LT"/>
        </w:rPr>
        <w:t xml:space="preserve">RRF </w:t>
      </w:r>
      <w:r w:rsidR="00CE026B">
        <w:rPr>
          <w:lang w:val="lt-LT"/>
        </w:rPr>
        <w:t xml:space="preserve">vertinimo kriterijų, todėl planuojama lėšų suma nebus gauta. </w:t>
      </w:r>
      <w:r w:rsidR="00B30AF7">
        <w:rPr>
          <w:lang w:val="lt-LT"/>
        </w:rPr>
        <w:t xml:space="preserve">Negavus planuoto finansavimo iš </w:t>
      </w:r>
      <w:r w:rsidR="00014EE4" w:rsidRPr="00014EE4">
        <w:rPr>
          <w:lang w:val="lt-LT"/>
        </w:rPr>
        <w:t>RRF</w:t>
      </w:r>
      <w:r w:rsidR="00B30AF7">
        <w:rPr>
          <w:lang w:val="lt-LT"/>
        </w:rPr>
        <w:t xml:space="preserve">, </w:t>
      </w:r>
      <w:r w:rsidR="003A6233">
        <w:rPr>
          <w:lang w:val="lt-LT"/>
        </w:rPr>
        <w:t>A</w:t>
      </w:r>
      <w:r w:rsidR="00B30AF7">
        <w:rPr>
          <w:lang w:val="lt-LT"/>
        </w:rPr>
        <w:t>teities ekonomikos DNR plano projektai turės būti finansuojam</w:t>
      </w:r>
      <w:r w:rsidR="00E46429">
        <w:rPr>
          <w:lang w:val="lt-LT"/>
        </w:rPr>
        <w:t>i</w:t>
      </w:r>
      <w:r w:rsidR="00B30AF7">
        <w:rPr>
          <w:lang w:val="lt-LT"/>
        </w:rPr>
        <w:t xml:space="preserve"> </w:t>
      </w:r>
      <w:r w:rsidR="008663D5">
        <w:rPr>
          <w:lang w:val="lt-LT"/>
        </w:rPr>
        <w:t>iš kitų šaltinių</w:t>
      </w:r>
      <w:r w:rsidR="00F4799B">
        <w:rPr>
          <w:lang w:val="lt-LT"/>
        </w:rPr>
        <w:t>: pavyzdžiui,</w:t>
      </w:r>
      <w:r w:rsidR="008663D5">
        <w:rPr>
          <w:lang w:val="lt-LT"/>
        </w:rPr>
        <w:t xml:space="preserve"> </w:t>
      </w:r>
      <w:r w:rsidR="00B30AF7">
        <w:rPr>
          <w:lang w:val="lt-LT"/>
        </w:rPr>
        <w:t>nuosavomis</w:t>
      </w:r>
      <w:r w:rsidR="008663D5">
        <w:rPr>
          <w:lang w:val="lt-LT"/>
        </w:rPr>
        <w:t>,</w:t>
      </w:r>
      <w:r w:rsidR="00B30AF7">
        <w:rPr>
          <w:lang w:val="lt-LT"/>
        </w:rPr>
        <w:t xml:space="preserve"> skolintomis</w:t>
      </w:r>
      <w:r w:rsidR="00F4799B">
        <w:rPr>
          <w:lang w:val="lt-LT"/>
        </w:rPr>
        <w:t>,</w:t>
      </w:r>
      <w:r w:rsidR="008663D5">
        <w:rPr>
          <w:lang w:val="lt-LT"/>
        </w:rPr>
        <w:t xml:space="preserve"> ES struktūrinės paramos lėšomis</w:t>
      </w:r>
      <w:r w:rsidR="00F4799B">
        <w:rPr>
          <w:lang w:val="lt-LT"/>
        </w:rPr>
        <w:t xml:space="preserve">. Pavyzdžiui, jeigu </w:t>
      </w:r>
      <w:r w:rsidR="00414529">
        <w:rPr>
          <w:lang w:val="lt-LT"/>
        </w:rPr>
        <w:t>ne</w:t>
      </w:r>
      <w:r w:rsidR="00752F19">
        <w:rPr>
          <w:lang w:val="lt-LT"/>
        </w:rPr>
        <w:t>būt</w:t>
      </w:r>
      <w:r w:rsidR="00145F32">
        <w:rPr>
          <w:lang w:val="lt-LT"/>
        </w:rPr>
        <w:t>ų</w:t>
      </w:r>
      <w:r w:rsidR="00752F19">
        <w:rPr>
          <w:lang w:val="lt-LT"/>
        </w:rPr>
        <w:t xml:space="preserve"> gauta apie 20 </w:t>
      </w:r>
      <w:r w:rsidR="00414529">
        <w:rPr>
          <w:lang w:val="lt-LT"/>
        </w:rPr>
        <w:t xml:space="preserve">proc. </w:t>
      </w:r>
      <w:r w:rsidR="00002650">
        <w:t xml:space="preserve">2021 m. </w:t>
      </w:r>
      <w:r w:rsidR="00752F19">
        <w:rPr>
          <w:lang w:val="lt-LT"/>
        </w:rPr>
        <w:t>planuojamos sumos iš RRF,</w:t>
      </w:r>
      <w:r w:rsidR="00AB2E8C">
        <w:rPr>
          <w:lang w:val="lt-LT"/>
        </w:rPr>
        <w:t xml:space="preserve"> o </w:t>
      </w:r>
      <w:r w:rsidR="00AB2E8C" w:rsidRPr="00AB2E8C">
        <w:rPr>
          <w:lang w:val="lt-LT"/>
        </w:rPr>
        <w:t>Ateities ekonomikos DNR plano projektai</w:t>
      </w:r>
      <w:r w:rsidR="00AB2E8C">
        <w:rPr>
          <w:lang w:val="lt-LT"/>
        </w:rPr>
        <w:t xml:space="preserve"> vis tiek būtų vykdomi,</w:t>
      </w:r>
      <w:r w:rsidR="00752F19">
        <w:rPr>
          <w:lang w:val="lt-LT"/>
        </w:rPr>
        <w:t xml:space="preserve"> </w:t>
      </w:r>
      <w:r w:rsidR="00E62BE4">
        <w:rPr>
          <w:lang w:val="lt-LT"/>
        </w:rPr>
        <w:t xml:space="preserve">valdžios sektoriaus </w:t>
      </w:r>
      <w:r w:rsidR="007416EC">
        <w:rPr>
          <w:lang w:val="lt-LT"/>
        </w:rPr>
        <w:t>deficitas būt</w:t>
      </w:r>
      <w:r w:rsidR="00752F19">
        <w:rPr>
          <w:lang w:val="lt-LT"/>
        </w:rPr>
        <w:t>ų</w:t>
      </w:r>
      <w:r w:rsidR="007416EC">
        <w:rPr>
          <w:lang w:val="lt-LT"/>
        </w:rPr>
        <w:t xml:space="preserve"> apie 0,</w:t>
      </w:r>
      <w:r w:rsidR="00904DC4">
        <w:t>3</w:t>
      </w:r>
      <w:r w:rsidR="00CD5349">
        <w:t xml:space="preserve"> </w:t>
      </w:r>
      <w:r w:rsidR="004F71DC">
        <w:t>proc. p.</w:t>
      </w:r>
      <w:r w:rsidR="007416EC">
        <w:rPr>
          <w:lang w:val="lt-LT"/>
        </w:rPr>
        <w:t xml:space="preserve"> </w:t>
      </w:r>
      <w:r w:rsidR="003A6C0C">
        <w:rPr>
          <w:lang w:val="lt-LT"/>
        </w:rPr>
        <w:t xml:space="preserve">didesnis </w:t>
      </w:r>
      <w:r w:rsidR="003E0E44">
        <w:rPr>
          <w:lang w:val="lt-LT"/>
        </w:rPr>
        <w:t>ir sudaryt</w:t>
      </w:r>
      <w:r w:rsidR="00752F19">
        <w:rPr>
          <w:lang w:val="lt-LT"/>
        </w:rPr>
        <w:t>ų</w:t>
      </w:r>
      <w:r w:rsidR="003E0E44">
        <w:rPr>
          <w:lang w:val="lt-LT"/>
        </w:rPr>
        <w:t xml:space="preserve"> 5,</w:t>
      </w:r>
      <w:r w:rsidR="00904DC4">
        <w:rPr>
          <w:lang w:val="lt-LT"/>
        </w:rPr>
        <w:t>3</w:t>
      </w:r>
      <w:r w:rsidR="00CD5349">
        <w:rPr>
          <w:lang w:val="lt-LT"/>
        </w:rPr>
        <w:t xml:space="preserve"> </w:t>
      </w:r>
      <w:r w:rsidR="00414529">
        <w:rPr>
          <w:lang w:val="lt-LT"/>
        </w:rPr>
        <w:t xml:space="preserve">proc. </w:t>
      </w:r>
      <w:r w:rsidR="00CD5349">
        <w:rPr>
          <w:lang w:val="lt-LT"/>
        </w:rPr>
        <w:t>BVP</w:t>
      </w:r>
      <w:r w:rsidR="00904DC4">
        <w:rPr>
          <w:lang w:val="lt-LT"/>
        </w:rPr>
        <w:t>. Vis dėlto, kadangi RRF yra nauja priemonė</w:t>
      </w:r>
      <w:r w:rsidR="00145F32">
        <w:rPr>
          <w:lang w:val="lt-LT"/>
        </w:rPr>
        <w:t xml:space="preserve"> ir iš jos finansuotinų </w:t>
      </w:r>
      <w:r w:rsidR="004F71DC">
        <w:rPr>
          <w:lang w:val="lt-LT"/>
        </w:rPr>
        <w:t>projektų vertinimo kriterijai</w:t>
      </w:r>
      <w:r w:rsidR="00145F32">
        <w:rPr>
          <w:lang w:val="lt-LT"/>
        </w:rPr>
        <w:t xml:space="preserve"> dar nėra tiksliai žinomi</w:t>
      </w:r>
      <w:r w:rsidR="00002650">
        <w:rPr>
          <w:lang w:val="lt-LT"/>
        </w:rPr>
        <w:t>,</w:t>
      </w:r>
      <w:r w:rsidR="004F71DC">
        <w:rPr>
          <w:lang w:val="lt-LT"/>
        </w:rPr>
        <w:t xml:space="preserve"> </w:t>
      </w:r>
      <w:r w:rsidR="00002650">
        <w:rPr>
          <w:lang w:val="lt-LT"/>
        </w:rPr>
        <w:t>negauta lėšų suma</w:t>
      </w:r>
      <w:r w:rsidR="00904DC4">
        <w:rPr>
          <w:lang w:val="lt-LT"/>
        </w:rPr>
        <w:t xml:space="preserve"> galėtų būti dar didesn</w:t>
      </w:r>
      <w:r w:rsidR="00002650">
        <w:rPr>
          <w:lang w:val="lt-LT"/>
        </w:rPr>
        <w:t xml:space="preserve">ė ir atitinkamai lemtų </w:t>
      </w:r>
      <w:r w:rsidR="00B36923">
        <w:rPr>
          <w:lang w:val="lt-LT"/>
        </w:rPr>
        <w:t xml:space="preserve">reikšmingesnį </w:t>
      </w:r>
      <w:r w:rsidR="00904DC4">
        <w:rPr>
          <w:lang w:val="lt-LT"/>
        </w:rPr>
        <w:t>valdžios sektoriaus deficit</w:t>
      </w:r>
      <w:r w:rsidR="00002650">
        <w:rPr>
          <w:lang w:val="lt-LT"/>
        </w:rPr>
        <w:t>o pablogėjimą</w:t>
      </w:r>
      <w:r w:rsidR="00904DC4">
        <w:rPr>
          <w:lang w:val="lt-LT"/>
        </w:rPr>
        <w:t>.</w:t>
      </w:r>
      <w:bookmarkStart w:id="1" w:name="_Hlk54718253"/>
      <w:r w:rsidR="00904DC4">
        <w:rPr>
          <w:lang w:val="lt-LT"/>
        </w:rPr>
        <w:t xml:space="preserve"> </w:t>
      </w:r>
      <w:bookmarkStart w:id="2" w:name="_Hlk55394252"/>
      <w:r w:rsidR="00AB2E8C">
        <w:rPr>
          <w:lang w:val="lt-LT"/>
        </w:rPr>
        <w:t xml:space="preserve">Minima rizika sumažėtų, jeigu būtų </w:t>
      </w:r>
      <w:r w:rsidR="00B60E44">
        <w:rPr>
          <w:lang w:val="lt-LT"/>
        </w:rPr>
        <w:t>į</w:t>
      </w:r>
      <w:r w:rsidR="00AB2E8C">
        <w:rPr>
          <w:lang w:val="lt-LT"/>
        </w:rPr>
        <w:t xml:space="preserve">tvirtinta nuostata, kad </w:t>
      </w:r>
      <w:r w:rsidR="00B60E44">
        <w:rPr>
          <w:lang w:val="lt-LT"/>
        </w:rPr>
        <w:t>projektai, kuriuos numatoma finansuoti RRF lėšomis</w:t>
      </w:r>
      <w:r w:rsidR="00414529">
        <w:rPr>
          <w:lang w:val="lt-LT"/>
        </w:rPr>
        <w:t>,</w:t>
      </w:r>
      <w:r w:rsidR="00B60E44">
        <w:rPr>
          <w:lang w:val="lt-LT"/>
        </w:rPr>
        <w:t xml:space="preserve"> galėtų būti pradėti įgyvendinti tik gavus jų finansavimo iš RRF</w:t>
      </w:r>
      <w:r w:rsidR="00414529" w:rsidRPr="00414529">
        <w:rPr>
          <w:lang w:val="lt-LT"/>
        </w:rPr>
        <w:t xml:space="preserve"> </w:t>
      </w:r>
      <w:r w:rsidR="00414529">
        <w:rPr>
          <w:lang w:val="lt-LT"/>
        </w:rPr>
        <w:t>patvirtinimą</w:t>
      </w:r>
      <w:r w:rsidR="00B60E44">
        <w:rPr>
          <w:lang w:val="lt-LT"/>
        </w:rPr>
        <w:t>. Tačiau tokiu atveju Ateities ekonomikos DNR planas tokia apimtimi, kaip buvo planuota</w:t>
      </w:r>
      <w:r w:rsidR="008E6802">
        <w:rPr>
          <w:lang w:val="lt-LT"/>
        </w:rPr>
        <w:t>,</w:t>
      </w:r>
      <w:r w:rsidR="0090411A">
        <w:rPr>
          <w:lang w:val="lt-LT"/>
        </w:rPr>
        <w:t xml:space="preserve"> </w:t>
      </w:r>
      <w:r w:rsidR="00B60E44">
        <w:rPr>
          <w:lang w:val="lt-LT"/>
        </w:rPr>
        <w:t>nebūtų įgyvendinam</w:t>
      </w:r>
      <w:r w:rsidR="0090411A">
        <w:rPr>
          <w:lang w:val="lt-LT"/>
        </w:rPr>
        <w:t>as, be to</w:t>
      </w:r>
      <w:r w:rsidR="0020653E">
        <w:rPr>
          <w:lang w:val="lt-LT"/>
        </w:rPr>
        <w:t>,</w:t>
      </w:r>
      <w:r w:rsidR="0090411A">
        <w:rPr>
          <w:lang w:val="lt-LT"/>
        </w:rPr>
        <w:t xml:space="preserve"> neaiškus įgyvendinimas projektų, kuriems Vyriausybės nutarimu jau buvo skirta lėšų</w:t>
      </w:r>
      <w:r w:rsidR="0090411A">
        <w:t xml:space="preserve"> 2020 m.</w:t>
      </w:r>
      <w:r w:rsidR="00B60E44">
        <w:rPr>
          <w:lang w:val="lt-LT"/>
        </w:rPr>
        <w:t xml:space="preserve"> </w:t>
      </w:r>
      <w:bookmarkEnd w:id="2"/>
      <w:r w:rsidR="009E6145">
        <w:rPr>
          <w:lang w:val="lt-LT"/>
        </w:rPr>
        <w:t>T</w:t>
      </w:r>
      <w:r w:rsidR="009E6145" w:rsidRPr="009E6145">
        <w:rPr>
          <w:lang w:val="lt-LT"/>
        </w:rPr>
        <w:t>aip pat yra rizika, kad pajamos iš mokesčių atidėjimų grąžinimo gali būti mažesnės</w:t>
      </w:r>
      <w:r w:rsidR="00B914B6">
        <w:rPr>
          <w:lang w:val="lt-LT"/>
        </w:rPr>
        <w:t>,</w:t>
      </w:r>
      <w:r w:rsidR="009E6145" w:rsidRPr="009E6145">
        <w:rPr>
          <w:lang w:val="lt-LT"/>
        </w:rPr>
        <w:t xml:space="preserve"> nei planuojama.</w:t>
      </w:r>
      <w:r w:rsidR="009E6145">
        <w:rPr>
          <w:lang w:val="lt-LT"/>
        </w:rPr>
        <w:t xml:space="preserve"> Projektuose </w:t>
      </w:r>
      <w:r w:rsidR="008E2CEE">
        <w:rPr>
          <w:lang w:val="lt-LT"/>
        </w:rPr>
        <w:t>numatyta</w:t>
      </w:r>
      <w:r w:rsidR="009E6145">
        <w:rPr>
          <w:lang w:val="lt-LT"/>
        </w:rPr>
        <w:t xml:space="preserve">, kad pagrindinių mokesčių (PVM, GPM, </w:t>
      </w:r>
      <w:r w:rsidR="00CD0A4F">
        <w:rPr>
          <w:lang w:val="lt-LT"/>
        </w:rPr>
        <w:t>pelno</w:t>
      </w:r>
      <w:r w:rsidR="009E6145">
        <w:rPr>
          <w:lang w:val="lt-LT"/>
        </w:rPr>
        <w:t xml:space="preserve">) apie ketvirtadalis susidariusios mokestinės skolos nebus gauta iš viso, </w:t>
      </w:r>
      <w:r w:rsidR="00716B6D">
        <w:rPr>
          <w:lang w:val="lt-LT"/>
        </w:rPr>
        <w:t xml:space="preserve">o </w:t>
      </w:r>
      <w:r w:rsidR="009E6145">
        <w:rPr>
          <w:lang w:val="lt-LT"/>
        </w:rPr>
        <w:t>likusi suma bus grąžinta per 1</w:t>
      </w:r>
      <w:r w:rsidR="001D3D01" w:rsidRPr="001D3D01">
        <w:rPr>
          <w:lang w:val="lt-LT"/>
        </w:rPr>
        <w:t>–</w:t>
      </w:r>
      <w:r w:rsidR="009E6145">
        <w:rPr>
          <w:lang w:val="lt-LT"/>
        </w:rPr>
        <w:t xml:space="preserve">3 m. </w:t>
      </w:r>
      <w:r w:rsidR="00187E18">
        <w:rPr>
          <w:lang w:val="lt-LT"/>
        </w:rPr>
        <w:t xml:space="preserve">Remiantis paskelbtomis mokesčių atidėjimų grąžinimo sąlygomis, </w:t>
      </w:r>
      <w:r w:rsidR="0089319B">
        <w:rPr>
          <w:lang w:val="lt-LT"/>
        </w:rPr>
        <w:t>mokesčių mokėtojai</w:t>
      </w:r>
      <w:r w:rsidR="00187E18">
        <w:rPr>
          <w:lang w:val="lt-LT"/>
        </w:rPr>
        <w:t xml:space="preserve"> per 2020 m. susidariusias mokesčių skolas </w:t>
      </w:r>
      <w:r w:rsidR="00F85D25">
        <w:rPr>
          <w:lang w:val="lt-LT"/>
        </w:rPr>
        <w:t xml:space="preserve">be palūkanų </w:t>
      </w:r>
      <w:r w:rsidR="00187E18">
        <w:rPr>
          <w:lang w:val="lt-LT"/>
        </w:rPr>
        <w:t xml:space="preserve">galės sumokėti </w:t>
      </w:r>
      <w:r w:rsidR="00F85D25">
        <w:rPr>
          <w:lang w:val="lt-LT"/>
        </w:rPr>
        <w:t xml:space="preserve">per </w:t>
      </w:r>
      <w:r w:rsidR="00F85D25">
        <w:t xml:space="preserve">2 m. </w:t>
      </w:r>
      <w:r w:rsidR="00F85D25">
        <w:rPr>
          <w:lang w:val="lt-LT"/>
        </w:rPr>
        <w:t>arba</w:t>
      </w:r>
      <w:r w:rsidR="00414529">
        <w:rPr>
          <w:lang w:val="lt-LT"/>
        </w:rPr>
        <w:t>,</w:t>
      </w:r>
      <w:r w:rsidR="00F85D25">
        <w:rPr>
          <w:lang w:val="lt-LT"/>
        </w:rPr>
        <w:t xml:space="preserve"> jei finansinė situacija sudėtinga</w:t>
      </w:r>
      <w:r w:rsidR="00414529">
        <w:rPr>
          <w:lang w:val="lt-LT"/>
        </w:rPr>
        <w:t>,</w:t>
      </w:r>
      <w:r w:rsidR="00F85D25">
        <w:rPr>
          <w:lang w:val="lt-LT"/>
        </w:rPr>
        <w:t xml:space="preserve"> – per 5 m.</w:t>
      </w:r>
      <w:r w:rsidR="00A44ADE">
        <w:rPr>
          <w:lang w:val="lt-LT"/>
        </w:rPr>
        <w:t xml:space="preserve"> (šiuo atveju</w:t>
      </w:r>
      <w:r w:rsidR="00F85D25">
        <w:rPr>
          <w:lang w:val="lt-LT"/>
        </w:rPr>
        <w:t xml:space="preserve"> po </w:t>
      </w:r>
      <w:r w:rsidR="00F85D25" w:rsidRPr="00187E18">
        <w:rPr>
          <w:lang w:val="lt-LT"/>
        </w:rPr>
        <w:t>2022 m. gruodžio 31 d</w:t>
      </w:r>
      <w:r w:rsidR="00F85D25">
        <w:rPr>
          <w:lang w:val="lt-LT"/>
        </w:rPr>
        <w:t>. būtų skaičiuojamos palūkanos</w:t>
      </w:r>
      <w:r w:rsidR="00A44ADE">
        <w:rPr>
          <w:lang w:val="lt-LT"/>
        </w:rPr>
        <w:t>)</w:t>
      </w:r>
      <w:r w:rsidR="00F85D25">
        <w:rPr>
          <w:lang w:val="lt-LT"/>
        </w:rPr>
        <w:t xml:space="preserve">. </w:t>
      </w:r>
      <w:r w:rsidR="001462BD">
        <w:rPr>
          <w:lang w:val="lt-LT"/>
        </w:rPr>
        <w:t>Tačiau</w:t>
      </w:r>
      <w:r w:rsidR="00F85D25">
        <w:rPr>
          <w:lang w:val="lt-LT"/>
        </w:rPr>
        <w:t xml:space="preserve"> </w:t>
      </w:r>
      <w:r w:rsidR="001462BD">
        <w:rPr>
          <w:lang w:val="lt-LT"/>
        </w:rPr>
        <w:t>m</w:t>
      </w:r>
      <w:r w:rsidR="001462BD" w:rsidRPr="00187E18">
        <w:rPr>
          <w:lang w:val="lt-LT"/>
        </w:rPr>
        <w:t xml:space="preserve">okesčių </w:t>
      </w:r>
      <w:r w:rsidR="00187E18" w:rsidRPr="00187E18">
        <w:rPr>
          <w:lang w:val="lt-LT"/>
        </w:rPr>
        <w:t xml:space="preserve">mokėtojai </w:t>
      </w:r>
      <w:r w:rsidR="00F85D25">
        <w:rPr>
          <w:lang w:val="lt-LT"/>
        </w:rPr>
        <w:t xml:space="preserve">turės galimybę </w:t>
      </w:r>
      <w:r w:rsidR="00F85D25" w:rsidRPr="00187E18">
        <w:rPr>
          <w:lang w:val="lt-LT"/>
        </w:rPr>
        <w:t>paprašyti</w:t>
      </w:r>
      <w:r w:rsidR="00F85D25" w:rsidRPr="00F85D25">
        <w:rPr>
          <w:lang w:val="lt-LT"/>
        </w:rPr>
        <w:t xml:space="preserve"> </w:t>
      </w:r>
      <w:r w:rsidR="00F85D25" w:rsidRPr="00187E18">
        <w:rPr>
          <w:lang w:val="lt-LT"/>
        </w:rPr>
        <w:t>pirmąją įmoką</w:t>
      </w:r>
      <w:r w:rsidR="00F85D25" w:rsidRPr="00F85D25">
        <w:rPr>
          <w:lang w:val="lt-LT"/>
        </w:rPr>
        <w:t xml:space="preserve"> </w:t>
      </w:r>
      <w:r w:rsidR="00F85D25" w:rsidRPr="00187E18">
        <w:rPr>
          <w:lang w:val="lt-LT"/>
        </w:rPr>
        <w:t>nukelti vieniems metams</w:t>
      </w:r>
      <w:r w:rsidR="00F85D25">
        <w:rPr>
          <w:lang w:val="lt-LT"/>
        </w:rPr>
        <w:t>. Manome, kad tebesitęsianči</w:t>
      </w:r>
      <w:r w:rsidR="00CB631D">
        <w:rPr>
          <w:lang w:val="lt-LT"/>
        </w:rPr>
        <w:t>os</w:t>
      </w:r>
      <w:r w:rsidR="00F85D25">
        <w:rPr>
          <w:lang w:val="lt-LT"/>
        </w:rPr>
        <w:t xml:space="preserve"> </w:t>
      </w:r>
      <w:proofErr w:type="spellStart"/>
      <w:r w:rsidR="00CB631D">
        <w:rPr>
          <w:lang w:val="lt-LT"/>
        </w:rPr>
        <w:t>pandeminės</w:t>
      </w:r>
      <w:proofErr w:type="spellEnd"/>
      <w:r w:rsidR="00CB631D">
        <w:rPr>
          <w:lang w:val="lt-LT"/>
        </w:rPr>
        <w:t xml:space="preserve"> situacijos sąlygomis</w:t>
      </w:r>
      <w:r w:rsidR="00F85D25">
        <w:rPr>
          <w:lang w:val="lt-LT"/>
        </w:rPr>
        <w:t xml:space="preserve"> įmonių, kuri</w:t>
      </w:r>
      <w:r w:rsidR="00414529">
        <w:rPr>
          <w:lang w:val="lt-LT"/>
        </w:rPr>
        <w:t>os</w:t>
      </w:r>
      <w:r w:rsidR="00F85D25">
        <w:rPr>
          <w:lang w:val="lt-LT"/>
        </w:rPr>
        <w:t xml:space="preserve"> norės pasinaudoti šia galimybe</w:t>
      </w:r>
      <w:r w:rsidR="002C595E">
        <w:rPr>
          <w:lang w:val="lt-LT"/>
        </w:rPr>
        <w:t>,</w:t>
      </w:r>
      <w:r w:rsidR="00F85D25">
        <w:rPr>
          <w:lang w:val="lt-LT"/>
        </w:rPr>
        <w:t xml:space="preserve"> </w:t>
      </w:r>
      <w:r w:rsidR="00414529">
        <w:rPr>
          <w:lang w:val="lt-LT"/>
        </w:rPr>
        <w:t xml:space="preserve">dalis </w:t>
      </w:r>
      <w:r w:rsidR="00F85D25">
        <w:rPr>
          <w:lang w:val="lt-LT"/>
        </w:rPr>
        <w:t xml:space="preserve">gali būti </w:t>
      </w:r>
      <w:r w:rsidR="00EC474A">
        <w:rPr>
          <w:lang w:val="lt-LT"/>
        </w:rPr>
        <w:t>didelė</w:t>
      </w:r>
      <w:r w:rsidR="00CB631D">
        <w:rPr>
          <w:lang w:val="lt-LT"/>
        </w:rPr>
        <w:t>,</w:t>
      </w:r>
      <w:r w:rsidR="00EC474A">
        <w:rPr>
          <w:lang w:val="lt-LT"/>
        </w:rPr>
        <w:t xml:space="preserve"> </w:t>
      </w:r>
      <w:r w:rsidR="00CB631D">
        <w:rPr>
          <w:lang w:val="lt-LT"/>
        </w:rPr>
        <w:t>todėl</w:t>
      </w:r>
      <w:r w:rsidR="00EC474A">
        <w:rPr>
          <w:lang w:val="lt-LT"/>
        </w:rPr>
        <w:t xml:space="preserve"> </w:t>
      </w:r>
      <w:r w:rsidR="00D80AD1">
        <w:rPr>
          <w:lang w:val="lt-LT"/>
        </w:rPr>
        <w:t>reikšmingesnė</w:t>
      </w:r>
      <w:r w:rsidR="00EC474A">
        <w:rPr>
          <w:lang w:val="lt-LT"/>
        </w:rPr>
        <w:t xml:space="preserve"> dalis </w:t>
      </w:r>
      <w:r w:rsidR="00752F19">
        <w:rPr>
          <w:lang w:val="lt-LT"/>
        </w:rPr>
        <w:t xml:space="preserve">atidėtų </w:t>
      </w:r>
      <w:r w:rsidR="00EC474A">
        <w:rPr>
          <w:lang w:val="lt-LT"/>
        </w:rPr>
        <w:t xml:space="preserve">mokesčių grąžinimų bus gauta tik </w:t>
      </w:r>
      <w:r w:rsidR="00EC474A">
        <w:t>2022 m.</w:t>
      </w:r>
      <w:bookmarkEnd w:id="1"/>
      <w:r w:rsidR="00752F19">
        <w:t xml:space="preserve"> </w:t>
      </w:r>
    </w:p>
    <w:p w14:paraId="5CCA5486" w14:textId="5E145857" w:rsidR="00755AC5" w:rsidRDefault="00E85768" w:rsidP="00CF2D0D">
      <w:pPr>
        <w:ind w:firstLine="709"/>
        <w:jc w:val="both"/>
        <w:rPr>
          <w:lang w:val="lt-LT"/>
        </w:rPr>
      </w:pPr>
      <w:r w:rsidRPr="0081712B">
        <w:rPr>
          <w:b/>
          <w:lang w:val="lt-LT"/>
        </w:rPr>
        <w:t xml:space="preserve">2021 m. valdžios sektoriaus deficitas gali būti </w:t>
      </w:r>
      <w:r w:rsidR="00752F19">
        <w:rPr>
          <w:b/>
          <w:lang w:val="lt-LT"/>
        </w:rPr>
        <w:t>0,</w:t>
      </w:r>
      <w:r w:rsidR="00CB331E">
        <w:rPr>
          <w:b/>
          <w:lang w:val="lt-LT"/>
        </w:rPr>
        <w:t>5</w:t>
      </w:r>
      <w:r w:rsidR="00752F19" w:rsidRPr="001D3D01">
        <w:rPr>
          <w:b/>
          <w:lang w:val="lt-LT"/>
        </w:rPr>
        <w:t>–</w:t>
      </w:r>
      <w:r w:rsidR="00752F19">
        <w:rPr>
          <w:b/>
          <w:lang w:val="lt-LT"/>
        </w:rPr>
        <w:t>1,</w:t>
      </w:r>
      <w:r w:rsidR="00CB331E">
        <w:rPr>
          <w:b/>
          <w:lang w:val="lt-LT"/>
        </w:rPr>
        <w:t>2</w:t>
      </w:r>
      <w:r w:rsidR="00752F19">
        <w:rPr>
          <w:b/>
          <w:lang w:val="lt-LT"/>
        </w:rPr>
        <w:t xml:space="preserve"> proc. p. </w:t>
      </w:r>
      <w:r w:rsidRPr="0081712B">
        <w:rPr>
          <w:b/>
          <w:lang w:val="lt-LT"/>
        </w:rPr>
        <w:t>prastesnis</w:t>
      </w:r>
      <w:r w:rsidR="002621C4">
        <w:rPr>
          <w:b/>
          <w:lang w:val="lt-LT"/>
        </w:rPr>
        <w:t xml:space="preserve"> (</w:t>
      </w:r>
      <w:r w:rsidR="001D3D01">
        <w:rPr>
          <w:b/>
          <w:lang w:val="lt-LT"/>
        </w:rPr>
        <w:t xml:space="preserve">ir sudaryti </w:t>
      </w:r>
      <w:r w:rsidR="001D3D01" w:rsidRPr="001D3D01">
        <w:rPr>
          <w:b/>
          <w:lang w:val="lt-LT"/>
        </w:rPr>
        <w:t>5,</w:t>
      </w:r>
      <w:r w:rsidR="00CB331E">
        <w:rPr>
          <w:b/>
          <w:lang w:val="lt-LT"/>
        </w:rPr>
        <w:t>5</w:t>
      </w:r>
      <w:r w:rsidR="001D3D01" w:rsidRPr="001D3D01">
        <w:rPr>
          <w:b/>
          <w:lang w:val="lt-LT"/>
        </w:rPr>
        <w:t>–6,</w:t>
      </w:r>
      <w:r w:rsidR="00CB331E">
        <w:rPr>
          <w:b/>
          <w:lang w:val="lt-LT"/>
        </w:rPr>
        <w:t>2</w:t>
      </w:r>
      <w:r w:rsidR="0029370F">
        <w:rPr>
          <w:b/>
          <w:lang w:val="lt-LT"/>
        </w:rPr>
        <w:t xml:space="preserve"> </w:t>
      </w:r>
      <w:r w:rsidR="001D3D01" w:rsidRPr="001D3D01">
        <w:rPr>
          <w:b/>
          <w:lang w:val="lt-LT"/>
        </w:rPr>
        <w:t>% BVP</w:t>
      </w:r>
      <w:r w:rsidR="002621C4">
        <w:rPr>
          <w:b/>
          <w:lang w:val="lt-LT"/>
        </w:rPr>
        <w:t>)</w:t>
      </w:r>
      <w:r w:rsidR="001D3D01">
        <w:rPr>
          <w:b/>
          <w:lang w:val="lt-LT"/>
        </w:rPr>
        <w:t xml:space="preserve"> </w:t>
      </w:r>
      <w:r w:rsidRPr="0081712B">
        <w:rPr>
          <w:b/>
          <w:lang w:val="lt-LT"/>
        </w:rPr>
        <w:t>dėl</w:t>
      </w:r>
      <w:r w:rsidR="0020653E">
        <w:rPr>
          <w:b/>
          <w:lang w:val="lt-LT"/>
        </w:rPr>
        <w:t>,</w:t>
      </w:r>
      <w:r w:rsidRPr="0081712B">
        <w:rPr>
          <w:b/>
          <w:lang w:val="lt-LT"/>
        </w:rPr>
        <w:t xml:space="preserve"> </w:t>
      </w:r>
      <w:r w:rsidR="00316229">
        <w:rPr>
          <w:b/>
          <w:lang w:val="lt-LT"/>
        </w:rPr>
        <w:t>tikėtina</w:t>
      </w:r>
      <w:r w:rsidR="0020653E">
        <w:rPr>
          <w:b/>
          <w:lang w:val="lt-LT"/>
        </w:rPr>
        <w:t>,</w:t>
      </w:r>
      <w:r w:rsidR="00316229">
        <w:rPr>
          <w:b/>
          <w:lang w:val="lt-LT"/>
        </w:rPr>
        <w:t xml:space="preserve"> </w:t>
      </w:r>
      <w:r w:rsidR="00316229" w:rsidRPr="0081712B">
        <w:rPr>
          <w:b/>
          <w:lang w:val="lt-LT"/>
        </w:rPr>
        <w:t>didesni</w:t>
      </w:r>
      <w:r w:rsidR="00316229">
        <w:rPr>
          <w:b/>
          <w:lang w:val="lt-LT"/>
        </w:rPr>
        <w:t>o</w:t>
      </w:r>
      <w:r w:rsidR="00316229" w:rsidRPr="0081712B">
        <w:rPr>
          <w:b/>
          <w:lang w:val="lt-LT"/>
        </w:rPr>
        <w:t xml:space="preserve"> </w:t>
      </w:r>
      <w:r w:rsidRPr="0081712B">
        <w:rPr>
          <w:b/>
          <w:lang w:val="lt-LT"/>
        </w:rPr>
        <w:t>su pandemij</w:t>
      </w:r>
      <w:r w:rsidR="00E46429" w:rsidRPr="0081712B">
        <w:rPr>
          <w:b/>
          <w:lang w:val="lt-LT"/>
        </w:rPr>
        <w:t>a ir jos pasekm</w:t>
      </w:r>
      <w:r w:rsidR="00E27CD4" w:rsidRPr="0081712B">
        <w:rPr>
          <w:b/>
          <w:lang w:val="lt-LT"/>
        </w:rPr>
        <w:t>ių</w:t>
      </w:r>
      <w:r w:rsidR="00E46429" w:rsidRPr="0081712B">
        <w:rPr>
          <w:b/>
          <w:lang w:val="lt-LT"/>
        </w:rPr>
        <w:t xml:space="preserve"> valdymu</w:t>
      </w:r>
      <w:r w:rsidRPr="0081712B">
        <w:rPr>
          <w:b/>
          <w:lang w:val="lt-LT"/>
        </w:rPr>
        <w:t xml:space="preserve"> susijusių lėšų </w:t>
      </w:r>
      <w:r w:rsidR="00316229">
        <w:rPr>
          <w:b/>
          <w:lang w:val="lt-LT"/>
        </w:rPr>
        <w:t>poreikio</w:t>
      </w:r>
      <w:r w:rsidRPr="0081712B">
        <w:rPr>
          <w:b/>
          <w:lang w:val="lt-LT"/>
        </w:rPr>
        <w:t xml:space="preserve">. </w:t>
      </w:r>
      <w:r w:rsidR="00527E64" w:rsidRPr="00527E64">
        <w:rPr>
          <w:lang w:val="lt-LT"/>
        </w:rPr>
        <w:t>D</w:t>
      </w:r>
      <w:r w:rsidR="007368FB">
        <w:rPr>
          <w:lang w:val="lt-LT"/>
        </w:rPr>
        <w:t>augelis</w:t>
      </w:r>
      <w:r w:rsidR="00527E64" w:rsidRPr="00527E64">
        <w:rPr>
          <w:lang w:val="lt-LT"/>
        </w:rPr>
        <w:t xml:space="preserve"> kovai su COVID-19 ir jo padariniais patvirtintų priemonių baigia galioti iki 2021 m.</w:t>
      </w:r>
      <w:r w:rsidR="00C445E2">
        <w:rPr>
          <w:lang w:val="lt-LT"/>
        </w:rPr>
        <w:t xml:space="preserve"> pradžios</w:t>
      </w:r>
      <w:r w:rsidR="00527E64" w:rsidRPr="00527E64">
        <w:rPr>
          <w:lang w:val="lt-LT"/>
        </w:rPr>
        <w:t xml:space="preserve"> (</w:t>
      </w:r>
      <w:r w:rsidR="00342927">
        <w:rPr>
          <w:lang w:val="lt-LT"/>
        </w:rPr>
        <w:t xml:space="preserve">pavyzdžiui, </w:t>
      </w:r>
      <w:r w:rsidR="00527E64" w:rsidRPr="00527E64">
        <w:rPr>
          <w:lang w:val="lt-LT"/>
        </w:rPr>
        <w:t xml:space="preserve">darbo paieškos išmokos, subsidijos </w:t>
      </w:r>
      <w:r w:rsidR="00E46429">
        <w:rPr>
          <w:lang w:val="lt-LT"/>
        </w:rPr>
        <w:t>grįžusie</w:t>
      </w:r>
      <w:r w:rsidR="007368FB">
        <w:rPr>
          <w:lang w:val="lt-LT"/>
        </w:rPr>
        <w:t>sie</w:t>
      </w:r>
      <w:r w:rsidR="00E46429">
        <w:rPr>
          <w:lang w:val="lt-LT"/>
        </w:rPr>
        <w:t>ms iš</w:t>
      </w:r>
      <w:r w:rsidR="00527E64" w:rsidRPr="00527E64">
        <w:rPr>
          <w:lang w:val="lt-LT"/>
        </w:rPr>
        <w:t xml:space="preserve"> prastovų</w:t>
      </w:r>
      <w:r w:rsidR="00C445E2">
        <w:rPr>
          <w:lang w:val="lt-LT"/>
        </w:rPr>
        <w:t xml:space="preserve"> ir kt.</w:t>
      </w:r>
      <w:r w:rsidR="00527E64" w:rsidRPr="00527E64">
        <w:rPr>
          <w:lang w:val="lt-LT"/>
        </w:rPr>
        <w:t>)</w:t>
      </w:r>
      <w:r w:rsidR="007368FB">
        <w:rPr>
          <w:lang w:val="lt-LT"/>
        </w:rPr>
        <w:t>,</w:t>
      </w:r>
      <w:r w:rsidR="00C445E2">
        <w:rPr>
          <w:lang w:val="lt-LT"/>
        </w:rPr>
        <w:t xml:space="preserve"> kaip numatyta atitinkamuose įstatymuose ir Vyriausybės nutarimuose</w:t>
      </w:r>
      <w:r w:rsidR="002E33F9">
        <w:rPr>
          <w:lang w:val="lt-LT"/>
        </w:rPr>
        <w:t>.</w:t>
      </w:r>
      <w:r w:rsidR="00527E64" w:rsidRPr="00527E64">
        <w:rPr>
          <w:lang w:val="lt-LT"/>
        </w:rPr>
        <w:t xml:space="preserve"> </w:t>
      </w:r>
      <w:r w:rsidR="002E33F9">
        <w:rPr>
          <w:lang w:val="lt-LT"/>
        </w:rPr>
        <w:t>V</w:t>
      </w:r>
      <w:r w:rsidR="00C445E2">
        <w:rPr>
          <w:lang w:val="lt-LT"/>
        </w:rPr>
        <w:t>is dėlto</w:t>
      </w:r>
      <w:r w:rsidR="00527E64" w:rsidRPr="00527E64">
        <w:rPr>
          <w:lang w:val="lt-LT"/>
        </w:rPr>
        <w:t xml:space="preserve"> tęsiantis ekstremaliai padėčiai </w:t>
      </w:r>
      <w:r w:rsidR="007368FB">
        <w:rPr>
          <w:lang w:val="lt-LT"/>
        </w:rPr>
        <w:t>tam tikros</w:t>
      </w:r>
      <w:r w:rsidR="007368FB" w:rsidRPr="00527E64">
        <w:rPr>
          <w:lang w:val="lt-LT"/>
        </w:rPr>
        <w:t xml:space="preserve"> </w:t>
      </w:r>
      <w:r w:rsidR="00527E64" w:rsidRPr="00527E64">
        <w:rPr>
          <w:lang w:val="lt-LT"/>
        </w:rPr>
        <w:t>priemon</w:t>
      </w:r>
      <w:r w:rsidR="007368FB">
        <w:rPr>
          <w:lang w:val="lt-LT"/>
        </w:rPr>
        <w:t>ės</w:t>
      </w:r>
      <w:r w:rsidR="00527E64" w:rsidRPr="00527E64">
        <w:rPr>
          <w:lang w:val="lt-LT"/>
        </w:rPr>
        <w:t xml:space="preserve"> galios</w:t>
      </w:r>
      <w:r w:rsidR="00C445E2">
        <w:rPr>
          <w:lang w:val="lt-LT"/>
        </w:rPr>
        <w:t>, o lėšos joms bus reikalingos</w:t>
      </w:r>
      <w:r w:rsidR="00527E64" w:rsidRPr="00527E64">
        <w:rPr>
          <w:lang w:val="lt-LT"/>
        </w:rPr>
        <w:t xml:space="preserve"> ir 2021 m. (pavyzdžiui, ligos išmokos, subsidijos prastovų metu, papildomos išlaidos sveikatos apsaugai ir kt.).</w:t>
      </w:r>
      <w:r w:rsidR="00C445E2">
        <w:rPr>
          <w:lang w:val="lt-LT"/>
        </w:rPr>
        <w:t xml:space="preserve"> Kaip rodo projekt</w:t>
      </w:r>
      <w:r w:rsidR="006B7E3F">
        <w:rPr>
          <w:lang w:val="lt-LT"/>
        </w:rPr>
        <w:t>uose pateikti skaičiavimai</w:t>
      </w:r>
      <w:r w:rsidR="00C445E2">
        <w:rPr>
          <w:lang w:val="lt-LT"/>
        </w:rPr>
        <w:t xml:space="preserve">, </w:t>
      </w:r>
      <w:r w:rsidR="00B5451C">
        <w:rPr>
          <w:lang w:val="lt-LT"/>
        </w:rPr>
        <w:t>suplanuotos</w:t>
      </w:r>
      <w:r w:rsidR="00C445E2">
        <w:rPr>
          <w:lang w:val="lt-LT"/>
        </w:rPr>
        <w:t xml:space="preserve"> lėšos šioms reik</w:t>
      </w:r>
      <w:r w:rsidR="00926FB3">
        <w:rPr>
          <w:lang w:val="lt-LT"/>
        </w:rPr>
        <w:t>m</w:t>
      </w:r>
      <w:r w:rsidR="00C445E2">
        <w:rPr>
          <w:lang w:val="lt-LT"/>
        </w:rPr>
        <w:t>ėms</w:t>
      </w:r>
      <w:r w:rsidR="00527E64" w:rsidRPr="00527E64">
        <w:rPr>
          <w:lang w:val="lt-LT"/>
        </w:rPr>
        <w:t xml:space="preserve"> </w:t>
      </w:r>
      <w:r w:rsidR="00E46429">
        <w:rPr>
          <w:lang w:val="lt-LT"/>
        </w:rPr>
        <w:t xml:space="preserve">yra </w:t>
      </w:r>
      <w:r w:rsidR="00342187">
        <w:rPr>
          <w:lang w:val="lt-LT"/>
        </w:rPr>
        <w:t xml:space="preserve">gerokai mažesnės nei išlaidos, patirtos </w:t>
      </w:r>
      <w:r w:rsidR="00342187" w:rsidRPr="0081712B">
        <w:rPr>
          <w:lang w:val="lt-LT"/>
        </w:rPr>
        <w:t>2020 m.</w:t>
      </w:r>
      <w:r w:rsidR="00C445E2">
        <w:rPr>
          <w:lang w:val="lt-LT"/>
        </w:rPr>
        <w:t xml:space="preserve"> </w:t>
      </w:r>
      <w:r w:rsidR="00342187">
        <w:rPr>
          <w:lang w:val="lt-LT"/>
        </w:rPr>
        <w:t>P</w:t>
      </w:r>
      <w:r w:rsidR="007368FB">
        <w:rPr>
          <w:lang w:val="lt-LT"/>
        </w:rPr>
        <w:t>avyzdžiui</w:t>
      </w:r>
      <w:r w:rsidR="00342187">
        <w:rPr>
          <w:lang w:val="lt-LT"/>
        </w:rPr>
        <w:t xml:space="preserve">, atsižvelgiant į dabartinę epidemiologinę situaciją, </w:t>
      </w:r>
      <w:r w:rsidR="00342187" w:rsidRPr="0081712B">
        <w:rPr>
          <w:lang w:val="lt-LT"/>
        </w:rPr>
        <w:t xml:space="preserve">2021 m. </w:t>
      </w:r>
      <w:r w:rsidR="00342187">
        <w:rPr>
          <w:lang w:val="lt-LT"/>
        </w:rPr>
        <w:t>ligos socialiniam draudimui</w:t>
      </w:r>
      <w:r w:rsidR="007368FB">
        <w:rPr>
          <w:lang w:val="lt-LT"/>
        </w:rPr>
        <w:t>,</w:t>
      </w:r>
      <w:r w:rsidR="00342187">
        <w:rPr>
          <w:lang w:val="lt-LT"/>
        </w:rPr>
        <w:t xml:space="preserve"> </w:t>
      </w:r>
      <w:r w:rsidR="00700FEB">
        <w:rPr>
          <w:lang w:val="lt-LT"/>
        </w:rPr>
        <w:t>tikėtina</w:t>
      </w:r>
      <w:r w:rsidR="007368FB">
        <w:rPr>
          <w:lang w:val="lt-LT"/>
        </w:rPr>
        <w:t>,</w:t>
      </w:r>
      <w:r w:rsidR="00700FEB">
        <w:rPr>
          <w:lang w:val="lt-LT"/>
        </w:rPr>
        <w:t xml:space="preserve"> nebus </w:t>
      </w:r>
      <w:r w:rsidR="00BC2766">
        <w:rPr>
          <w:lang w:val="lt-LT"/>
        </w:rPr>
        <w:t xml:space="preserve">išleista </w:t>
      </w:r>
      <w:r w:rsidR="00342187">
        <w:rPr>
          <w:lang w:val="lt-LT"/>
        </w:rPr>
        <w:t>gerokai maž</w:t>
      </w:r>
      <w:r w:rsidR="00BC2766">
        <w:rPr>
          <w:lang w:val="lt-LT"/>
        </w:rPr>
        <w:t>iau</w:t>
      </w:r>
      <w:r w:rsidR="00342187">
        <w:rPr>
          <w:lang w:val="lt-LT"/>
        </w:rPr>
        <w:t xml:space="preserve">, nei numatoma </w:t>
      </w:r>
      <w:r w:rsidR="00342187" w:rsidRPr="0081712B">
        <w:rPr>
          <w:lang w:val="lt-LT"/>
        </w:rPr>
        <w:t>2020 m.</w:t>
      </w:r>
      <w:r w:rsidR="00342187">
        <w:rPr>
          <w:lang w:val="lt-LT"/>
        </w:rPr>
        <w:t xml:space="preserve"> </w:t>
      </w:r>
      <w:r w:rsidR="00C445E2">
        <w:rPr>
          <w:lang w:val="lt-LT"/>
        </w:rPr>
        <w:t>Lietuvos banko vertinimu,</w:t>
      </w:r>
      <w:r w:rsidR="00C445E2" w:rsidRPr="00C445E2">
        <w:rPr>
          <w:lang w:val="lt-LT"/>
        </w:rPr>
        <w:t xml:space="preserve"> </w:t>
      </w:r>
      <w:r w:rsidR="00B71BC4">
        <w:rPr>
          <w:lang w:val="lt-LT"/>
        </w:rPr>
        <w:t xml:space="preserve">labai tikėtina, kad </w:t>
      </w:r>
      <w:r w:rsidR="00C445E2" w:rsidRPr="00527E64">
        <w:rPr>
          <w:lang w:val="lt-LT"/>
        </w:rPr>
        <w:t xml:space="preserve">pandemijos </w:t>
      </w:r>
      <w:r w:rsidR="00C445E2">
        <w:rPr>
          <w:lang w:val="lt-LT"/>
        </w:rPr>
        <w:t xml:space="preserve">ir jos pasekmių </w:t>
      </w:r>
      <w:r w:rsidR="00C445E2" w:rsidRPr="00527E64">
        <w:rPr>
          <w:lang w:val="lt-LT"/>
        </w:rPr>
        <w:t>valdymo priemonės</w:t>
      </w:r>
      <w:r w:rsidR="00C445E2">
        <w:rPr>
          <w:lang w:val="lt-LT"/>
        </w:rPr>
        <w:t xml:space="preserve"> gali </w:t>
      </w:r>
      <w:r w:rsidR="005C1F2A">
        <w:rPr>
          <w:lang w:val="lt-LT"/>
        </w:rPr>
        <w:t>pa</w:t>
      </w:r>
      <w:r w:rsidR="00C445E2">
        <w:rPr>
          <w:lang w:val="lt-LT"/>
        </w:rPr>
        <w:t>reikalauti didesnių išlaidų</w:t>
      </w:r>
      <w:r w:rsidR="005C1F2A">
        <w:rPr>
          <w:lang w:val="lt-LT"/>
        </w:rPr>
        <w:t>,</w:t>
      </w:r>
      <w:r w:rsidR="00C445E2">
        <w:rPr>
          <w:lang w:val="lt-LT"/>
        </w:rPr>
        <w:t xml:space="preserve"> nei šiuo metu numatyta projektuose</w:t>
      </w:r>
      <w:r w:rsidR="00C445E2" w:rsidRPr="00527E64">
        <w:rPr>
          <w:lang w:val="lt-LT"/>
        </w:rPr>
        <w:t>.</w:t>
      </w:r>
      <w:r w:rsidR="00527E64" w:rsidRPr="00527E64">
        <w:rPr>
          <w:lang w:val="lt-LT"/>
        </w:rPr>
        <w:t xml:space="preserve"> </w:t>
      </w:r>
      <w:r w:rsidR="001D3015">
        <w:rPr>
          <w:lang w:val="lt-LT"/>
        </w:rPr>
        <w:t>Juose</w:t>
      </w:r>
      <w:r w:rsidR="006B7E3F">
        <w:rPr>
          <w:lang w:val="lt-LT"/>
        </w:rPr>
        <w:t xml:space="preserve"> pateikti skaičiavimai rodo, kad toms priemonėms, kurios galio</w:t>
      </w:r>
      <w:r w:rsidR="007318AA">
        <w:rPr>
          <w:lang w:val="lt-LT"/>
        </w:rPr>
        <w:t>ja</w:t>
      </w:r>
      <w:r w:rsidR="006B7E3F">
        <w:rPr>
          <w:lang w:val="lt-LT"/>
        </w:rPr>
        <w:t xml:space="preserve"> ekstremalios situacijos ir (ar</w:t>
      </w:r>
      <w:r w:rsidR="0020653E">
        <w:rPr>
          <w:lang w:val="lt-LT"/>
        </w:rPr>
        <w:t>ba</w:t>
      </w:r>
      <w:r w:rsidR="006B7E3F">
        <w:rPr>
          <w:lang w:val="lt-LT"/>
        </w:rPr>
        <w:t xml:space="preserve">) karantino metu (neįtraukiant priemonių, kurių įstatymuose nustatyta galiojimo data yra gruodžio </w:t>
      </w:r>
      <w:r w:rsidR="006B7E3F">
        <w:t>31 d.</w:t>
      </w:r>
      <w:r w:rsidR="006B7E3F">
        <w:rPr>
          <w:lang w:val="lt-LT"/>
        </w:rPr>
        <w:t>)</w:t>
      </w:r>
      <w:r w:rsidR="007368FB">
        <w:rPr>
          <w:lang w:val="lt-LT"/>
        </w:rPr>
        <w:t>,</w:t>
      </w:r>
      <w:r w:rsidR="006B7E3F">
        <w:rPr>
          <w:lang w:val="lt-LT"/>
        </w:rPr>
        <w:t xml:space="preserve"> 2020 m. </w:t>
      </w:r>
      <w:r w:rsidR="001611A3">
        <w:rPr>
          <w:lang w:val="lt-LT"/>
        </w:rPr>
        <w:t>gali būti</w:t>
      </w:r>
      <w:r w:rsidR="006B7E3F">
        <w:rPr>
          <w:lang w:val="lt-LT"/>
        </w:rPr>
        <w:t xml:space="preserve"> išleis</w:t>
      </w:r>
      <w:r w:rsidR="001611A3">
        <w:rPr>
          <w:lang w:val="lt-LT"/>
        </w:rPr>
        <w:t>ta</w:t>
      </w:r>
      <w:r w:rsidR="006B7E3F">
        <w:rPr>
          <w:lang w:val="lt-LT"/>
        </w:rPr>
        <w:t xml:space="preserve"> </w:t>
      </w:r>
      <w:r w:rsidR="00F75B4A">
        <w:rPr>
          <w:lang w:val="lt-LT"/>
        </w:rPr>
        <w:t xml:space="preserve">apie </w:t>
      </w:r>
      <w:r w:rsidR="00175307">
        <w:t>700</w:t>
      </w:r>
      <w:r w:rsidR="006B7E3F">
        <w:rPr>
          <w:lang w:val="lt-LT"/>
        </w:rPr>
        <w:t xml:space="preserve"> mln. eurų</w:t>
      </w:r>
      <w:r w:rsidR="001611A3">
        <w:rPr>
          <w:lang w:val="lt-LT"/>
        </w:rPr>
        <w:t xml:space="preserve"> (žr. lentelę)</w:t>
      </w:r>
      <w:r w:rsidR="0039039A">
        <w:rPr>
          <w:lang w:val="lt-LT"/>
        </w:rPr>
        <w:t>.</w:t>
      </w:r>
      <w:r w:rsidR="006B7E3F">
        <w:rPr>
          <w:lang w:val="lt-LT"/>
        </w:rPr>
        <w:t xml:space="preserve"> </w:t>
      </w:r>
      <w:r w:rsidR="0039039A">
        <w:rPr>
          <w:lang w:val="lt-LT"/>
        </w:rPr>
        <w:t>J</w:t>
      </w:r>
      <w:r w:rsidR="006B7E3F">
        <w:rPr>
          <w:lang w:val="lt-LT"/>
        </w:rPr>
        <w:t xml:space="preserve">ei 2021 m. prireiktų bent pusės šių lėšų, </w:t>
      </w:r>
      <w:r w:rsidR="00E62BE4">
        <w:rPr>
          <w:lang w:val="lt-LT"/>
        </w:rPr>
        <w:t xml:space="preserve">valdžios sektoriaus </w:t>
      </w:r>
      <w:r w:rsidR="006B7E3F">
        <w:rPr>
          <w:lang w:val="lt-LT"/>
        </w:rPr>
        <w:t xml:space="preserve">deficitas didėtų </w:t>
      </w:r>
      <w:r w:rsidR="00046E77">
        <w:rPr>
          <w:lang w:val="lt-LT"/>
        </w:rPr>
        <w:t>apie 0,</w:t>
      </w:r>
      <w:r w:rsidR="001611A3">
        <w:t>5</w:t>
      </w:r>
      <w:r w:rsidR="00046E77">
        <w:rPr>
          <w:lang w:val="lt-LT"/>
        </w:rPr>
        <w:t xml:space="preserve"> proc. BVP, </w:t>
      </w:r>
      <w:r w:rsidR="00D441E8">
        <w:rPr>
          <w:lang w:val="lt-LT"/>
        </w:rPr>
        <w:t>o</w:t>
      </w:r>
      <w:r w:rsidR="00046E77">
        <w:rPr>
          <w:lang w:val="lt-LT"/>
        </w:rPr>
        <w:t xml:space="preserve"> jei prireiktų tiek pat lėšų</w:t>
      </w:r>
      <w:r w:rsidR="0020653E">
        <w:rPr>
          <w:lang w:val="lt-LT"/>
        </w:rPr>
        <w:t>,</w:t>
      </w:r>
      <w:r w:rsidR="00046E77">
        <w:rPr>
          <w:lang w:val="lt-LT"/>
        </w:rPr>
        <w:t xml:space="preserve"> – 1,</w:t>
      </w:r>
      <w:r w:rsidR="001611A3">
        <w:rPr>
          <w:lang w:val="lt-LT"/>
        </w:rPr>
        <w:t>2</w:t>
      </w:r>
      <w:r w:rsidR="00046E77">
        <w:rPr>
          <w:lang w:val="lt-LT"/>
        </w:rPr>
        <w:t xml:space="preserve"> proc. BVP</w:t>
      </w:r>
      <w:r w:rsidR="003E0E44">
        <w:rPr>
          <w:lang w:val="lt-LT"/>
        </w:rPr>
        <w:t xml:space="preserve"> (atitinkamai deficitas padidėtų iki </w:t>
      </w:r>
      <w:bookmarkStart w:id="3" w:name="_Hlk54992848"/>
      <w:r w:rsidR="003E0E44">
        <w:t>5,</w:t>
      </w:r>
      <w:r w:rsidR="001611A3">
        <w:t>5</w:t>
      </w:r>
      <w:r w:rsidR="001D3D01" w:rsidRPr="00962005">
        <w:rPr>
          <w:lang w:val="lt-LT"/>
        </w:rPr>
        <w:t>–</w:t>
      </w:r>
      <w:r w:rsidR="003E0E44">
        <w:t>6,</w:t>
      </w:r>
      <w:r w:rsidR="001611A3">
        <w:t>2</w:t>
      </w:r>
      <w:r w:rsidR="00E4080C">
        <w:t xml:space="preserve"> </w:t>
      </w:r>
      <w:r w:rsidR="003E0E44">
        <w:t>%</w:t>
      </w:r>
      <w:r w:rsidR="001D3D01">
        <w:t xml:space="preserve"> BVP</w:t>
      </w:r>
      <w:bookmarkEnd w:id="3"/>
      <w:r w:rsidR="003E0E44">
        <w:rPr>
          <w:lang w:val="lt-LT"/>
        </w:rPr>
        <w:t>)</w:t>
      </w:r>
      <w:r w:rsidR="001611A3">
        <w:rPr>
          <w:rStyle w:val="FootnoteReference"/>
          <w:lang w:val="lt-LT"/>
        </w:rPr>
        <w:footnoteReference w:id="5"/>
      </w:r>
      <w:r w:rsidR="00046E77">
        <w:rPr>
          <w:lang w:val="lt-LT"/>
        </w:rPr>
        <w:t xml:space="preserve">. </w:t>
      </w:r>
      <w:r w:rsidR="00DE2D2A">
        <w:rPr>
          <w:lang w:val="lt-LT"/>
        </w:rPr>
        <w:t>Be to, d</w:t>
      </w:r>
      <w:r w:rsidR="00175307">
        <w:rPr>
          <w:lang w:val="lt-LT"/>
        </w:rPr>
        <w:t xml:space="preserve">alis išlaidų </w:t>
      </w:r>
      <w:r w:rsidR="00175307">
        <w:t xml:space="preserve">2020 m. </w:t>
      </w:r>
      <w:r w:rsidR="00175307">
        <w:rPr>
          <w:lang w:val="lt-LT"/>
        </w:rPr>
        <w:t>buvo vienkartinės arba j</w:t>
      </w:r>
      <w:r w:rsidR="007368FB">
        <w:rPr>
          <w:lang w:val="lt-LT"/>
        </w:rPr>
        <w:t>o</w:t>
      </w:r>
      <w:r w:rsidR="00175307">
        <w:rPr>
          <w:lang w:val="lt-LT"/>
        </w:rPr>
        <w:t>s suplanuot</w:t>
      </w:r>
      <w:r w:rsidR="007368FB">
        <w:rPr>
          <w:lang w:val="lt-LT"/>
        </w:rPr>
        <w:t>os</w:t>
      </w:r>
      <w:r w:rsidR="00175307">
        <w:rPr>
          <w:lang w:val="lt-LT"/>
        </w:rPr>
        <w:t xml:space="preserve"> iki </w:t>
      </w:r>
      <w:r w:rsidR="00175307">
        <w:t xml:space="preserve">2020 m. </w:t>
      </w:r>
      <w:proofErr w:type="spellStart"/>
      <w:r w:rsidR="00175307">
        <w:t>gruod</w:t>
      </w:r>
      <w:r w:rsidR="00175307">
        <w:rPr>
          <w:lang w:val="lt-LT"/>
        </w:rPr>
        <w:t>žio</w:t>
      </w:r>
      <w:proofErr w:type="spellEnd"/>
      <w:r w:rsidR="00175307">
        <w:rPr>
          <w:lang w:val="lt-LT"/>
        </w:rPr>
        <w:t xml:space="preserve"> </w:t>
      </w:r>
      <w:r w:rsidR="00175307">
        <w:t>31</w:t>
      </w:r>
      <w:r w:rsidR="00033154">
        <w:t> </w:t>
      </w:r>
      <w:r w:rsidR="00175307">
        <w:t xml:space="preserve">d. </w:t>
      </w:r>
      <w:proofErr w:type="spellStart"/>
      <w:r w:rsidR="00175307">
        <w:t>Joms</w:t>
      </w:r>
      <w:proofErr w:type="spellEnd"/>
      <w:r w:rsidR="00175307">
        <w:t xml:space="preserve"> 2020 m. </w:t>
      </w:r>
      <w:proofErr w:type="spellStart"/>
      <w:r w:rsidR="00175307">
        <w:t>planuojama</w:t>
      </w:r>
      <w:proofErr w:type="spellEnd"/>
      <w:r w:rsidR="00175307">
        <w:t xml:space="preserve"> </w:t>
      </w:r>
      <w:proofErr w:type="spellStart"/>
      <w:r w:rsidR="00175307">
        <w:t>išleisti</w:t>
      </w:r>
      <w:proofErr w:type="spellEnd"/>
      <w:r w:rsidR="00175307">
        <w:t xml:space="preserve"> </w:t>
      </w:r>
      <w:proofErr w:type="spellStart"/>
      <w:r w:rsidR="00175307">
        <w:t>apie</w:t>
      </w:r>
      <w:proofErr w:type="spellEnd"/>
      <w:r w:rsidR="00175307">
        <w:t xml:space="preserve"> 2,7 proc. BVP</w:t>
      </w:r>
      <w:r w:rsidR="003E0E44">
        <w:t xml:space="preserve">. </w:t>
      </w:r>
      <w:proofErr w:type="spellStart"/>
      <w:r w:rsidR="001D3D01">
        <w:t>Atitinkam</w:t>
      </w:r>
      <w:r w:rsidR="007368FB">
        <w:t>ų</w:t>
      </w:r>
      <w:proofErr w:type="spellEnd"/>
      <w:r w:rsidR="003E0E44">
        <w:t xml:space="preserve"> </w:t>
      </w:r>
      <w:proofErr w:type="spellStart"/>
      <w:r w:rsidR="00B905AA">
        <w:t>papildom</w:t>
      </w:r>
      <w:r w:rsidR="007368FB">
        <w:t>ų</w:t>
      </w:r>
      <w:proofErr w:type="spellEnd"/>
      <w:r w:rsidR="00B905AA">
        <w:t xml:space="preserve"> </w:t>
      </w:r>
      <w:proofErr w:type="spellStart"/>
      <w:r w:rsidR="003E0E44">
        <w:t>lėšų</w:t>
      </w:r>
      <w:proofErr w:type="spellEnd"/>
      <w:r w:rsidR="003E0E44">
        <w:t xml:space="preserve"> </w:t>
      </w:r>
      <w:proofErr w:type="spellStart"/>
      <w:r w:rsidR="003E0E44">
        <w:t>reikėtų</w:t>
      </w:r>
      <w:proofErr w:type="spellEnd"/>
      <w:r w:rsidR="003E0E44">
        <w:t xml:space="preserve">, </w:t>
      </w:r>
      <w:proofErr w:type="spellStart"/>
      <w:r w:rsidR="003E0E44">
        <w:t>jeigu</w:t>
      </w:r>
      <w:proofErr w:type="spellEnd"/>
      <w:r w:rsidR="003E0E44">
        <w:t xml:space="preserve"> </w:t>
      </w:r>
      <w:proofErr w:type="spellStart"/>
      <w:r w:rsidR="003E0E44">
        <w:t>būtų</w:t>
      </w:r>
      <w:proofErr w:type="spellEnd"/>
      <w:r w:rsidR="003E0E44">
        <w:t xml:space="preserve"> </w:t>
      </w:r>
      <w:proofErr w:type="spellStart"/>
      <w:r w:rsidR="003E0E44">
        <w:t>nutarta</w:t>
      </w:r>
      <w:proofErr w:type="spellEnd"/>
      <w:r w:rsidR="003E0E44">
        <w:t xml:space="preserve"> </w:t>
      </w:r>
      <w:proofErr w:type="spellStart"/>
      <w:r w:rsidR="00C44319">
        <w:t>panašios</w:t>
      </w:r>
      <w:proofErr w:type="spellEnd"/>
      <w:r w:rsidR="00C44319">
        <w:t xml:space="preserve"> </w:t>
      </w:r>
      <w:proofErr w:type="spellStart"/>
      <w:r w:rsidR="00C44319">
        <w:t>apimties</w:t>
      </w:r>
      <w:proofErr w:type="spellEnd"/>
      <w:r w:rsidR="00C44319">
        <w:t xml:space="preserve"> </w:t>
      </w:r>
      <w:proofErr w:type="spellStart"/>
      <w:r w:rsidR="00C44319">
        <w:t>priemonių</w:t>
      </w:r>
      <w:proofErr w:type="spellEnd"/>
      <w:r w:rsidR="003E0E44">
        <w:t xml:space="preserve"> </w:t>
      </w:r>
      <w:proofErr w:type="spellStart"/>
      <w:r w:rsidR="00C44319">
        <w:t>imtis</w:t>
      </w:r>
      <w:proofErr w:type="spellEnd"/>
      <w:r w:rsidR="003E0E44">
        <w:t xml:space="preserve"> </w:t>
      </w:r>
      <w:proofErr w:type="spellStart"/>
      <w:r w:rsidR="003E0E44">
        <w:t>ir</w:t>
      </w:r>
      <w:proofErr w:type="spellEnd"/>
      <w:r w:rsidR="003E0E44">
        <w:t xml:space="preserve"> 2021 m. </w:t>
      </w:r>
      <w:r w:rsidR="00D94705">
        <w:rPr>
          <w:lang w:val="lt-LT"/>
        </w:rPr>
        <w:t>A</w:t>
      </w:r>
      <w:r w:rsidR="007318AA">
        <w:rPr>
          <w:lang w:val="lt-LT"/>
        </w:rPr>
        <w:t xml:space="preserve">tsižvelgiant į besitęsiančią </w:t>
      </w:r>
      <w:proofErr w:type="spellStart"/>
      <w:r w:rsidR="007318AA">
        <w:rPr>
          <w:lang w:val="lt-LT"/>
        </w:rPr>
        <w:t>p</w:t>
      </w:r>
      <w:r w:rsidR="008241F9">
        <w:rPr>
          <w:lang w:val="lt-LT"/>
        </w:rPr>
        <w:t>a</w:t>
      </w:r>
      <w:r w:rsidR="007318AA">
        <w:rPr>
          <w:lang w:val="lt-LT"/>
        </w:rPr>
        <w:t>ndeminę</w:t>
      </w:r>
      <w:proofErr w:type="spellEnd"/>
      <w:r w:rsidR="007318AA">
        <w:rPr>
          <w:lang w:val="lt-LT"/>
        </w:rPr>
        <w:t xml:space="preserve"> situaciją, būtų tikslinga </w:t>
      </w:r>
      <w:r w:rsidR="001D3D01">
        <w:rPr>
          <w:lang w:val="lt-LT"/>
        </w:rPr>
        <w:t>biudžete</w:t>
      </w:r>
      <w:r w:rsidR="001D3D01" w:rsidRPr="001D3D01">
        <w:rPr>
          <w:lang w:val="lt-LT"/>
        </w:rPr>
        <w:t xml:space="preserve"> </w:t>
      </w:r>
      <w:r w:rsidR="001D3D01" w:rsidRPr="007318AA">
        <w:rPr>
          <w:lang w:val="lt-LT"/>
        </w:rPr>
        <w:t>numatyti</w:t>
      </w:r>
      <w:r w:rsidR="001D3D01">
        <w:rPr>
          <w:lang w:val="lt-LT"/>
        </w:rPr>
        <w:t xml:space="preserve"> lėšas, kurių prireiktų fiskalinėms priemonėms, kurios automatiškai galioja esant ekstremalios padėties ir (ar</w:t>
      </w:r>
      <w:r w:rsidR="007368FB">
        <w:rPr>
          <w:lang w:val="lt-LT"/>
        </w:rPr>
        <w:t>ba</w:t>
      </w:r>
      <w:r w:rsidR="001D3D01">
        <w:rPr>
          <w:lang w:val="lt-LT"/>
        </w:rPr>
        <w:t>) karantino r</w:t>
      </w:r>
      <w:r w:rsidR="007368FB">
        <w:rPr>
          <w:lang w:val="lt-LT"/>
        </w:rPr>
        <w:t>e</w:t>
      </w:r>
      <w:r w:rsidR="001D3D01">
        <w:rPr>
          <w:lang w:val="lt-LT"/>
        </w:rPr>
        <w:t xml:space="preserve">žimams, nes </w:t>
      </w:r>
      <w:r w:rsidR="007318AA">
        <w:rPr>
          <w:lang w:val="lt-LT"/>
        </w:rPr>
        <w:t xml:space="preserve">tikėtina, kad jos bus patirtos. </w:t>
      </w:r>
      <w:r w:rsidR="008241F9">
        <w:rPr>
          <w:lang w:val="lt-LT"/>
        </w:rPr>
        <w:t>Manome</w:t>
      </w:r>
      <w:r w:rsidR="007318AA">
        <w:rPr>
          <w:lang w:val="lt-LT"/>
        </w:rPr>
        <w:t>,</w:t>
      </w:r>
      <w:r w:rsidR="00033154">
        <w:rPr>
          <w:lang w:val="lt-LT"/>
        </w:rPr>
        <w:t xml:space="preserve"> kad</w:t>
      </w:r>
      <w:r w:rsidR="007318AA">
        <w:rPr>
          <w:lang w:val="lt-LT"/>
        </w:rPr>
        <w:t xml:space="preserve"> reik</w:t>
      </w:r>
      <w:r w:rsidR="00D46F94">
        <w:rPr>
          <w:lang w:val="lt-LT"/>
        </w:rPr>
        <w:t>ė</w:t>
      </w:r>
      <w:r w:rsidR="007318AA">
        <w:rPr>
          <w:lang w:val="lt-LT"/>
        </w:rPr>
        <w:t xml:space="preserve">tų vengti </w:t>
      </w:r>
      <w:r w:rsidR="008241F9">
        <w:rPr>
          <w:lang w:val="lt-LT"/>
        </w:rPr>
        <w:t>praktikos</w:t>
      </w:r>
      <w:r w:rsidR="007318AA">
        <w:rPr>
          <w:lang w:val="lt-LT"/>
        </w:rPr>
        <w:t>, k</w:t>
      </w:r>
      <w:r w:rsidR="007368FB">
        <w:rPr>
          <w:lang w:val="lt-LT"/>
        </w:rPr>
        <w:t>ai</w:t>
      </w:r>
      <w:r w:rsidR="007318AA">
        <w:rPr>
          <w:lang w:val="lt-LT"/>
        </w:rPr>
        <w:t xml:space="preserve"> </w:t>
      </w:r>
      <w:r w:rsidR="008241F9">
        <w:rPr>
          <w:lang w:val="lt-LT"/>
        </w:rPr>
        <w:t>reikšminga</w:t>
      </w:r>
      <w:r w:rsidR="007318AA">
        <w:rPr>
          <w:lang w:val="lt-LT"/>
        </w:rPr>
        <w:t xml:space="preserve"> </w:t>
      </w:r>
      <w:r w:rsidR="008241F9">
        <w:rPr>
          <w:lang w:val="lt-LT"/>
        </w:rPr>
        <w:t>dalis išlaidų yra neįtraukia</w:t>
      </w:r>
      <w:r w:rsidR="007368FB">
        <w:rPr>
          <w:lang w:val="lt-LT"/>
        </w:rPr>
        <w:t>mos</w:t>
      </w:r>
      <w:r w:rsidR="008241F9">
        <w:rPr>
          <w:lang w:val="lt-LT"/>
        </w:rPr>
        <w:t xml:space="preserve"> </w:t>
      </w:r>
      <w:r w:rsidR="008241F9">
        <w:rPr>
          <w:lang w:val="lt-LT"/>
        </w:rPr>
        <w:lastRenderedPageBreak/>
        <w:t>į biudžetą, kaip buvo daroma 2020 m.</w:t>
      </w:r>
      <w:r w:rsidR="007318AA">
        <w:rPr>
          <w:lang w:val="lt-LT"/>
        </w:rPr>
        <w:t xml:space="preserve"> </w:t>
      </w:r>
      <w:bookmarkStart w:id="4" w:name="_Hlk55484183"/>
      <w:r w:rsidR="00CF2D0D">
        <w:rPr>
          <w:lang w:val="lt-LT"/>
        </w:rPr>
        <w:t>Lietuvos banko vertinimu</w:t>
      </w:r>
      <w:r w:rsidR="00043E07">
        <w:rPr>
          <w:lang w:val="lt-LT"/>
        </w:rPr>
        <w:t>,</w:t>
      </w:r>
      <w:r w:rsidR="00CF2D0D">
        <w:rPr>
          <w:lang w:val="lt-LT"/>
        </w:rPr>
        <w:t xml:space="preserve"> svarbu įtvirtinti</w:t>
      </w:r>
      <w:r w:rsidR="005C779A" w:rsidRPr="005C779A">
        <w:rPr>
          <w:lang w:val="lt-LT"/>
        </w:rPr>
        <w:t xml:space="preserve"> apgalvotą </w:t>
      </w:r>
      <w:r w:rsidR="00CF2D0D">
        <w:rPr>
          <w:lang w:val="lt-LT"/>
        </w:rPr>
        <w:t xml:space="preserve">karantino metu </w:t>
      </w:r>
      <w:r w:rsidR="005C779A" w:rsidRPr="005C779A">
        <w:rPr>
          <w:lang w:val="lt-LT"/>
        </w:rPr>
        <w:t>taik</w:t>
      </w:r>
      <w:r w:rsidR="00CF2D0D">
        <w:rPr>
          <w:lang w:val="lt-LT"/>
        </w:rPr>
        <w:t>omų</w:t>
      </w:r>
      <w:r w:rsidR="005C779A" w:rsidRPr="005C779A">
        <w:rPr>
          <w:lang w:val="lt-LT"/>
        </w:rPr>
        <w:t xml:space="preserve"> paramos ir skatinimo priemonių sistemą, kuri leistų gyventojams ir verslui pasinaudoti parama, kai jos labiausiai reikia, ir ji turėtų įsijungti „automatiškai“. </w:t>
      </w:r>
      <w:bookmarkStart w:id="5" w:name="_GoBack"/>
      <w:bookmarkEnd w:id="5"/>
      <w:r w:rsidR="00755AC5" w:rsidRPr="00755AC5">
        <w:rPr>
          <w:lang w:val="lt-LT"/>
        </w:rPr>
        <w:t xml:space="preserve">Pagalbos teikimas vienkartinėmis </w:t>
      </w:r>
      <w:proofErr w:type="spellStart"/>
      <w:r w:rsidR="00755AC5" w:rsidRPr="00755AC5">
        <w:rPr>
          <w:i/>
          <w:iCs/>
          <w:lang w:val="lt-LT"/>
        </w:rPr>
        <w:t>ad</w:t>
      </w:r>
      <w:proofErr w:type="spellEnd"/>
      <w:r w:rsidR="00755AC5" w:rsidRPr="00755AC5">
        <w:rPr>
          <w:i/>
          <w:iCs/>
          <w:lang w:val="lt-LT"/>
        </w:rPr>
        <w:t xml:space="preserve"> </w:t>
      </w:r>
      <w:proofErr w:type="spellStart"/>
      <w:r w:rsidR="00755AC5" w:rsidRPr="00755AC5">
        <w:rPr>
          <w:i/>
          <w:iCs/>
          <w:lang w:val="lt-LT"/>
        </w:rPr>
        <w:t>hoc</w:t>
      </w:r>
      <w:proofErr w:type="spellEnd"/>
      <w:r w:rsidR="00755AC5" w:rsidRPr="00755AC5">
        <w:rPr>
          <w:lang w:val="lt-LT"/>
        </w:rPr>
        <w:t xml:space="preserve"> fiskalinėmis priemonėmis apsunkina įmonių galimybes planuoti veiklą ilgesnėje perspektyvoje, todėl stabdo ekonomikos transformaciją, lėtina investicijų augimą, o ateityje tai gali lemti, kad mokesčių bus surinkta mažiau.</w:t>
      </w:r>
    </w:p>
    <w:bookmarkEnd w:id="4"/>
    <w:p w14:paraId="7A1D8DF3" w14:textId="77777777" w:rsidR="005C779A" w:rsidRDefault="005C779A" w:rsidP="00755AC5">
      <w:pPr>
        <w:jc w:val="both"/>
        <w:rPr>
          <w:lang w:val="lt-LT"/>
        </w:rPr>
      </w:pPr>
    </w:p>
    <w:p w14:paraId="5ADB9218" w14:textId="77777777" w:rsidR="00904D9B" w:rsidRPr="00904D9B" w:rsidRDefault="00904D9B" w:rsidP="00904D9B">
      <w:pPr>
        <w:pStyle w:val="Caption"/>
        <w:keepNext/>
        <w:rPr>
          <w:color w:val="auto"/>
        </w:rPr>
      </w:pPr>
      <w:proofErr w:type="spellStart"/>
      <w:r w:rsidRPr="00904D9B">
        <w:rPr>
          <w:color w:val="auto"/>
        </w:rPr>
        <w:t>Lentelė</w:t>
      </w:r>
      <w:proofErr w:type="spellEnd"/>
      <w:r w:rsidR="00683249">
        <w:rPr>
          <w:color w:val="auto"/>
        </w:rPr>
        <w:t>.</w:t>
      </w:r>
      <w:r w:rsidRPr="00904D9B">
        <w:rPr>
          <w:color w:val="auto"/>
        </w:rPr>
        <w:t xml:space="preserve"> </w:t>
      </w:r>
      <w:proofErr w:type="spellStart"/>
      <w:r w:rsidRPr="00904D9B">
        <w:rPr>
          <w:color w:val="auto"/>
        </w:rPr>
        <w:t>Fiskalinės</w:t>
      </w:r>
      <w:proofErr w:type="spellEnd"/>
      <w:r w:rsidRPr="00904D9B">
        <w:rPr>
          <w:color w:val="auto"/>
        </w:rPr>
        <w:t xml:space="preserve"> </w:t>
      </w:r>
      <w:proofErr w:type="spellStart"/>
      <w:r w:rsidR="00CB331E">
        <w:rPr>
          <w:color w:val="auto"/>
        </w:rPr>
        <w:t>i</w:t>
      </w:r>
      <w:r w:rsidR="00CB331E">
        <w:rPr>
          <w:color w:val="auto"/>
          <w:lang w:val="lt-LT"/>
        </w:rPr>
        <w:t>šlaidų</w:t>
      </w:r>
      <w:proofErr w:type="spellEnd"/>
      <w:r w:rsidR="00CB331E">
        <w:rPr>
          <w:color w:val="auto"/>
          <w:lang w:val="lt-LT"/>
        </w:rPr>
        <w:t xml:space="preserve"> </w:t>
      </w:r>
      <w:proofErr w:type="spellStart"/>
      <w:r w:rsidRPr="00904D9B">
        <w:rPr>
          <w:color w:val="auto"/>
        </w:rPr>
        <w:t>priemonės</w:t>
      </w:r>
      <w:proofErr w:type="spellEnd"/>
      <w:r w:rsidRPr="00904D9B">
        <w:rPr>
          <w:color w:val="auto"/>
        </w:rPr>
        <w:t xml:space="preserve">, </w:t>
      </w:r>
      <w:proofErr w:type="spellStart"/>
      <w:r w:rsidRPr="00904D9B">
        <w:rPr>
          <w:color w:val="auto"/>
        </w:rPr>
        <w:t>neįsk</w:t>
      </w:r>
      <w:proofErr w:type="spellEnd"/>
      <w:r w:rsidRPr="00904D9B">
        <w:rPr>
          <w:color w:val="auto"/>
        </w:rPr>
        <w:t xml:space="preserve">. </w:t>
      </w:r>
      <w:proofErr w:type="spellStart"/>
      <w:r w:rsidRPr="00904D9B">
        <w:rPr>
          <w:color w:val="auto"/>
        </w:rPr>
        <w:t>investicijų</w:t>
      </w:r>
      <w:proofErr w:type="spellEnd"/>
      <w:r w:rsidRPr="00904D9B">
        <w:rPr>
          <w:color w:val="auto"/>
        </w:rPr>
        <w:t xml:space="preserve"> </w:t>
      </w:r>
      <w:proofErr w:type="spellStart"/>
      <w:r w:rsidRPr="00904D9B">
        <w:rPr>
          <w:color w:val="auto"/>
        </w:rPr>
        <w:t>ir</w:t>
      </w:r>
      <w:proofErr w:type="spellEnd"/>
      <w:r w:rsidRPr="00904D9B">
        <w:rPr>
          <w:color w:val="auto"/>
        </w:rPr>
        <w:t xml:space="preserve"> </w:t>
      </w:r>
      <w:proofErr w:type="spellStart"/>
      <w:r w:rsidRPr="00904D9B">
        <w:rPr>
          <w:color w:val="auto"/>
        </w:rPr>
        <w:t>priemonių</w:t>
      </w:r>
      <w:proofErr w:type="spellEnd"/>
      <w:r w:rsidRPr="00904D9B">
        <w:rPr>
          <w:color w:val="auto"/>
        </w:rPr>
        <w:t xml:space="preserve"> </w:t>
      </w:r>
      <w:proofErr w:type="spellStart"/>
      <w:r w:rsidRPr="00904D9B">
        <w:rPr>
          <w:color w:val="auto"/>
        </w:rPr>
        <w:t>verslo</w:t>
      </w:r>
      <w:proofErr w:type="spellEnd"/>
      <w:r w:rsidRPr="00904D9B">
        <w:rPr>
          <w:color w:val="auto"/>
        </w:rPr>
        <w:t xml:space="preserve"> </w:t>
      </w:r>
      <w:proofErr w:type="spellStart"/>
      <w:r w:rsidRPr="00904D9B">
        <w:rPr>
          <w:color w:val="auto"/>
        </w:rPr>
        <w:t>likvidumui</w:t>
      </w:r>
      <w:proofErr w:type="spellEnd"/>
      <w:r w:rsidRPr="00904D9B">
        <w:rPr>
          <w:color w:val="auto"/>
        </w:rPr>
        <w:t xml:space="preserve"> </w:t>
      </w:r>
      <w:proofErr w:type="spellStart"/>
      <w:r w:rsidRPr="00904D9B">
        <w:rPr>
          <w:color w:val="auto"/>
        </w:rPr>
        <w:t>palaikyti</w:t>
      </w:r>
      <w:proofErr w:type="spellEnd"/>
      <w:r w:rsidRPr="00904D9B">
        <w:rPr>
          <w:color w:val="auto"/>
        </w:rPr>
        <w:t xml:space="preserve">, </w:t>
      </w:r>
      <w:proofErr w:type="spellStart"/>
      <w:r w:rsidRPr="00904D9B">
        <w:rPr>
          <w:color w:val="auto"/>
        </w:rPr>
        <w:t>tiesiogiai</w:t>
      </w:r>
      <w:proofErr w:type="spellEnd"/>
      <w:r w:rsidRPr="00904D9B">
        <w:rPr>
          <w:color w:val="auto"/>
        </w:rPr>
        <w:t xml:space="preserve"> </w:t>
      </w:r>
      <w:proofErr w:type="spellStart"/>
      <w:r w:rsidRPr="00904D9B">
        <w:rPr>
          <w:color w:val="auto"/>
        </w:rPr>
        <w:t>neveikiančių</w:t>
      </w:r>
      <w:proofErr w:type="spellEnd"/>
      <w:r w:rsidRPr="00904D9B">
        <w:rPr>
          <w:color w:val="auto"/>
        </w:rPr>
        <w:t xml:space="preserve"> </w:t>
      </w:r>
      <w:proofErr w:type="spellStart"/>
      <w:r w:rsidRPr="00904D9B">
        <w:rPr>
          <w:color w:val="auto"/>
        </w:rPr>
        <w:t>balanso</w:t>
      </w:r>
      <w:proofErr w:type="spellEnd"/>
      <w:r w:rsidRPr="00904D9B">
        <w:rPr>
          <w:color w:val="auto"/>
        </w:rPr>
        <w:t xml:space="preserve"> (</w:t>
      </w:r>
      <w:proofErr w:type="spellStart"/>
      <w:r w:rsidRPr="00904D9B">
        <w:rPr>
          <w:color w:val="auto"/>
        </w:rPr>
        <w:t>paskolų</w:t>
      </w:r>
      <w:proofErr w:type="spellEnd"/>
      <w:r w:rsidRPr="00904D9B">
        <w:rPr>
          <w:color w:val="auto"/>
        </w:rPr>
        <w:t xml:space="preserve">, </w:t>
      </w:r>
      <w:proofErr w:type="spellStart"/>
      <w:r w:rsidRPr="00904D9B">
        <w:rPr>
          <w:color w:val="auto"/>
        </w:rPr>
        <w:t>garantijų</w:t>
      </w:r>
      <w:proofErr w:type="spellEnd"/>
      <w:r w:rsidRPr="00904D9B">
        <w:rPr>
          <w:color w:val="auto"/>
        </w:rPr>
        <w:t xml:space="preserve"> </w:t>
      </w:r>
      <w:proofErr w:type="spellStart"/>
      <w:r w:rsidRPr="00904D9B">
        <w:rPr>
          <w:color w:val="auto"/>
        </w:rPr>
        <w:t>ir</w:t>
      </w:r>
      <w:proofErr w:type="spellEnd"/>
      <w:r w:rsidRPr="00904D9B">
        <w:rPr>
          <w:color w:val="auto"/>
        </w:rPr>
        <w:t xml:space="preserve"> kt.)</w:t>
      </w:r>
    </w:p>
    <w:tbl>
      <w:tblPr>
        <w:tblW w:w="9060" w:type="dxa"/>
        <w:tblInd w:w="113" w:type="dxa"/>
        <w:tblLook w:val="04A0" w:firstRow="1" w:lastRow="0" w:firstColumn="1" w:lastColumn="0" w:noHBand="0" w:noVBand="1"/>
      </w:tblPr>
      <w:tblGrid>
        <w:gridCol w:w="5781"/>
        <w:gridCol w:w="1281"/>
        <w:gridCol w:w="675"/>
        <w:gridCol w:w="1067"/>
        <w:gridCol w:w="675"/>
      </w:tblGrid>
      <w:tr w:rsidR="00904D9B" w:rsidRPr="00904D9B" w14:paraId="30990E55" w14:textId="77777777" w:rsidTr="00904D9B">
        <w:trPr>
          <w:trHeight w:val="1400"/>
        </w:trPr>
        <w:tc>
          <w:tcPr>
            <w:tcW w:w="57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80956F" w14:textId="77777777" w:rsidR="00904D9B" w:rsidRPr="00904D9B" w:rsidRDefault="00904D9B" w:rsidP="00904D9B">
            <w:pPr>
              <w:widowControl/>
              <w:autoSpaceDE/>
              <w:autoSpaceDN/>
              <w:adjustRightInd/>
              <w:rPr>
                <w:rFonts w:cs="Calibri"/>
                <w:b/>
                <w:bCs/>
                <w:color w:val="000000"/>
                <w:sz w:val="16"/>
                <w:szCs w:val="16"/>
                <w:lang w:val="lt-LT" w:eastAsia="lt-LT"/>
              </w:rPr>
            </w:pPr>
            <w:r w:rsidRPr="00904D9B">
              <w:rPr>
                <w:rFonts w:cs="Calibri"/>
                <w:b/>
                <w:bCs/>
                <w:color w:val="000000"/>
                <w:sz w:val="16"/>
                <w:szCs w:val="16"/>
                <w:lang w:val="lt-LT" w:eastAsia="lt-LT"/>
              </w:rPr>
              <w:t>Priemonė</w:t>
            </w:r>
          </w:p>
        </w:tc>
        <w:tc>
          <w:tcPr>
            <w:tcW w:w="1075" w:type="dxa"/>
            <w:tcBorders>
              <w:top w:val="single" w:sz="4" w:space="0" w:color="auto"/>
              <w:left w:val="nil"/>
              <w:bottom w:val="single" w:sz="4" w:space="0" w:color="auto"/>
              <w:right w:val="single" w:sz="4" w:space="0" w:color="auto"/>
            </w:tcBorders>
            <w:shd w:val="clear" w:color="000000" w:fill="FFFFFF"/>
            <w:vAlign w:val="center"/>
            <w:hideMark/>
          </w:tcPr>
          <w:p w14:paraId="43F1A0AF" w14:textId="77777777" w:rsidR="00904D9B" w:rsidRPr="00904D9B" w:rsidRDefault="00904D9B" w:rsidP="00904D9B">
            <w:pPr>
              <w:widowControl/>
              <w:autoSpaceDE/>
              <w:autoSpaceDN/>
              <w:adjustRightInd/>
              <w:rPr>
                <w:rFonts w:cs="Calibri"/>
                <w:b/>
                <w:bCs/>
                <w:color w:val="000000"/>
                <w:sz w:val="16"/>
                <w:szCs w:val="16"/>
                <w:lang w:val="lt-LT" w:eastAsia="lt-LT"/>
              </w:rPr>
            </w:pPr>
            <w:r w:rsidRPr="00904D9B">
              <w:rPr>
                <w:rFonts w:cs="Calibri"/>
                <w:b/>
                <w:bCs/>
                <w:color w:val="000000"/>
                <w:sz w:val="16"/>
                <w:szCs w:val="16"/>
                <w:lang w:val="lt-LT" w:eastAsia="lt-LT"/>
              </w:rPr>
              <w:t>Planuojama išleisti 2020 m., mln. eurų</w:t>
            </w:r>
          </w:p>
        </w:tc>
        <w:tc>
          <w:tcPr>
            <w:tcW w:w="584" w:type="dxa"/>
            <w:tcBorders>
              <w:top w:val="single" w:sz="4" w:space="0" w:color="auto"/>
              <w:left w:val="nil"/>
              <w:bottom w:val="single" w:sz="4" w:space="0" w:color="auto"/>
              <w:right w:val="single" w:sz="4" w:space="0" w:color="auto"/>
            </w:tcBorders>
            <w:shd w:val="clear" w:color="000000" w:fill="FFFFFF"/>
            <w:vAlign w:val="center"/>
            <w:hideMark/>
          </w:tcPr>
          <w:p w14:paraId="27AE3FDA" w14:textId="77777777" w:rsidR="00904D9B" w:rsidRPr="00904D9B" w:rsidRDefault="00904D9B" w:rsidP="00904D9B">
            <w:pPr>
              <w:widowControl/>
              <w:autoSpaceDE/>
              <w:autoSpaceDN/>
              <w:adjustRightInd/>
              <w:rPr>
                <w:rFonts w:cs="Calibri"/>
                <w:b/>
                <w:bCs/>
                <w:color w:val="000000"/>
                <w:sz w:val="16"/>
                <w:szCs w:val="16"/>
                <w:lang w:val="lt-LT" w:eastAsia="lt-LT"/>
              </w:rPr>
            </w:pPr>
            <w:r w:rsidRPr="00904D9B">
              <w:rPr>
                <w:rFonts w:cs="Calibri"/>
                <w:b/>
                <w:bCs/>
                <w:color w:val="000000"/>
                <w:sz w:val="16"/>
                <w:szCs w:val="16"/>
                <w:lang w:val="lt-LT" w:eastAsia="lt-LT"/>
              </w:rPr>
              <w:t>Proc. BVP</w:t>
            </w:r>
          </w:p>
        </w:tc>
        <w:tc>
          <w:tcPr>
            <w:tcW w:w="1036" w:type="dxa"/>
            <w:tcBorders>
              <w:top w:val="single" w:sz="4" w:space="0" w:color="auto"/>
              <w:left w:val="nil"/>
              <w:bottom w:val="single" w:sz="4" w:space="0" w:color="auto"/>
              <w:right w:val="single" w:sz="4" w:space="0" w:color="auto"/>
            </w:tcBorders>
            <w:shd w:val="clear" w:color="000000" w:fill="FFFFFF"/>
            <w:vAlign w:val="center"/>
            <w:hideMark/>
          </w:tcPr>
          <w:p w14:paraId="62D465B6" w14:textId="77777777" w:rsidR="00904D9B" w:rsidRPr="00904D9B" w:rsidRDefault="00904D9B" w:rsidP="00904D9B">
            <w:pPr>
              <w:widowControl/>
              <w:autoSpaceDE/>
              <w:autoSpaceDN/>
              <w:adjustRightInd/>
              <w:rPr>
                <w:rFonts w:cs="Calibri"/>
                <w:b/>
                <w:bCs/>
                <w:color w:val="000000"/>
                <w:sz w:val="16"/>
                <w:szCs w:val="16"/>
                <w:lang w:val="lt-LT" w:eastAsia="lt-LT"/>
              </w:rPr>
            </w:pPr>
            <w:r w:rsidRPr="00904D9B">
              <w:rPr>
                <w:rFonts w:cs="Calibri"/>
                <w:b/>
                <w:bCs/>
                <w:color w:val="000000"/>
                <w:sz w:val="16"/>
                <w:szCs w:val="16"/>
                <w:lang w:val="lt-LT" w:eastAsia="lt-LT"/>
              </w:rPr>
              <w:t xml:space="preserve">Prielaida, jei 2021 m. būtų išleista </w:t>
            </w:r>
            <w:r>
              <w:rPr>
                <w:rFonts w:cs="Calibri"/>
                <w:b/>
                <w:bCs/>
                <w:color w:val="000000"/>
                <w:sz w:val="16"/>
                <w:szCs w:val="16"/>
                <w:lang w:val="lt-LT" w:eastAsia="lt-LT"/>
              </w:rPr>
              <w:t>pusė</w:t>
            </w:r>
            <w:r w:rsidRPr="00904D9B">
              <w:rPr>
                <w:rFonts w:cs="Calibri"/>
                <w:b/>
                <w:bCs/>
                <w:color w:val="000000"/>
                <w:sz w:val="16"/>
                <w:szCs w:val="16"/>
                <w:lang w:val="lt-LT" w:eastAsia="lt-LT"/>
              </w:rPr>
              <w:t xml:space="preserve"> 2020 m. sumos, mln. eurų</w:t>
            </w:r>
          </w:p>
        </w:tc>
        <w:tc>
          <w:tcPr>
            <w:tcW w:w="584" w:type="dxa"/>
            <w:tcBorders>
              <w:top w:val="single" w:sz="4" w:space="0" w:color="auto"/>
              <w:left w:val="nil"/>
              <w:bottom w:val="single" w:sz="4" w:space="0" w:color="auto"/>
              <w:right w:val="single" w:sz="4" w:space="0" w:color="auto"/>
            </w:tcBorders>
            <w:shd w:val="clear" w:color="000000" w:fill="FFFFFF"/>
            <w:vAlign w:val="center"/>
            <w:hideMark/>
          </w:tcPr>
          <w:p w14:paraId="094ED6F4" w14:textId="77777777" w:rsidR="00904D9B" w:rsidRPr="00904D9B" w:rsidRDefault="00904D9B" w:rsidP="00904D9B">
            <w:pPr>
              <w:widowControl/>
              <w:autoSpaceDE/>
              <w:autoSpaceDN/>
              <w:adjustRightInd/>
              <w:rPr>
                <w:rFonts w:cs="Calibri"/>
                <w:b/>
                <w:bCs/>
                <w:color w:val="000000"/>
                <w:sz w:val="16"/>
                <w:szCs w:val="16"/>
                <w:lang w:val="lt-LT" w:eastAsia="lt-LT"/>
              </w:rPr>
            </w:pPr>
            <w:r w:rsidRPr="00904D9B">
              <w:rPr>
                <w:rFonts w:cs="Calibri"/>
                <w:b/>
                <w:bCs/>
                <w:color w:val="000000"/>
                <w:sz w:val="16"/>
                <w:szCs w:val="16"/>
                <w:lang w:val="lt-LT" w:eastAsia="lt-LT"/>
              </w:rPr>
              <w:t>Proc. BVP</w:t>
            </w:r>
          </w:p>
        </w:tc>
      </w:tr>
      <w:tr w:rsidR="00904D9B" w:rsidRPr="00904D9B" w14:paraId="55BEC89B" w14:textId="77777777" w:rsidTr="00904D9B">
        <w:trPr>
          <w:trHeight w:val="510"/>
        </w:trPr>
        <w:tc>
          <w:tcPr>
            <w:tcW w:w="9060" w:type="dxa"/>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14:paraId="7AC7957D" w14:textId="77777777" w:rsidR="00904D9B" w:rsidRPr="00904D9B" w:rsidRDefault="00904D9B" w:rsidP="0020653E">
            <w:pPr>
              <w:widowControl/>
              <w:autoSpaceDE/>
              <w:autoSpaceDN/>
              <w:adjustRightInd/>
              <w:rPr>
                <w:rFonts w:cs="Calibri"/>
                <w:b/>
                <w:bCs/>
                <w:color w:val="000000"/>
                <w:sz w:val="16"/>
                <w:szCs w:val="16"/>
                <w:lang w:val="lt-LT" w:eastAsia="lt-LT"/>
              </w:rPr>
            </w:pPr>
            <w:r>
              <w:rPr>
                <w:rFonts w:cs="Calibri"/>
                <w:b/>
                <w:bCs/>
                <w:color w:val="000000"/>
                <w:sz w:val="16"/>
                <w:szCs w:val="16"/>
                <w:lang w:val="lt-LT" w:eastAsia="lt-LT"/>
              </w:rPr>
              <w:t>Išlaidų p</w:t>
            </w:r>
            <w:r w:rsidRPr="00904D9B">
              <w:rPr>
                <w:rFonts w:cs="Calibri"/>
                <w:b/>
                <w:bCs/>
                <w:color w:val="000000"/>
                <w:sz w:val="16"/>
                <w:szCs w:val="16"/>
                <w:lang w:val="lt-LT" w:eastAsia="lt-LT"/>
              </w:rPr>
              <w:t>riemonės, kurios galioja ekstremalios padėties ir (ar</w:t>
            </w:r>
            <w:r w:rsidR="00A40E59">
              <w:rPr>
                <w:rFonts w:cs="Calibri"/>
                <w:b/>
                <w:bCs/>
                <w:color w:val="000000"/>
                <w:sz w:val="16"/>
                <w:szCs w:val="16"/>
                <w:lang w:val="lt-LT" w:eastAsia="lt-LT"/>
              </w:rPr>
              <w:t>ba</w:t>
            </w:r>
            <w:r w:rsidRPr="00904D9B">
              <w:rPr>
                <w:rFonts w:cs="Calibri"/>
                <w:b/>
                <w:bCs/>
                <w:color w:val="000000"/>
                <w:sz w:val="16"/>
                <w:szCs w:val="16"/>
                <w:lang w:val="lt-LT" w:eastAsia="lt-LT"/>
              </w:rPr>
              <w:t>) karantino metu, t.</w:t>
            </w:r>
            <w:r w:rsidR="00A40E59">
              <w:rPr>
                <w:rFonts w:cs="Calibri"/>
                <w:b/>
                <w:bCs/>
                <w:color w:val="000000"/>
                <w:sz w:val="16"/>
                <w:szCs w:val="16"/>
                <w:lang w:val="lt-LT" w:eastAsia="lt-LT"/>
              </w:rPr>
              <w:t xml:space="preserve"> </w:t>
            </w:r>
            <w:r w:rsidRPr="00904D9B">
              <w:rPr>
                <w:rFonts w:cs="Calibri"/>
                <w:b/>
                <w:bCs/>
                <w:color w:val="000000"/>
                <w:sz w:val="16"/>
                <w:szCs w:val="16"/>
                <w:lang w:val="lt-LT" w:eastAsia="lt-LT"/>
              </w:rPr>
              <w:t>y. šiems r</w:t>
            </w:r>
            <w:r w:rsidR="0020653E">
              <w:rPr>
                <w:rFonts w:cs="Calibri"/>
                <w:b/>
                <w:bCs/>
                <w:color w:val="000000"/>
                <w:sz w:val="16"/>
                <w:szCs w:val="16"/>
                <w:lang w:val="lt-LT" w:eastAsia="lt-LT"/>
              </w:rPr>
              <w:t>e</w:t>
            </w:r>
            <w:r w:rsidRPr="00904D9B">
              <w:rPr>
                <w:rFonts w:cs="Calibri"/>
                <w:b/>
                <w:bCs/>
                <w:color w:val="000000"/>
                <w:sz w:val="16"/>
                <w:szCs w:val="16"/>
                <w:lang w:val="lt-LT" w:eastAsia="lt-LT"/>
              </w:rPr>
              <w:t>žimams galiojant lėšų joms reikėtų automatiškai</w:t>
            </w:r>
            <w:r w:rsidR="0020653E">
              <w:rPr>
                <w:rFonts w:cs="Calibri"/>
                <w:b/>
                <w:bCs/>
                <w:color w:val="000000"/>
                <w:sz w:val="16"/>
                <w:szCs w:val="16"/>
                <w:lang w:val="lt-LT" w:eastAsia="lt-LT"/>
              </w:rPr>
              <w:t>,</w:t>
            </w:r>
            <w:r>
              <w:rPr>
                <w:rFonts w:cs="Calibri"/>
                <w:b/>
                <w:bCs/>
                <w:color w:val="000000"/>
                <w:sz w:val="16"/>
                <w:szCs w:val="16"/>
                <w:lang w:val="lt-LT" w:eastAsia="lt-LT"/>
              </w:rPr>
              <w:t xml:space="preserve"> i</w:t>
            </w:r>
            <w:r w:rsidR="0020653E">
              <w:rPr>
                <w:rFonts w:cs="Calibri"/>
                <w:b/>
                <w:bCs/>
                <w:color w:val="000000"/>
                <w:sz w:val="16"/>
                <w:szCs w:val="16"/>
                <w:lang w:val="lt-LT" w:eastAsia="lt-LT"/>
              </w:rPr>
              <w:t>r</w:t>
            </w:r>
            <w:r>
              <w:rPr>
                <w:rFonts w:cs="Calibri"/>
                <w:b/>
                <w:bCs/>
                <w:color w:val="000000"/>
                <w:sz w:val="16"/>
                <w:szCs w:val="16"/>
                <w:lang w:val="lt-LT" w:eastAsia="lt-LT"/>
              </w:rPr>
              <w:t xml:space="preserve"> papildomos išlaidos sveikatos apsaugai</w:t>
            </w:r>
          </w:p>
        </w:tc>
      </w:tr>
      <w:tr w:rsidR="00904D9B" w:rsidRPr="00904D9B" w14:paraId="79A2BA56" w14:textId="77777777" w:rsidTr="00904D9B">
        <w:trPr>
          <w:trHeight w:val="600"/>
        </w:trPr>
        <w:tc>
          <w:tcPr>
            <w:tcW w:w="5781" w:type="dxa"/>
            <w:tcBorders>
              <w:top w:val="nil"/>
              <w:left w:val="single" w:sz="4" w:space="0" w:color="auto"/>
              <w:bottom w:val="single" w:sz="4" w:space="0" w:color="auto"/>
              <w:right w:val="single" w:sz="4" w:space="0" w:color="auto"/>
            </w:tcBorders>
            <w:shd w:val="clear" w:color="000000" w:fill="FFFFFF"/>
            <w:vAlign w:val="center"/>
            <w:hideMark/>
          </w:tcPr>
          <w:p w14:paraId="1322C73D" w14:textId="77777777" w:rsidR="00904D9B" w:rsidRPr="00904D9B" w:rsidRDefault="00904D9B" w:rsidP="00904D9B">
            <w:pPr>
              <w:widowControl/>
              <w:autoSpaceDE/>
              <w:autoSpaceDN/>
              <w:adjustRightInd/>
              <w:rPr>
                <w:rFonts w:cs="Calibri"/>
                <w:color w:val="000000"/>
                <w:sz w:val="16"/>
                <w:szCs w:val="16"/>
                <w:lang w:val="lt-LT" w:eastAsia="lt-LT"/>
              </w:rPr>
            </w:pPr>
            <w:r w:rsidRPr="00904D9B">
              <w:rPr>
                <w:rFonts w:cs="Calibri"/>
                <w:color w:val="000000"/>
                <w:sz w:val="16"/>
                <w:szCs w:val="16"/>
                <w:lang w:val="lt-LT" w:eastAsia="lt-LT"/>
              </w:rPr>
              <w:t>Ligos išmokos prižiūrintiesiems vaikus, senyvo amžiaus žmones ir neįgaliuosius nustačius infekcijų plitimą ribojantį režimą, taip pat sunkiomis lėtinėmis ligomis sergantiems asmenims*</w:t>
            </w:r>
          </w:p>
        </w:tc>
        <w:tc>
          <w:tcPr>
            <w:tcW w:w="1075" w:type="dxa"/>
            <w:tcBorders>
              <w:top w:val="nil"/>
              <w:left w:val="nil"/>
              <w:bottom w:val="single" w:sz="4" w:space="0" w:color="auto"/>
              <w:right w:val="single" w:sz="4" w:space="0" w:color="auto"/>
            </w:tcBorders>
            <w:shd w:val="clear" w:color="000000" w:fill="FFFFFF"/>
            <w:noWrap/>
            <w:vAlign w:val="center"/>
            <w:hideMark/>
          </w:tcPr>
          <w:p w14:paraId="38423C56" w14:textId="77777777" w:rsidR="00904D9B" w:rsidRPr="00904D9B" w:rsidRDefault="00904D9B" w:rsidP="00904D9B">
            <w:pPr>
              <w:widowControl/>
              <w:autoSpaceDE/>
              <w:autoSpaceDN/>
              <w:adjustRightInd/>
              <w:rPr>
                <w:rFonts w:cs="Calibri"/>
                <w:color w:val="000000"/>
                <w:sz w:val="16"/>
                <w:szCs w:val="16"/>
                <w:lang w:val="lt-LT" w:eastAsia="lt-LT"/>
              </w:rPr>
            </w:pPr>
            <w:r w:rsidRPr="00904D9B">
              <w:rPr>
                <w:rFonts w:cs="Calibri"/>
                <w:color w:val="000000"/>
                <w:sz w:val="16"/>
                <w:szCs w:val="16"/>
                <w:lang w:val="lt-LT" w:eastAsia="lt-LT"/>
              </w:rPr>
              <w:t>153</w:t>
            </w:r>
          </w:p>
        </w:tc>
        <w:tc>
          <w:tcPr>
            <w:tcW w:w="584" w:type="dxa"/>
            <w:tcBorders>
              <w:top w:val="nil"/>
              <w:left w:val="nil"/>
              <w:bottom w:val="single" w:sz="4" w:space="0" w:color="auto"/>
              <w:right w:val="single" w:sz="4" w:space="0" w:color="auto"/>
            </w:tcBorders>
            <w:shd w:val="clear" w:color="000000" w:fill="FFFFFF"/>
            <w:noWrap/>
            <w:vAlign w:val="center"/>
            <w:hideMark/>
          </w:tcPr>
          <w:p w14:paraId="60118C87" w14:textId="77777777" w:rsidR="00904D9B" w:rsidRPr="00904D9B" w:rsidRDefault="00904D9B" w:rsidP="00904D9B">
            <w:pPr>
              <w:widowControl/>
              <w:autoSpaceDE/>
              <w:autoSpaceDN/>
              <w:adjustRightInd/>
              <w:rPr>
                <w:rFonts w:cs="Calibri"/>
                <w:color w:val="000000"/>
                <w:sz w:val="16"/>
                <w:szCs w:val="16"/>
                <w:lang w:val="lt-LT" w:eastAsia="lt-LT"/>
              </w:rPr>
            </w:pPr>
            <w:r w:rsidRPr="00904D9B">
              <w:rPr>
                <w:rFonts w:cs="Calibri"/>
                <w:color w:val="000000"/>
                <w:sz w:val="16"/>
                <w:szCs w:val="16"/>
                <w:lang w:val="lt-LT" w:eastAsia="lt-LT"/>
              </w:rPr>
              <w:t>0,3</w:t>
            </w:r>
          </w:p>
        </w:tc>
        <w:tc>
          <w:tcPr>
            <w:tcW w:w="1036" w:type="dxa"/>
            <w:tcBorders>
              <w:top w:val="nil"/>
              <w:left w:val="nil"/>
              <w:bottom w:val="single" w:sz="4" w:space="0" w:color="auto"/>
              <w:right w:val="single" w:sz="4" w:space="0" w:color="auto"/>
            </w:tcBorders>
            <w:shd w:val="clear" w:color="000000" w:fill="FFFFFF"/>
            <w:noWrap/>
            <w:vAlign w:val="center"/>
            <w:hideMark/>
          </w:tcPr>
          <w:p w14:paraId="1C48F65B" w14:textId="77777777" w:rsidR="00904D9B" w:rsidRPr="00904D9B" w:rsidRDefault="00904D9B" w:rsidP="00904D9B">
            <w:pPr>
              <w:widowControl/>
              <w:autoSpaceDE/>
              <w:autoSpaceDN/>
              <w:adjustRightInd/>
              <w:rPr>
                <w:rFonts w:cs="Calibri"/>
                <w:color w:val="000000"/>
                <w:sz w:val="16"/>
                <w:szCs w:val="16"/>
                <w:lang w:val="lt-LT" w:eastAsia="lt-LT"/>
              </w:rPr>
            </w:pPr>
            <w:r w:rsidRPr="00904D9B">
              <w:rPr>
                <w:rFonts w:cs="Calibri"/>
                <w:color w:val="000000"/>
                <w:sz w:val="16"/>
                <w:szCs w:val="16"/>
                <w:lang w:val="lt-LT" w:eastAsia="lt-LT"/>
              </w:rPr>
              <w:t>77</w:t>
            </w:r>
          </w:p>
        </w:tc>
        <w:tc>
          <w:tcPr>
            <w:tcW w:w="584" w:type="dxa"/>
            <w:tcBorders>
              <w:top w:val="nil"/>
              <w:left w:val="nil"/>
              <w:bottom w:val="single" w:sz="4" w:space="0" w:color="auto"/>
              <w:right w:val="single" w:sz="4" w:space="0" w:color="auto"/>
            </w:tcBorders>
            <w:shd w:val="clear" w:color="000000" w:fill="FFFFFF"/>
            <w:noWrap/>
            <w:vAlign w:val="center"/>
            <w:hideMark/>
          </w:tcPr>
          <w:p w14:paraId="361FB655" w14:textId="77777777" w:rsidR="00904D9B" w:rsidRPr="00904D9B" w:rsidRDefault="00904D9B" w:rsidP="00904D9B">
            <w:pPr>
              <w:widowControl/>
              <w:autoSpaceDE/>
              <w:autoSpaceDN/>
              <w:adjustRightInd/>
              <w:rPr>
                <w:rFonts w:cs="Calibri"/>
                <w:color w:val="000000"/>
                <w:sz w:val="16"/>
                <w:szCs w:val="16"/>
                <w:lang w:val="lt-LT" w:eastAsia="lt-LT"/>
              </w:rPr>
            </w:pPr>
            <w:r w:rsidRPr="00904D9B">
              <w:rPr>
                <w:rFonts w:cs="Calibri"/>
                <w:color w:val="000000"/>
                <w:sz w:val="16"/>
                <w:szCs w:val="16"/>
                <w:lang w:val="lt-LT" w:eastAsia="lt-LT"/>
              </w:rPr>
              <w:t>0,2</w:t>
            </w:r>
          </w:p>
        </w:tc>
      </w:tr>
      <w:tr w:rsidR="00904D9B" w:rsidRPr="00904D9B" w14:paraId="5C25A172" w14:textId="77777777" w:rsidTr="00904D9B">
        <w:trPr>
          <w:trHeight w:val="290"/>
        </w:trPr>
        <w:tc>
          <w:tcPr>
            <w:tcW w:w="5781" w:type="dxa"/>
            <w:tcBorders>
              <w:top w:val="nil"/>
              <w:left w:val="single" w:sz="4" w:space="0" w:color="auto"/>
              <w:bottom w:val="single" w:sz="4" w:space="0" w:color="auto"/>
              <w:right w:val="single" w:sz="4" w:space="0" w:color="auto"/>
            </w:tcBorders>
            <w:shd w:val="clear" w:color="000000" w:fill="FFFFFF"/>
            <w:vAlign w:val="center"/>
            <w:hideMark/>
          </w:tcPr>
          <w:p w14:paraId="72D35ED0" w14:textId="77777777" w:rsidR="00904D9B" w:rsidRPr="00904D9B" w:rsidRDefault="00904D9B" w:rsidP="00904D9B">
            <w:pPr>
              <w:widowControl/>
              <w:autoSpaceDE/>
              <w:autoSpaceDN/>
              <w:adjustRightInd/>
              <w:rPr>
                <w:rFonts w:cs="Calibri"/>
                <w:color w:val="000000"/>
                <w:sz w:val="16"/>
                <w:szCs w:val="16"/>
                <w:lang w:val="lt-LT" w:eastAsia="lt-LT"/>
              </w:rPr>
            </w:pPr>
            <w:r w:rsidRPr="00904D9B">
              <w:rPr>
                <w:rFonts w:cs="Calibri"/>
                <w:color w:val="000000"/>
                <w:sz w:val="16"/>
                <w:szCs w:val="16"/>
                <w:lang w:val="lt-LT" w:eastAsia="lt-LT"/>
              </w:rPr>
              <w:t>Subsidijos už prastovose esančius darbuotojus</w:t>
            </w:r>
          </w:p>
        </w:tc>
        <w:tc>
          <w:tcPr>
            <w:tcW w:w="1075" w:type="dxa"/>
            <w:tcBorders>
              <w:top w:val="nil"/>
              <w:left w:val="nil"/>
              <w:bottom w:val="single" w:sz="4" w:space="0" w:color="auto"/>
              <w:right w:val="single" w:sz="4" w:space="0" w:color="auto"/>
            </w:tcBorders>
            <w:shd w:val="clear" w:color="000000" w:fill="FFFFFF"/>
            <w:noWrap/>
            <w:vAlign w:val="center"/>
            <w:hideMark/>
          </w:tcPr>
          <w:p w14:paraId="31E94F38" w14:textId="77777777" w:rsidR="00904D9B" w:rsidRPr="00904D9B" w:rsidRDefault="00904D9B" w:rsidP="00904D9B">
            <w:pPr>
              <w:widowControl/>
              <w:autoSpaceDE/>
              <w:autoSpaceDN/>
              <w:adjustRightInd/>
              <w:rPr>
                <w:rFonts w:cs="Calibri"/>
                <w:color w:val="000000"/>
                <w:sz w:val="16"/>
                <w:szCs w:val="16"/>
                <w:lang w:val="lt-LT" w:eastAsia="lt-LT"/>
              </w:rPr>
            </w:pPr>
            <w:r w:rsidRPr="00904D9B">
              <w:rPr>
                <w:rFonts w:cs="Calibri"/>
                <w:color w:val="000000"/>
                <w:sz w:val="16"/>
                <w:szCs w:val="16"/>
                <w:lang w:val="lt-LT" w:eastAsia="lt-LT"/>
              </w:rPr>
              <w:t>238</w:t>
            </w:r>
          </w:p>
        </w:tc>
        <w:tc>
          <w:tcPr>
            <w:tcW w:w="584" w:type="dxa"/>
            <w:tcBorders>
              <w:top w:val="nil"/>
              <w:left w:val="nil"/>
              <w:bottom w:val="single" w:sz="4" w:space="0" w:color="auto"/>
              <w:right w:val="single" w:sz="4" w:space="0" w:color="auto"/>
            </w:tcBorders>
            <w:shd w:val="clear" w:color="000000" w:fill="FFFFFF"/>
            <w:noWrap/>
            <w:vAlign w:val="center"/>
            <w:hideMark/>
          </w:tcPr>
          <w:p w14:paraId="5E90E258" w14:textId="77777777" w:rsidR="00904D9B" w:rsidRPr="00904D9B" w:rsidRDefault="00904D9B" w:rsidP="00904D9B">
            <w:pPr>
              <w:widowControl/>
              <w:autoSpaceDE/>
              <w:autoSpaceDN/>
              <w:adjustRightInd/>
              <w:rPr>
                <w:rFonts w:cs="Calibri"/>
                <w:color w:val="000000"/>
                <w:sz w:val="16"/>
                <w:szCs w:val="16"/>
                <w:lang w:val="lt-LT" w:eastAsia="lt-LT"/>
              </w:rPr>
            </w:pPr>
            <w:r w:rsidRPr="00904D9B">
              <w:rPr>
                <w:rFonts w:cs="Calibri"/>
                <w:color w:val="000000"/>
                <w:sz w:val="16"/>
                <w:szCs w:val="16"/>
                <w:lang w:val="lt-LT" w:eastAsia="lt-LT"/>
              </w:rPr>
              <w:t>0,5</w:t>
            </w:r>
          </w:p>
        </w:tc>
        <w:tc>
          <w:tcPr>
            <w:tcW w:w="1036" w:type="dxa"/>
            <w:tcBorders>
              <w:top w:val="nil"/>
              <w:left w:val="nil"/>
              <w:bottom w:val="single" w:sz="4" w:space="0" w:color="auto"/>
              <w:right w:val="single" w:sz="4" w:space="0" w:color="auto"/>
            </w:tcBorders>
            <w:shd w:val="clear" w:color="000000" w:fill="FFFFFF"/>
            <w:noWrap/>
            <w:vAlign w:val="center"/>
            <w:hideMark/>
          </w:tcPr>
          <w:p w14:paraId="77484359" w14:textId="77777777" w:rsidR="00904D9B" w:rsidRPr="00904D9B" w:rsidRDefault="00904D9B" w:rsidP="00904D9B">
            <w:pPr>
              <w:widowControl/>
              <w:autoSpaceDE/>
              <w:autoSpaceDN/>
              <w:adjustRightInd/>
              <w:rPr>
                <w:rFonts w:cs="Calibri"/>
                <w:color w:val="000000"/>
                <w:sz w:val="16"/>
                <w:szCs w:val="16"/>
                <w:lang w:val="lt-LT" w:eastAsia="lt-LT"/>
              </w:rPr>
            </w:pPr>
            <w:r w:rsidRPr="00904D9B">
              <w:rPr>
                <w:rFonts w:cs="Calibri"/>
                <w:color w:val="000000"/>
                <w:sz w:val="16"/>
                <w:szCs w:val="16"/>
                <w:lang w:val="lt-LT" w:eastAsia="lt-LT"/>
              </w:rPr>
              <w:t>119</w:t>
            </w:r>
          </w:p>
        </w:tc>
        <w:tc>
          <w:tcPr>
            <w:tcW w:w="584" w:type="dxa"/>
            <w:tcBorders>
              <w:top w:val="nil"/>
              <w:left w:val="nil"/>
              <w:bottom w:val="single" w:sz="4" w:space="0" w:color="auto"/>
              <w:right w:val="single" w:sz="4" w:space="0" w:color="auto"/>
            </w:tcBorders>
            <w:shd w:val="clear" w:color="000000" w:fill="FFFFFF"/>
            <w:noWrap/>
            <w:vAlign w:val="center"/>
            <w:hideMark/>
          </w:tcPr>
          <w:p w14:paraId="2A4CB76D" w14:textId="77777777" w:rsidR="00904D9B" w:rsidRPr="00904D9B" w:rsidRDefault="00904D9B" w:rsidP="00904D9B">
            <w:pPr>
              <w:widowControl/>
              <w:autoSpaceDE/>
              <w:autoSpaceDN/>
              <w:adjustRightInd/>
              <w:rPr>
                <w:rFonts w:cs="Calibri"/>
                <w:color w:val="000000"/>
                <w:sz w:val="16"/>
                <w:szCs w:val="16"/>
                <w:lang w:val="lt-LT" w:eastAsia="lt-LT"/>
              </w:rPr>
            </w:pPr>
            <w:r w:rsidRPr="00904D9B">
              <w:rPr>
                <w:rFonts w:cs="Calibri"/>
                <w:color w:val="000000"/>
                <w:sz w:val="16"/>
                <w:szCs w:val="16"/>
                <w:lang w:val="lt-LT" w:eastAsia="lt-LT"/>
              </w:rPr>
              <w:t>0,2</w:t>
            </w:r>
          </w:p>
        </w:tc>
      </w:tr>
      <w:tr w:rsidR="00904D9B" w:rsidRPr="00904D9B" w14:paraId="60719ACC" w14:textId="77777777" w:rsidTr="00904D9B">
        <w:trPr>
          <w:trHeight w:val="800"/>
        </w:trPr>
        <w:tc>
          <w:tcPr>
            <w:tcW w:w="5781" w:type="dxa"/>
            <w:tcBorders>
              <w:top w:val="nil"/>
              <w:left w:val="single" w:sz="4" w:space="0" w:color="auto"/>
              <w:bottom w:val="single" w:sz="4" w:space="0" w:color="auto"/>
              <w:right w:val="single" w:sz="4" w:space="0" w:color="auto"/>
            </w:tcBorders>
            <w:shd w:val="clear" w:color="000000" w:fill="FFFFFF"/>
            <w:vAlign w:val="center"/>
            <w:hideMark/>
          </w:tcPr>
          <w:p w14:paraId="2AAF6BE1" w14:textId="77777777" w:rsidR="00904D9B" w:rsidRPr="00904D9B" w:rsidRDefault="00904D9B" w:rsidP="00904D9B">
            <w:pPr>
              <w:widowControl/>
              <w:autoSpaceDE/>
              <w:autoSpaceDN/>
              <w:adjustRightInd/>
              <w:rPr>
                <w:rFonts w:cs="Calibri"/>
                <w:color w:val="000000"/>
                <w:sz w:val="16"/>
                <w:szCs w:val="16"/>
                <w:lang w:val="lt-LT" w:eastAsia="lt-LT"/>
              </w:rPr>
            </w:pPr>
            <w:r w:rsidRPr="00904D9B">
              <w:rPr>
                <w:rFonts w:cs="Calibri"/>
                <w:color w:val="000000"/>
                <w:sz w:val="16"/>
                <w:szCs w:val="16"/>
                <w:lang w:val="lt-LT" w:eastAsia="lt-LT"/>
              </w:rPr>
              <w:t>Asmens apsaugos priemonių, reagentų, medicininės ir kitos įrangos įsigijimas, ekstremaliosios situacijos valdyme dalyvaujančių valstybės institucijų papildomos išlaidos, įskaitant darbuotojų atlyginimų priedus</w:t>
            </w:r>
          </w:p>
        </w:tc>
        <w:tc>
          <w:tcPr>
            <w:tcW w:w="1075" w:type="dxa"/>
            <w:tcBorders>
              <w:top w:val="nil"/>
              <w:left w:val="nil"/>
              <w:bottom w:val="single" w:sz="4" w:space="0" w:color="auto"/>
              <w:right w:val="single" w:sz="4" w:space="0" w:color="auto"/>
            </w:tcBorders>
            <w:shd w:val="clear" w:color="000000" w:fill="FFFFFF"/>
            <w:noWrap/>
            <w:vAlign w:val="center"/>
            <w:hideMark/>
          </w:tcPr>
          <w:p w14:paraId="26CA6BEF" w14:textId="77777777" w:rsidR="00904D9B" w:rsidRPr="00904D9B" w:rsidRDefault="00904D9B" w:rsidP="00904D9B">
            <w:pPr>
              <w:widowControl/>
              <w:autoSpaceDE/>
              <w:autoSpaceDN/>
              <w:adjustRightInd/>
              <w:rPr>
                <w:rFonts w:cs="Calibri"/>
                <w:color w:val="000000"/>
                <w:sz w:val="16"/>
                <w:szCs w:val="16"/>
                <w:lang w:val="lt-LT" w:eastAsia="lt-LT"/>
              </w:rPr>
            </w:pPr>
            <w:r w:rsidRPr="00904D9B">
              <w:rPr>
                <w:rFonts w:cs="Calibri"/>
                <w:color w:val="000000"/>
                <w:sz w:val="16"/>
                <w:szCs w:val="16"/>
                <w:lang w:val="lt-LT" w:eastAsia="lt-LT"/>
              </w:rPr>
              <w:t>184</w:t>
            </w:r>
          </w:p>
        </w:tc>
        <w:tc>
          <w:tcPr>
            <w:tcW w:w="584" w:type="dxa"/>
            <w:tcBorders>
              <w:top w:val="nil"/>
              <w:left w:val="nil"/>
              <w:bottom w:val="single" w:sz="4" w:space="0" w:color="auto"/>
              <w:right w:val="single" w:sz="4" w:space="0" w:color="auto"/>
            </w:tcBorders>
            <w:shd w:val="clear" w:color="000000" w:fill="FFFFFF"/>
            <w:noWrap/>
            <w:vAlign w:val="center"/>
            <w:hideMark/>
          </w:tcPr>
          <w:p w14:paraId="3E9B7775" w14:textId="77777777" w:rsidR="00904D9B" w:rsidRPr="00904D9B" w:rsidRDefault="00904D9B" w:rsidP="00904D9B">
            <w:pPr>
              <w:widowControl/>
              <w:autoSpaceDE/>
              <w:autoSpaceDN/>
              <w:adjustRightInd/>
              <w:rPr>
                <w:rFonts w:cs="Calibri"/>
                <w:color w:val="000000"/>
                <w:sz w:val="16"/>
                <w:szCs w:val="16"/>
                <w:lang w:val="lt-LT" w:eastAsia="lt-LT"/>
              </w:rPr>
            </w:pPr>
            <w:r w:rsidRPr="00904D9B">
              <w:rPr>
                <w:rFonts w:cs="Calibri"/>
                <w:color w:val="000000"/>
                <w:sz w:val="16"/>
                <w:szCs w:val="16"/>
                <w:lang w:val="lt-LT" w:eastAsia="lt-LT"/>
              </w:rPr>
              <w:t>0,4</w:t>
            </w:r>
          </w:p>
        </w:tc>
        <w:tc>
          <w:tcPr>
            <w:tcW w:w="1036" w:type="dxa"/>
            <w:tcBorders>
              <w:top w:val="nil"/>
              <w:left w:val="nil"/>
              <w:bottom w:val="single" w:sz="4" w:space="0" w:color="auto"/>
              <w:right w:val="single" w:sz="4" w:space="0" w:color="auto"/>
            </w:tcBorders>
            <w:shd w:val="clear" w:color="000000" w:fill="FFFFFF"/>
            <w:noWrap/>
            <w:vAlign w:val="center"/>
            <w:hideMark/>
          </w:tcPr>
          <w:p w14:paraId="6D428FDA" w14:textId="77777777" w:rsidR="00904D9B" w:rsidRPr="00904D9B" w:rsidRDefault="00904D9B" w:rsidP="00904D9B">
            <w:pPr>
              <w:widowControl/>
              <w:autoSpaceDE/>
              <w:autoSpaceDN/>
              <w:adjustRightInd/>
              <w:rPr>
                <w:rFonts w:cs="Calibri"/>
                <w:color w:val="000000"/>
                <w:sz w:val="16"/>
                <w:szCs w:val="16"/>
                <w:lang w:val="lt-LT" w:eastAsia="lt-LT"/>
              </w:rPr>
            </w:pPr>
            <w:r w:rsidRPr="00904D9B">
              <w:rPr>
                <w:rFonts w:cs="Calibri"/>
                <w:color w:val="000000"/>
                <w:sz w:val="16"/>
                <w:szCs w:val="16"/>
                <w:lang w:val="lt-LT" w:eastAsia="lt-LT"/>
              </w:rPr>
              <w:t>92</w:t>
            </w:r>
          </w:p>
        </w:tc>
        <w:tc>
          <w:tcPr>
            <w:tcW w:w="584" w:type="dxa"/>
            <w:tcBorders>
              <w:top w:val="nil"/>
              <w:left w:val="nil"/>
              <w:bottom w:val="single" w:sz="4" w:space="0" w:color="auto"/>
              <w:right w:val="single" w:sz="4" w:space="0" w:color="auto"/>
            </w:tcBorders>
            <w:shd w:val="clear" w:color="000000" w:fill="FFFFFF"/>
            <w:noWrap/>
            <w:vAlign w:val="center"/>
            <w:hideMark/>
          </w:tcPr>
          <w:p w14:paraId="2D95A1EC" w14:textId="77777777" w:rsidR="00904D9B" w:rsidRPr="00904D9B" w:rsidRDefault="00904D9B" w:rsidP="00904D9B">
            <w:pPr>
              <w:widowControl/>
              <w:autoSpaceDE/>
              <w:autoSpaceDN/>
              <w:adjustRightInd/>
              <w:rPr>
                <w:rFonts w:cs="Calibri"/>
                <w:color w:val="000000"/>
                <w:sz w:val="16"/>
                <w:szCs w:val="16"/>
                <w:lang w:val="lt-LT" w:eastAsia="lt-LT"/>
              </w:rPr>
            </w:pPr>
            <w:r w:rsidRPr="00904D9B">
              <w:rPr>
                <w:rFonts w:cs="Calibri"/>
                <w:color w:val="000000"/>
                <w:sz w:val="16"/>
                <w:szCs w:val="16"/>
                <w:lang w:val="lt-LT" w:eastAsia="lt-LT"/>
              </w:rPr>
              <w:t>0,2</w:t>
            </w:r>
          </w:p>
        </w:tc>
      </w:tr>
      <w:tr w:rsidR="00904D9B" w:rsidRPr="00904D9B" w14:paraId="607D98A1" w14:textId="77777777" w:rsidTr="00904D9B">
        <w:trPr>
          <w:trHeight w:val="290"/>
        </w:trPr>
        <w:tc>
          <w:tcPr>
            <w:tcW w:w="5781" w:type="dxa"/>
            <w:tcBorders>
              <w:top w:val="nil"/>
              <w:left w:val="single" w:sz="4" w:space="0" w:color="auto"/>
              <w:bottom w:val="single" w:sz="4" w:space="0" w:color="auto"/>
              <w:right w:val="single" w:sz="4" w:space="0" w:color="auto"/>
            </w:tcBorders>
            <w:shd w:val="clear" w:color="000000" w:fill="FFFFFF"/>
            <w:vAlign w:val="center"/>
            <w:hideMark/>
          </w:tcPr>
          <w:p w14:paraId="014C6991" w14:textId="77777777" w:rsidR="00904D9B" w:rsidRPr="00904D9B" w:rsidRDefault="00904D9B" w:rsidP="00904D9B">
            <w:pPr>
              <w:widowControl/>
              <w:autoSpaceDE/>
              <w:autoSpaceDN/>
              <w:adjustRightInd/>
              <w:rPr>
                <w:rFonts w:cs="Calibri"/>
                <w:color w:val="000000"/>
                <w:sz w:val="16"/>
                <w:szCs w:val="16"/>
                <w:lang w:val="lt-LT" w:eastAsia="lt-LT"/>
              </w:rPr>
            </w:pPr>
            <w:r w:rsidRPr="00904D9B">
              <w:rPr>
                <w:rFonts w:cs="Calibri"/>
                <w:color w:val="000000"/>
                <w:sz w:val="16"/>
                <w:szCs w:val="16"/>
                <w:lang w:val="lt-LT" w:eastAsia="lt-LT"/>
              </w:rPr>
              <w:t>Išmokos savarankiškai dirbantiesiems*</w:t>
            </w:r>
          </w:p>
        </w:tc>
        <w:tc>
          <w:tcPr>
            <w:tcW w:w="1075" w:type="dxa"/>
            <w:tcBorders>
              <w:top w:val="nil"/>
              <w:left w:val="nil"/>
              <w:bottom w:val="single" w:sz="4" w:space="0" w:color="auto"/>
              <w:right w:val="single" w:sz="4" w:space="0" w:color="auto"/>
            </w:tcBorders>
            <w:shd w:val="clear" w:color="000000" w:fill="FFFFFF"/>
            <w:noWrap/>
            <w:vAlign w:val="center"/>
            <w:hideMark/>
          </w:tcPr>
          <w:p w14:paraId="6B7A90E7" w14:textId="77777777" w:rsidR="00904D9B" w:rsidRPr="00904D9B" w:rsidRDefault="00904D9B" w:rsidP="00904D9B">
            <w:pPr>
              <w:widowControl/>
              <w:autoSpaceDE/>
              <w:autoSpaceDN/>
              <w:adjustRightInd/>
              <w:rPr>
                <w:rFonts w:cs="Calibri"/>
                <w:color w:val="000000"/>
                <w:sz w:val="16"/>
                <w:szCs w:val="16"/>
                <w:lang w:val="lt-LT" w:eastAsia="lt-LT"/>
              </w:rPr>
            </w:pPr>
            <w:r w:rsidRPr="00904D9B">
              <w:rPr>
                <w:rFonts w:cs="Calibri"/>
                <w:color w:val="000000"/>
                <w:sz w:val="16"/>
                <w:szCs w:val="16"/>
                <w:lang w:val="lt-LT" w:eastAsia="lt-LT"/>
              </w:rPr>
              <w:t>130</w:t>
            </w:r>
          </w:p>
        </w:tc>
        <w:tc>
          <w:tcPr>
            <w:tcW w:w="584" w:type="dxa"/>
            <w:tcBorders>
              <w:top w:val="nil"/>
              <w:left w:val="nil"/>
              <w:bottom w:val="single" w:sz="4" w:space="0" w:color="auto"/>
              <w:right w:val="single" w:sz="4" w:space="0" w:color="auto"/>
            </w:tcBorders>
            <w:shd w:val="clear" w:color="000000" w:fill="FFFFFF"/>
            <w:noWrap/>
            <w:vAlign w:val="center"/>
            <w:hideMark/>
          </w:tcPr>
          <w:p w14:paraId="5815D4B8" w14:textId="77777777" w:rsidR="00904D9B" w:rsidRPr="00904D9B" w:rsidRDefault="00904D9B" w:rsidP="00904D9B">
            <w:pPr>
              <w:widowControl/>
              <w:autoSpaceDE/>
              <w:autoSpaceDN/>
              <w:adjustRightInd/>
              <w:rPr>
                <w:rFonts w:cs="Calibri"/>
                <w:color w:val="000000"/>
                <w:sz w:val="16"/>
                <w:szCs w:val="16"/>
                <w:lang w:val="lt-LT" w:eastAsia="lt-LT"/>
              </w:rPr>
            </w:pPr>
            <w:r w:rsidRPr="00904D9B">
              <w:rPr>
                <w:rFonts w:cs="Calibri"/>
                <w:color w:val="000000"/>
                <w:sz w:val="16"/>
                <w:szCs w:val="16"/>
                <w:lang w:val="lt-LT" w:eastAsia="lt-LT"/>
              </w:rPr>
              <w:t>0,3</w:t>
            </w:r>
          </w:p>
        </w:tc>
        <w:tc>
          <w:tcPr>
            <w:tcW w:w="1036" w:type="dxa"/>
            <w:tcBorders>
              <w:top w:val="nil"/>
              <w:left w:val="nil"/>
              <w:bottom w:val="single" w:sz="4" w:space="0" w:color="auto"/>
              <w:right w:val="single" w:sz="4" w:space="0" w:color="auto"/>
            </w:tcBorders>
            <w:shd w:val="clear" w:color="000000" w:fill="FFFFFF"/>
            <w:noWrap/>
            <w:vAlign w:val="center"/>
            <w:hideMark/>
          </w:tcPr>
          <w:p w14:paraId="588E8450" w14:textId="77777777" w:rsidR="00904D9B" w:rsidRPr="00904D9B" w:rsidRDefault="00904D9B" w:rsidP="00904D9B">
            <w:pPr>
              <w:widowControl/>
              <w:autoSpaceDE/>
              <w:autoSpaceDN/>
              <w:adjustRightInd/>
              <w:rPr>
                <w:rFonts w:cs="Calibri"/>
                <w:color w:val="000000"/>
                <w:sz w:val="16"/>
                <w:szCs w:val="16"/>
                <w:lang w:val="lt-LT" w:eastAsia="lt-LT"/>
              </w:rPr>
            </w:pPr>
            <w:r w:rsidRPr="00904D9B">
              <w:rPr>
                <w:rFonts w:cs="Calibri"/>
                <w:color w:val="000000"/>
                <w:sz w:val="16"/>
                <w:szCs w:val="16"/>
                <w:lang w:val="lt-LT" w:eastAsia="lt-LT"/>
              </w:rPr>
              <w:t>65</w:t>
            </w:r>
          </w:p>
        </w:tc>
        <w:tc>
          <w:tcPr>
            <w:tcW w:w="584" w:type="dxa"/>
            <w:tcBorders>
              <w:top w:val="nil"/>
              <w:left w:val="nil"/>
              <w:bottom w:val="single" w:sz="4" w:space="0" w:color="auto"/>
              <w:right w:val="single" w:sz="4" w:space="0" w:color="auto"/>
            </w:tcBorders>
            <w:shd w:val="clear" w:color="000000" w:fill="FFFFFF"/>
            <w:noWrap/>
            <w:vAlign w:val="center"/>
            <w:hideMark/>
          </w:tcPr>
          <w:p w14:paraId="6E76D95C" w14:textId="77777777" w:rsidR="00904D9B" w:rsidRPr="00904D9B" w:rsidRDefault="00904D9B" w:rsidP="00904D9B">
            <w:pPr>
              <w:widowControl/>
              <w:autoSpaceDE/>
              <w:autoSpaceDN/>
              <w:adjustRightInd/>
              <w:rPr>
                <w:rFonts w:cs="Calibri"/>
                <w:color w:val="000000"/>
                <w:sz w:val="16"/>
                <w:szCs w:val="16"/>
                <w:lang w:val="lt-LT" w:eastAsia="lt-LT"/>
              </w:rPr>
            </w:pPr>
            <w:r w:rsidRPr="00904D9B">
              <w:rPr>
                <w:rFonts w:cs="Calibri"/>
                <w:color w:val="000000"/>
                <w:sz w:val="16"/>
                <w:szCs w:val="16"/>
                <w:lang w:val="lt-LT" w:eastAsia="lt-LT"/>
              </w:rPr>
              <w:t>0,1</w:t>
            </w:r>
          </w:p>
        </w:tc>
      </w:tr>
      <w:tr w:rsidR="00904D9B" w:rsidRPr="00904D9B" w14:paraId="6403C7EC" w14:textId="77777777" w:rsidTr="00904D9B">
        <w:trPr>
          <w:trHeight w:val="290"/>
        </w:trPr>
        <w:tc>
          <w:tcPr>
            <w:tcW w:w="5781" w:type="dxa"/>
            <w:tcBorders>
              <w:top w:val="nil"/>
              <w:left w:val="single" w:sz="4" w:space="0" w:color="auto"/>
              <w:bottom w:val="single" w:sz="4" w:space="0" w:color="auto"/>
              <w:right w:val="single" w:sz="4" w:space="0" w:color="auto"/>
            </w:tcBorders>
            <w:shd w:val="clear" w:color="000000" w:fill="FFFFFF"/>
            <w:noWrap/>
            <w:vAlign w:val="center"/>
            <w:hideMark/>
          </w:tcPr>
          <w:p w14:paraId="4D553C38" w14:textId="77777777" w:rsidR="00904D9B" w:rsidRPr="00904D9B" w:rsidRDefault="00904D9B" w:rsidP="003172E1">
            <w:pPr>
              <w:widowControl/>
              <w:autoSpaceDE/>
              <w:autoSpaceDN/>
              <w:adjustRightInd/>
              <w:rPr>
                <w:rFonts w:cs="Calibri"/>
                <w:b/>
                <w:bCs/>
                <w:color w:val="000000"/>
                <w:sz w:val="16"/>
                <w:szCs w:val="16"/>
                <w:lang w:val="lt-LT" w:eastAsia="lt-LT"/>
              </w:rPr>
            </w:pPr>
            <w:r>
              <w:rPr>
                <w:rFonts w:cs="Calibri"/>
                <w:b/>
                <w:bCs/>
                <w:color w:val="000000"/>
                <w:sz w:val="16"/>
                <w:szCs w:val="16"/>
                <w:lang w:val="lt-LT" w:eastAsia="lt-LT"/>
              </w:rPr>
              <w:t>I</w:t>
            </w:r>
            <w:r w:rsidRPr="00904D9B">
              <w:rPr>
                <w:rFonts w:cs="Calibri"/>
                <w:b/>
                <w:bCs/>
                <w:color w:val="000000"/>
                <w:sz w:val="16"/>
                <w:szCs w:val="16"/>
                <w:lang w:val="lt-LT" w:eastAsia="lt-LT"/>
              </w:rPr>
              <w:t>š viso</w:t>
            </w:r>
          </w:p>
        </w:tc>
        <w:tc>
          <w:tcPr>
            <w:tcW w:w="1075" w:type="dxa"/>
            <w:tcBorders>
              <w:top w:val="nil"/>
              <w:left w:val="nil"/>
              <w:bottom w:val="single" w:sz="4" w:space="0" w:color="auto"/>
              <w:right w:val="single" w:sz="4" w:space="0" w:color="auto"/>
            </w:tcBorders>
            <w:shd w:val="clear" w:color="000000" w:fill="FFFFFF"/>
            <w:noWrap/>
            <w:vAlign w:val="center"/>
            <w:hideMark/>
          </w:tcPr>
          <w:p w14:paraId="59F4011D" w14:textId="77777777" w:rsidR="00904D9B" w:rsidRPr="00904D9B" w:rsidRDefault="00904D9B" w:rsidP="00904D9B">
            <w:pPr>
              <w:widowControl/>
              <w:autoSpaceDE/>
              <w:autoSpaceDN/>
              <w:adjustRightInd/>
              <w:rPr>
                <w:rFonts w:cs="Calibri"/>
                <w:b/>
                <w:bCs/>
                <w:color w:val="000000"/>
                <w:sz w:val="16"/>
                <w:szCs w:val="16"/>
                <w:lang w:val="lt-LT" w:eastAsia="lt-LT"/>
              </w:rPr>
            </w:pPr>
            <w:r w:rsidRPr="00904D9B">
              <w:rPr>
                <w:rFonts w:cs="Calibri"/>
                <w:b/>
                <w:bCs/>
                <w:color w:val="000000"/>
                <w:sz w:val="16"/>
                <w:szCs w:val="16"/>
                <w:lang w:val="lt-LT" w:eastAsia="lt-LT"/>
              </w:rPr>
              <w:t>705</w:t>
            </w:r>
          </w:p>
        </w:tc>
        <w:tc>
          <w:tcPr>
            <w:tcW w:w="584" w:type="dxa"/>
            <w:tcBorders>
              <w:top w:val="nil"/>
              <w:left w:val="nil"/>
              <w:bottom w:val="single" w:sz="4" w:space="0" w:color="auto"/>
              <w:right w:val="single" w:sz="4" w:space="0" w:color="auto"/>
            </w:tcBorders>
            <w:shd w:val="clear" w:color="000000" w:fill="FFFFFF"/>
            <w:noWrap/>
            <w:vAlign w:val="center"/>
            <w:hideMark/>
          </w:tcPr>
          <w:p w14:paraId="00DBAE66" w14:textId="77777777" w:rsidR="00904D9B" w:rsidRPr="00904D9B" w:rsidRDefault="00904D9B" w:rsidP="00904D9B">
            <w:pPr>
              <w:widowControl/>
              <w:autoSpaceDE/>
              <w:autoSpaceDN/>
              <w:adjustRightInd/>
              <w:rPr>
                <w:rFonts w:cs="Calibri"/>
                <w:b/>
                <w:bCs/>
                <w:color w:val="000000"/>
                <w:sz w:val="16"/>
                <w:szCs w:val="16"/>
                <w:lang w:val="lt-LT" w:eastAsia="lt-LT"/>
              </w:rPr>
            </w:pPr>
            <w:r w:rsidRPr="00904D9B">
              <w:rPr>
                <w:rFonts w:cs="Calibri"/>
                <w:b/>
                <w:bCs/>
                <w:color w:val="000000"/>
                <w:sz w:val="16"/>
                <w:szCs w:val="16"/>
                <w:lang w:val="lt-LT" w:eastAsia="lt-LT"/>
              </w:rPr>
              <w:t>1,4</w:t>
            </w:r>
          </w:p>
        </w:tc>
        <w:tc>
          <w:tcPr>
            <w:tcW w:w="1036" w:type="dxa"/>
            <w:tcBorders>
              <w:top w:val="nil"/>
              <w:left w:val="nil"/>
              <w:bottom w:val="single" w:sz="4" w:space="0" w:color="auto"/>
              <w:right w:val="single" w:sz="4" w:space="0" w:color="auto"/>
            </w:tcBorders>
            <w:shd w:val="clear" w:color="000000" w:fill="FFFFFF"/>
            <w:noWrap/>
            <w:vAlign w:val="center"/>
            <w:hideMark/>
          </w:tcPr>
          <w:p w14:paraId="06BE3202" w14:textId="77777777" w:rsidR="00904D9B" w:rsidRPr="00904D9B" w:rsidRDefault="00904D9B" w:rsidP="00904D9B">
            <w:pPr>
              <w:widowControl/>
              <w:autoSpaceDE/>
              <w:autoSpaceDN/>
              <w:adjustRightInd/>
              <w:rPr>
                <w:rFonts w:cs="Calibri"/>
                <w:b/>
                <w:bCs/>
                <w:color w:val="000000"/>
                <w:sz w:val="16"/>
                <w:szCs w:val="16"/>
                <w:lang w:val="lt-LT" w:eastAsia="lt-LT"/>
              </w:rPr>
            </w:pPr>
            <w:r w:rsidRPr="00904D9B">
              <w:rPr>
                <w:rFonts w:cs="Calibri"/>
                <w:b/>
                <w:bCs/>
                <w:color w:val="000000"/>
                <w:sz w:val="16"/>
                <w:szCs w:val="16"/>
                <w:lang w:val="lt-LT" w:eastAsia="lt-LT"/>
              </w:rPr>
              <w:t>352</w:t>
            </w:r>
          </w:p>
        </w:tc>
        <w:tc>
          <w:tcPr>
            <w:tcW w:w="584" w:type="dxa"/>
            <w:tcBorders>
              <w:top w:val="nil"/>
              <w:left w:val="nil"/>
              <w:bottom w:val="single" w:sz="4" w:space="0" w:color="auto"/>
              <w:right w:val="single" w:sz="4" w:space="0" w:color="auto"/>
            </w:tcBorders>
            <w:shd w:val="clear" w:color="000000" w:fill="FFFFFF"/>
            <w:noWrap/>
            <w:vAlign w:val="center"/>
            <w:hideMark/>
          </w:tcPr>
          <w:p w14:paraId="49913DFC" w14:textId="77777777" w:rsidR="00904D9B" w:rsidRPr="00904D9B" w:rsidRDefault="00904D9B" w:rsidP="00904D9B">
            <w:pPr>
              <w:widowControl/>
              <w:autoSpaceDE/>
              <w:autoSpaceDN/>
              <w:adjustRightInd/>
              <w:rPr>
                <w:rFonts w:cs="Calibri"/>
                <w:b/>
                <w:bCs/>
                <w:color w:val="000000"/>
                <w:sz w:val="16"/>
                <w:szCs w:val="16"/>
                <w:lang w:val="lt-LT" w:eastAsia="lt-LT"/>
              </w:rPr>
            </w:pPr>
            <w:r w:rsidRPr="00904D9B">
              <w:rPr>
                <w:rFonts w:cs="Calibri"/>
                <w:b/>
                <w:bCs/>
                <w:color w:val="000000"/>
                <w:sz w:val="16"/>
                <w:szCs w:val="16"/>
                <w:lang w:val="lt-LT" w:eastAsia="lt-LT"/>
              </w:rPr>
              <w:t>0,7</w:t>
            </w:r>
          </w:p>
        </w:tc>
      </w:tr>
      <w:tr w:rsidR="00904D9B" w:rsidRPr="00904D9B" w14:paraId="6DC1726D" w14:textId="77777777" w:rsidTr="00904D9B">
        <w:trPr>
          <w:trHeight w:val="430"/>
        </w:trPr>
        <w:tc>
          <w:tcPr>
            <w:tcW w:w="9060"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14:paraId="001982F4" w14:textId="77777777" w:rsidR="00904D9B" w:rsidRPr="00904D9B" w:rsidRDefault="00904D9B" w:rsidP="00904D9B">
            <w:pPr>
              <w:widowControl/>
              <w:autoSpaceDE/>
              <w:autoSpaceDN/>
              <w:adjustRightInd/>
              <w:rPr>
                <w:rFonts w:cs="Calibri"/>
                <w:b/>
                <w:bCs/>
                <w:color w:val="000000"/>
                <w:sz w:val="16"/>
                <w:szCs w:val="16"/>
                <w:lang w:val="lt-LT" w:eastAsia="lt-LT"/>
              </w:rPr>
            </w:pPr>
            <w:r>
              <w:rPr>
                <w:rFonts w:cs="Calibri"/>
                <w:b/>
                <w:bCs/>
                <w:color w:val="000000"/>
                <w:sz w:val="16"/>
                <w:szCs w:val="16"/>
                <w:lang w:val="lt-LT" w:eastAsia="lt-LT"/>
              </w:rPr>
              <w:t xml:space="preserve">Išlaidų </w:t>
            </w:r>
            <w:r w:rsidR="00175307">
              <w:rPr>
                <w:rFonts w:cs="Calibri"/>
                <w:b/>
                <w:bCs/>
                <w:color w:val="000000"/>
                <w:sz w:val="16"/>
                <w:szCs w:val="16"/>
                <w:lang w:val="lt-LT" w:eastAsia="lt-LT"/>
              </w:rPr>
              <w:t>p</w:t>
            </w:r>
            <w:r w:rsidRPr="00904D9B">
              <w:rPr>
                <w:rFonts w:cs="Calibri"/>
                <w:b/>
                <w:bCs/>
                <w:color w:val="000000"/>
                <w:sz w:val="16"/>
                <w:szCs w:val="16"/>
                <w:lang w:val="lt-LT" w:eastAsia="lt-LT"/>
              </w:rPr>
              <w:t>riemonės, kurios galioja iki 2020 m. gruodžio 31 d. arba 2020 m. buvo vienkartinės, t.</w:t>
            </w:r>
            <w:r w:rsidR="003172E1">
              <w:rPr>
                <w:rFonts w:cs="Calibri"/>
                <w:b/>
                <w:bCs/>
                <w:color w:val="000000"/>
                <w:sz w:val="16"/>
                <w:szCs w:val="16"/>
                <w:lang w:val="lt-LT" w:eastAsia="lt-LT"/>
              </w:rPr>
              <w:t> </w:t>
            </w:r>
            <w:r w:rsidRPr="00904D9B">
              <w:rPr>
                <w:rFonts w:cs="Calibri"/>
                <w:b/>
                <w:bCs/>
                <w:color w:val="000000"/>
                <w:sz w:val="16"/>
                <w:szCs w:val="16"/>
                <w:lang w:val="lt-LT" w:eastAsia="lt-LT"/>
              </w:rPr>
              <w:t>y. lėšų joms reikėtų, jei būtų priimti sprendimai jas pratęsti</w:t>
            </w:r>
          </w:p>
        </w:tc>
      </w:tr>
      <w:tr w:rsidR="00904D9B" w:rsidRPr="00904D9B" w14:paraId="4ABF4CEC" w14:textId="77777777" w:rsidTr="00904D9B">
        <w:trPr>
          <w:trHeight w:val="290"/>
        </w:trPr>
        <w:tc>
          <w:tcPr>
            <w:tcW w:w="5781" w:type="dxa"/>
            <w:tcBorders>
              <w:top w:val="nil"/>
              <w:left w:val="single" w:sz="4" w:space="0" w:color="auto"/>
              <w:bottom w:val="single" w:sz="4" w:space="0" w:color="auto"/>
              <w:right w:val="single" w:sz="4" w:space="0" w:color="auto"/>
            </w:tcBorders>
            <w:shd w:val="clear" w:color="000000" w:fill="FFFFFF"/>
            <w:noWrap/>
            <w:vAlign w:val="center"/>
            <w:hideMark/>
          </w:tcPr>
          <w:p w14:paraId="314FAABF" w14:textId="77777777" w:rsidR="00904D9B" w:rsidRPr="00904D9B" w:rsidRDefault="00904D9B" w:rsidP="00904D9B">
            <w:pPr>
              <w:widowControl/>
              <w:autoSpaceDE/>
              <w:autoSpaceDN/>
              <w:adjustRightInd/>
              <w:rPr>
                <w:rFonts w:cs="Calibri"/>
                <w:color w:val="000000"/>
                <w:sz w:val="16"/>
                <w:szCs w:val="16"/>
                <w:lang w:val="lt-LT" w:eastAsia="lt-LT"/>
              </w:rPr>
            </w:pPr>
            <w:r w:rsidRPr="00904D9B">
              <w:rPr>
                <w:rFonts w:cs="Calibri"/>
                <w:color w:val="000000"/>
                <w:sz w:val="16"/>
                <w:szCs w:val="16"/>
                <w:lang w:val="lt-LT" w:eastAsia="lt-LT"/>
              </w:rPr>
              <w:t xml:space="preserve">Darbo paieškos išmokos </w:t>
            </w:r>
          </w:p>
        </w:tc>
        <w:tc>
          <w:tcPr>
            <w:tcW w:w="1075" w:type="dxa"/>
            <w:tcBorders>
              <w:top w:val="nil"/>
              <w:left w:val="nil"/>
              <w:bottom w:val="single" w:sz="4" w:space="0" w:color="auto"/>
              <w:right w:val="single" w:sz="4" w:space="0" w:color="auto"/>
            </w:tcBorders>
            <w:shd w:val="clear" w:color="000000" w:fill="FFFFFF"/>
            <w:noWrap/>
            <w:vAlign w:val="center"/>
            <w:hideMark/>
          </w:tcPr>
          <w:p w14:paraId="58563F45" w14:textId="77777777" w:rsidR="00904D9B" w:rsidRPr="00904D9B" w:rsidRDefault="00904D9B" w:rsidP="00904D9B">
            <w:pPr>
              <w:widowControl/>
              <w:autoSpaceDE/>
              <w:autoSpaceDN/>
              <w:adjustRightInd/>
              <w:rPr>
                <w:rFonts w:cs="Calibri"/>
                <w:color w:val="000000"/>
                <w:sz w:val="16"/>
                <w:szCs w:val="16"/>
                <w:lang w:val="lt-LT" w:eastAsia="lt-LT"/>
              </w:rPr>
            </w:pPr>
            <w:r w:rsidRPr="00904D9B">
              <w:rPr>
                <w:rFonts w:cs="Calibri"/>
                <w:color w:val="000000"/>
                <w:sz w:val="16"/>
                <w:szCs w:val="16"/>
                <w:lang w:val="lt-LT" w:eastAsia="lt-LT"/>
              </w:rPr>
              <w:t>138</w:t>
            </w:r>
          </w:p>
        </w:tc>
        <w:tc>
          <w:tcPr>
            <w:tcW w:w="584" w:type="dxa"/>
            <w:tcBorders>
              <w:top w:val="nil"/>
              <w:left w:val="nil"/>
              <w:bottom w:val="single" w:sz="4" w:space="0" w:color="auto"/>
              <w:right w:val="single" w:sz="4" w:space="0" w:color="auto"/>
            </w:tcBorders>
            <w:shd w:val="clear" w:color="000000" w:fill="FFFFFF"/>
            <w:noWrap/>
            <w:vAlign w:val="center"/>
            <w:hideMark/>
          </w:tcPr>
          <w:p w14:paraId="7FC62AC1" w14:textId="77777777" w:rsidR="00904D9B" w:rsidRPr="00904D9B" w:rsidRDefault="00904D9B" w:rsidP="00904D9B">
            <w:pPr>
              <w:widowControl/>
              <w:autoSpaceDE/>
              <w:autoSpaceDN/>
              <w:adjustRightInd/>
              <w:rPr>
                <w:rFonts w:cs="Calibri"/>
                <w:color w:val="000000"/>
                <w:sz w:val="16"/>
                <w:szCs w:val="16"/>
                <w:lang w:val="lt-LT" w:eastAsia="lt-LT"/>
              </w:rPr>
            </w:pPr>
            <w:r w:rsidRPr="00904D9B">
              <w:rPr>
                <w:rFonts w:cs="Calibri"/>
                <w:color w:val="000000"/>
                <w:sz w:val="16"/>
                <w:szCs w:val="16"/>
                <w:lang w:val="lt-LT" w:eastAsia="lt-LT"/>
              </w:rPr>
              <w:t>0,3</w:t>
            </w:r>
          </w:p>
        </w:tc>
        <w:tc>
          <w:tcPr>
            <w:tcW w:w="1036" w:type="dxa"/>
            <w:tcBorders>
              <w:top w:val="nil"/>
              <w:left w:val="nil"/>
              <w:bottom w:val="single" w:sz="4" w:space="0" w:color="auto"/>
              <w:right w:val="single" w:sz="4" w:space="0" w:color="auto"/>
            </w:tcBorders>
            <w:shd w:val="clear" w:color="000000" w:fill="FFFFFF"/>
            <w:noWrap/>
            <w:vAlign w:val="center"/>
            <w:hideMark/>
          </w:tcPr>
          <w:p w14:paraId="70633582" w14:textId="77777777" w:rsidR="00904D9B" w:rsidRPr="00904D9B" w:rsidRDefault="00904D9B" w:rsidP="00904D9B">
            <w:pPr>
              <w:widowControl/>
              <w:autoSpaceDE/>
              <w:autoSpaceDN/>
              <w:adjustRightInd/>
              <w:rPr>
                <w:rFonts w:cs="Calibri"/>
                <w:color w:val="000000"/>
                <w:sz w:val="16"/>
                <w:szCs w:val="16"/>
                <w:lang w:val="lt-LT" w:eastAsia="lt-LT"/>
              </w:rPr>
            </w:pPr>
            <w:r w:rsidRPr="00904D9B">
              <w:rPr>
                <w:rFonts w:cs="Calibri"/>
                <w:color w:val="000000"/>
                <w:sz w:val="16"/>
                <w:szCs w:val="16"/>
                <w:lang w:val="lt-LT" w:eastAsia="lt-LT"/>
              </w:rPr>
              <w:t>69</w:t>
            </w:r>
          </w:p>
        </w:tc>
        <w:tc>
          <w:tcPr>
            <w:tcW w:w="584" w:type="dxa"/>
            <w:tcBorders>
              <w:top w:val="nil"/>
              <w:left w:val="nil"/>
              <w:bottom w:val="single" w:sz="4" w:space="0" w:color="auto"/>
              <w:right w:val="single" w:sz="4" w:space="0" w:color="auto"/>
            </w:tcBorders>
            <w:shd w:val="clear" w:color="000000" w:fill="FFFFFF"/>
            <w:noWrap/>
            <w:vAlign w:val="center"/>
            <w:hideMark/>
          </w:tcPr>
          <w:p w14:paraId="29089EC2" w14:textId="77777777" w:rsidR="00904D9B" w:rsidRPr="00904D9B" w:rsidRDefault="00904D9B" w:rsidP="00904D9B">
            <w:pPr>
              <w:widowControl/>
              <w:autoSpaceDE/>
              <w:autoSpaceDN/>
              <w:adjustRightInd/>
              <w:rPr>
                <w:rFonts w:cs="Calibri"/>
                <w:color w:val="000000"/>
                <w:sz w:val="16"/>
                <w:szCs w:val="16"/>
                <w:lang w:val="lt-LT" w:eastAsia="lt-LT"/>
              </w:rPr>
            </w:pPr>
            <w:r w:rsidRPr="00904D9B">
              <w:rPr>
                <w:rFonts w:cs="Calibri"/>
                <w:color w:val="000000"/>
                <w:sz w:val="16"/>
                <w:szCs w:val="16"/>
                <w:lang w:val="lt-LT" w:eastAsia="lt-LT"/>
              </w:rPr>
              <w:t>0,1</w:t>
            </w:r>
          </w:p>
        </w:tc>
      </w:tr>
      <w:tr w:rsidR="00904D9B" w:rsidRPr="00904D9B" w14:paraId="1DA5B6E8" w14:textId="77777777" w:rsidTr="00904D9B">
        <w:trPr>
          <w:trHeight w:val="290"/>
        </w:trPr>
        <w:tc>
          <w:tcPr>
            <w:tcW w:w="5781" w:type="dxa"/>
            <w:tcBorders>
              <w:top w:val="nil"/>
              <w:left w:val="single" w:sz="4" w:space="0" w:color="auto"/>
              <w:bottom w:val="single" w:sz="4" w:space="0" w:color="auto"/>
              <w:right w:val="single" w:sz="4" w:space="0" w:color="auto"/>
            </w:tcBorders>
            <w:shd w:val="clear" w:color="000000" w:fill="FFFFFF"/>
            <w:noWrap/>
            <w:vAlign w:val="center"/>
            <w:hideMark/>
          </w:tcPr>
          <w:p w14:paraId="27F6C869" w14:textId="77777777" w:rsidR="00904D9B" w:rsidRPr="00904D9B" w:rsidRDefault="00904D9B" w:rsidP="00904D9B">
            <w:pPr>
              <w:widowControl/>
              <w:autoSpaceDE/>
              <w:autoSpaceDN/>
              <w:adjustRightInd/>
              <w:rPr>
                <w:rFonts w:cs="Calibri"/>
                <w:color w:val="000000"/>
                <w:sz w:val="16"/>
                <w:szCs w:val="16"/>
                <w:lang w:val="lt-LT" w:eastAsia="lt-LT"/>
              </w:rPr>
            </w:pPr>
            <w:r w:rsidRPr="00904D9B">
              <w:rPr>
                <w:rFonts w:cs="Calibri"/>
                <w:color w:val="000000"/>
                <w:sz w:val="16"/>
                <w:szCs w:val="16"/>
                <w:lang w:val="lt-LT" w:eastAsia="lt-LT"/>
              </w:rPr>
              <w:t>Subsidijos už darbuotojus, grįžusius iš prastovų*</w:t>
            </w:r>
          </w:p>
        </w:tc>
        <w:tc>
          <w:tcPr>
            <w:tcW w:w="1075" w:type="dxa"/>
            <w:tcBorders>
              <w:top w:val="nil"/>
              <w:left w:val="nil"/>
              <w:bottom w:val="single" w:sz="4" w:space="0" w:color="auto"/>
              <w:right w:val="single" w:sz="4" w:space="0" w:color="auto"/>
            </w:tcBorders>
            <w:shd w:val="clear" w:color="000000" w:fill="FFFFFF"/>
            <w:noWrap/>
            <w:vAlign w:val="center"/>
            <w:hideMark/>
          </w:tcPr>
          <w:p w14:paraId="41733358" w14:textId="77777777" w:rsidR="00904D9B" w:rsidRPr="00904D9B" w:rsidRDefault="00904D9B" w:rsidP="00904D9B">
            <w:pPr>
              <w:widowControl/>
              <w:autoSpaceDE/>
              <w:autoSpaceDN/>
              <w:adjustRightInd/>
              <w:rPr>
                <w:rFonts w:cs="Calibri"/>
                <w:color w:val="000000"/>
                <w:sz w:val="16"/>
                <w:szCs w:val="16"/>
                <w:lang w:val="lt-LT" w:eastAsia="lt-LT"/>
              </w:rPr>
            </w:pPr>
            <w:r w:rsidRPr="00904D9B">
              <w:rPr>
                <w:rFonts w:cs="Calibri"/>
                <w:color w:val="000000"/>
                <w:sz w:val="16"/>
                <w:szCs w:val="16"/>
                <w:lang w:val="lt-LT" w:eastAsia="lt-LT"/>
              </w:rPr>
              <w:t>529</w:t>
            </w:r>
          </w:p>
        </w:tc>
        <w:tc>
          <w:tcPr>
            <w:tcW w:w="584" w:type="dxa"/>
            <w:tcBorders>
              <w:top w:val="nil"/>
              <w:left w:val="nil"/>
              <w:bottom w:val="single" w:sz="4" w:space="0" w:color="auto"/>
              <w:right w:val="single" w:sz="4" w:space="0" w:color="auto"/>
            </w:tcBorders>
            <w:shd w:val="clear" w:color="000000" w:fill="FFFFFF"/>
            <w:noWrap/>
            <w:vAlign w:val="center"/>
            <w:hideMark/>
          </w:tcPr>
          <w:p w14:paraId="7B859094" w14:textId="77777777" w:rsidR="00904D9B" w:rsidRPr="00904D9B" w:rsidRDefault="00904D9B" w:rsidP="00904D9B">
            <w:pPr>
              <w:widowControl/>
              <w:autoSpaceDE/>
              <w:autoSpaceDN/>
              <w:adjustRightInd/>
              <w:rPr>
                <w:rFonts w:cs="Calibri"/>
                <w:color w:val="000000"/>
                <w:sz w:val="16"/>
                <w:szCs w:val="16"/>
                <w:lang w:val="lt-LT" w:eastAsia="lt-LT"/>
              </w:rPr>
            </w:pPr>
            <w:r w:rsidRPr="00904D9B">
              <w:rPr>
                <w:rFonts w:cs="Calibri"/>
                <w:color w:val="000000"/>
                <w:sz w:val="16"/>
                <w:szCs w:val="16"/>
                <w:lang w:val="lt-LT" w:eastAsia="lt-LT"/>
              </w:rPr>
              <w:t>1,0</w:t>
            </w:r>
          </w:p>
        </w:tc>
        <w:tc>
          <w:tcPr>
            <w:tcW w:w="1036" w:type="dxa"/>
            <w:tcBorders>
              <w:top w:val="nil"/>
              <w:left w:val="nil"/>
              <w:bottom w:val="single" w:sz="4" w:space="0" w:color="auto"/>
              <w:right w:val="single" w:sz="4" w:space="0" w:color="auto"/>
            </w:tcBorders>
            <w:shd w:val="clear" w:color="000000" w:fill="FFFFFF"/>
            <w:noWrap/>
            <w:vAlign w:val="center"/>
            <w:hideMark/>
          </w:tcPr>
          <w:p w14:paraId="4E088742" w14:textId="77777777" w:rsidR="00904D9B" w:rsidRPr="00904D9B" w:rsidRDefault="00904D9B" w:rsidP="00904D9B">
            <w:pPr>
              <w:widowControl/>
              <w:autoSpaceDE/>
              <w:autoSpaceDN/>
              <w:adjustRightInd/>
              <w:rPr>
                <w:rFonts w:cs="Calibri"/>
                <w:color w:val="000000"/>
                <w:sz w:val="16"/>
                <w:szCs w:val="16"/>
                <w:lang w:val="lt-LT" w:eastAsia="lt-LT"/>
              </w:rPr>
            </w:pPr>
            <w:r w:rsidRPr="00904D9B">
              <w:rPr>
                <w:rFonts w:cs="Calibri"/>
                <w:color w:val="000000"/>
                <w:sz w:val="16"/>
                <w:szCs w:val="16"/>
                <w:lang w:val="lt-LT" w:eastAsia="lt-LT"/>
              </w:rPr>
              <w:t>265</w:t>
            </w:r>
          </w:p>
        </w:tc>
        <w:tc>
          <w:tcPr>
            <w:tcW w:w="584" w:type="dxa"/>
            <w:tcBorders>
              <w:top w:val="nil"/>
              <w:left w:val="nil"/>
              <w:bottom w:val="single" w:sz="4" w:space="0" w:color="auto"/>
              <w:right w:val="single" w:sz="4" w:space="0" w:color="auto"/>
            </w:tcBorders>
            <w:shd w:val="clear" w:color="000000" w:fill="FFFFFF"/>
            <w:noWrap/>
            <w:vAlign w:val="center"/>
            <w:hideMark/>
          </w:tcPr>
          <w:p w14:paraId="3839D4CE" w14:textId="77777777" w:rsidR="00904D9B" w:rsidRPr="00904D9B" w:rsidRDefault="00904D9B" w:rsidP="00904D9B">
            <w:pPr>
              <w:widowControl/>
              <w:autoSpaceDE/>
              <w:autoSpaceDN/>
              <w:adjustRightInd/>
              <w:rPr>
                <w:rFonts w:cs="Calibri"/>
                <w:color w:val="000000"/>
                <w:sz w:val="16"/>
                <w:szCs w:val="16"/>
                <w:lang w:val="lt-LT" w:eastAsia="lt-LT"/>
              </w:rPr>
            </w:pPr>
            <w:r w:rsidRPr="00904D9B">
              <w:rPr>
                <w:rFonts w:cs="Calibri"/>
                <w:color w:val="000000"/>
                <w:sz w:val="16"/>
                <w:szCs w:val="16"/>
                <w:lang w:val="lt-LT" w:eastAsia="lt-LT"/>
              </w:rPr>
              <w:t>0,5</w:t>
            </w:r>
          </w:p>
        </w:tc>
      </w:tr>
      <w:tr w:rsidR="00904D9B" w:rsidRPr="00904D9B" w14:paraId="0538A324" w14:textId="77777777" w:rsidTr="00904D9B">
        <w:trPr>
          <w:trHeight w:val="400"/>
        </w:trPr>
        <w:tc>
          <w:tcPr>
            <w:tcW w:w="5781" w:type="dxa"/>
            <w:tcBorders>
              <w:top w:val="nil"/>
              <w:left w:val="single" w:sz="4" w:space="0" w:color="auto"/>
              <w:bottom w:val="single" w:sz="4" w:space="0" w:color="auto"/>
              <w:right w:val="single" w:sz="4" w:space="0" w:color="auto"/>
            </w:tcBorders>
            <w:shd w:val="clear" w:color="000000" w:fill="FFFFFF"/>
            <w:vAlign w:val="center"/>
            <w:hideMark/>
          </w:tcPr>
          <w:p w14:paraId="7966B479" w14:textId="77777777" w:rsidR="00904D9B" w:rsidRPr="00904D9B" w:rsidRDefault="00904D9B" w:rsidP="00904D9B">
            <w:pPr>
              <w:widowControl/>
              <w:autoSpaceDE/>
              <w:autoSpaceDN/>
              <w:adjustRightInd/>
              <w:rPr>
                <w:rFonts w:cs="Calibri"/>
                <w:color w:val="000000"/>
                <w:sz w:val="16"/>
                <w:szCs w:val="16"/>
                <w:lang w:val="lt-LT" w:eastAsia="lt-LT"/>
              </w:rPr>
            </w:pPr>
            <w:r w:rsidRPr="00904D9B">
              <w:rPr>
                <w:rFonts w:cs="Calibri"/>
                <w:color w:val="000000"/>
                <w:sz w:val="16"/>
                <w:szCs w:val="16"/>
                <w:lang w:val="lt-LT" w:eastAsia="lt-LT"/>
              </w:rPr>
              <w:t>Vienkartinės išmokos šeimoms už vaikus, išmokos pensijų ir šalpos išmokų gavėjams</w:t>
            </w:r>
          </w:p>
        </w:tc>
        <w:tc>
          <w:tcPr>
            <w:tcW w:w="1075" w:type="dxa"/>
            <w:tcBorders>
              <w:top w:val="nil"/>
              <w:left w:val="nil"/>
              <w:bottom w:val="single" w:sz="4" w:space="0" w:color="auto"/>
              <w:right w:val="single" w:sz="4" w:space="0" w:color="auto"/>
            </w:tcBorders>
            <w:shd w:val="clear" w:color="000000" w:fill="FFFFFF"/>
            <w:noWrap/>
            <w:vAlign w:val="center"/>
            <w:hideMark/>
          </w:tcPr>
          <w:p w14:paraId="7426901F" w14:textId="77777777" w:rsidR="00904D9B" w:rsidRPr="00904D9B" w:rsidRDefault="00904D9B" w:rsidP="00904D9B">
            <w:pPr>
              <w:widowControl/>
              <w:autoSpaceDE/>
              <w:autoSpaceDN/>
              <w:adjustRightInd/>
              <w:rPr>
                <w:rFonts w:cs="Calibri"/>
                <w:color w:val="000000"/>
                <w:sz w:val="16"/>
                <w:szCs w:val="16"/>
                <w:lang w:val="lt-LT" w:eastAsia="lt-LT"/>
              </w:rPr>
            </w:pPr>
            <w:r w:rsidRPr="00904D9B">
              <w:rPr>
                <w:rFonts w:cs="Calibri"/>
                <w:color w:val="000000"/>
                <w:sz w:val="16"/>
                <w:szCs w:val="16"/>
                <w:lang w:val="lt-LT" w:eastAsia="lt-LT"/>
              </w:rPr>
              <w:t>254</w:t>
            </w:r>
          </w:p>
        </w:tc>
        <w:tc>
          <w:tcPr>
            <w:tcW w:w="584" w:type="dxa"/>
            <w:tcBorders>
              <w:top w:val="nil"/>
              <w:left w:val="nil"/>
              <w:bottom w:val="single" w:sz="4" w:space="0" w:color="auto"/>
              <w:right w:val="single" w:sz="4" w:space="0" w:color="auto"/>
            </w:tcBorders>
            <w:shd w:val="clear" w:color="000000" w:fill="FFFFFF"/>
            <w:noWrap/>
            <w:vAlign w:val="center"/>
            <w:hideMark/>
          </w:tcPr>
          <w:p w14:paraId="0673F35F" w14:textId="77777777" w:rsidR="00904D9B" w:rsidRPr="00904D9B" w:rsidRDefault="00904D9B" w:rsidP="00904D9B">
            <w:pPr>
              <w:widowControl/>
              <w:autoSpaceDE/>
              <w:autoSpaceDN/>
              <w:adjustRightInd/>
              <w:rPr>
                <w:rFonts w:cs="Calibri"/>
                <w:color w:val="000000"/>
                <w:sz w:val="16"/>
                <w:szCs w:val="16"/>
                <w:lang w:val="lt-LT" w:eastAsia="lt-LT"/>
              </w:rPr>
            </w:pPr>
            <w:r w:rsidRPr="00904D9B">
              <w:rPr>
                <w:rFonts w:cs="Calibri"/>
                <w:color w:val="000000"/>
                <w:sz w:val="16"/>
                <w:szCs w:val="16"/>
                <w:lang w:val="lt-LT" w:eastAsia="lt-LT"/>
              </w:rPr>
              <w:t>0,5</w:t>
            </w:r>
          </w:p>
        </w:tc>
        <w:tc>
          <w:tcPr>
            <w:tcW w:w="1036" w:type="dxa"/>
            <w:tcBorders>
              <w:top w:val="nil"/>
              <w:left w:val="nil"/>
              <w:bottom w:val="single" w:sz="4" w:space="0" w:color="auto"/>
              <w:right w:val="single" w:sz="4" w:space="0" w:color="auto"/>
            </w:tcBorders>
            <w:shd w:val="clear" w:color="000000" w:fill="FFFFFF"/>
            <w:noWrap/>
            <w:vAlign w:val="center"/>
            <w:hideMark/>
          </w:tcPr>
          <w:p w14:paraId="294C2B9A" w14:textId="77777777" w:rsidR="00904D9B" w:rsidRPr="00904D9B" w:rsidRDefault="00904D9B" w:rsidP="00904D9B">
            <w:pPr>
              <w:widowControl/>
              <w:autoSpaceDE/>
              <w:autoSpaceDN/>
              <w:adjustRightInd/>
              <w:rPr>
                <w:rFonts w:cs="Calibri"/>
                <w:color w:val="000000"/>
                <w:sz w:val="16"/>
                <w:szCs w:val="16"/>
                <w:lang w:val="lt-LT" w:eastAsia="lt-LT"/>
              </w:rPr>
            </w:pPr>
            <w:r w:rsidRPr="00904D9B">
              <w:rPr>
                <w:rFonts w:cs="Calibri"/>
                <w:color w:val="000000"/>
                <w:sz w:val="16"/>
                <w:szCs w:val="16"/>
                <w:lang w:val="lt-LT" w:eastAsia="lt-LT"/>
              </w:rPr>
              <w:t>127</w:t>
            </w:r>
          </w:p>
        </w:tc>
        <w:tc>
          <w:tcPr>
            <w:tcW w:w="584" w:type="dxa"/>
            <w:tcBorders>
              <w:top w:val="nil"/>
              <w:left w:val="nil"/>
              <w:bottom w:val="single" w:sz="4" w:space="0" w:color="auto"/>
              <w:right w:val="single" w:sz="4" w:space="0" w:color="auto"/>
            </w:tcBorders>
            <w:shd w:val="clear" w:color="000000" w:fill="FFFFFF"/>
            <w:noWrap/>
            <w:vAlign w:val="center"/>
            <w:hideMark/>
          </w:tcPr>
          <w:p w14:paraId="6A316D3D" w14:textId="77777777" w:rsidR="00904D9B" w:rsidRPr="00904D9B" w:rsidRDefault="00904D9B" w:rsidP="00904D9B">
            <w:pPr>
              <w:widowControl/>
              <w:autoSpaceDE/>
              <w:autoSpaceDN/>
              <w:adjustRightInd/>
              <w:rPr>
                <w:rFonts w:cs="Calibri"/>
                <w:color w:val="000000"/>
                <w:sz w:val="16"/>
                <w:szCs w:val="16"/>
                <w:lang w:val="lt-LT" w:eastAsia="lt-LT"/>
              </w:rPr>
            </w:pPr>
            <w:r w:rsidRPr="00904D9B">
              <w:rPr>
                <w:rFonts w:cs="Calibri"/>
                <w:color w:val="000000"/>
                <w:sz w:val="16"/>
                <w:szCs w:val="16"/>
                <w:lang w:val="lt-LT" w:eastAsia="lt-LT"/>
              </w:rPr>
              <w:t>0,3</w:t>
            </w:r>
          </w:p>
        </w:tc>
      </w:tr>
      <w:tr w:rsidR="00904D9B" w:rsidRPr="00904D9B" w14:paraId="7F2B6044" w14:textId="77777777" w:rsidTr="00904D9B">
        <w:trPr>
          <w:trHeight w:val="290"/>
        </w:trPr>
        <w:tc>
          <w:tcPr>
            <w:tcW w:w="5781" w:type="dxa"/>
            <w:tcBorders>
              <w:top w:val="nil"/>
              <w:left w:val="single" w:sz="4" w:space="0" w:color="auto"/>
              <w:bottom w:val="single" w:sz="4" w:space="0" w:color="auto"/>
              <w:right w:val="single" w:sz="4" w:space="0" w:color="auto"/>
            </w:tcBorders>
            <w:shd w:val="clear" w:color="000000" w:fill="FFFFFF"/>
            <w:noWrap/>
            <w:vAlign w:val="center"/>
            <w:hideMark/>
          </w:tcPr>
          <w:p w14:paraId="68D757B8" w14:textId="77777777" w:rsidR="00904D9B" w:rsidRPr="00904D9B" w:rsidRDefault="00904D9B" w:rsidP="00904D9B">
            <w:pPr>
              <w:widowControl/>
              <w:autoSpaceDE/>
              <w:autoSpaceDN/>
              <w:adjustRightInd/>
              <w:rPr>
                <w:rFonts w:cs="Calibri"/>
                <w:color w:val="000000"/>
                <w:sz w:val="16"/>
                <w:szCs w:val="16"/>
                <w:lang w:val="lt-LT" w:eastAsia="lt-LT"/>
              </w:rPr>
            </w:pPr>
            <w:r w:rsidRPr="00904D9B">
              <w:rPr>
                <w:rFonts w:cs="Calibri"/>
                <w:color w:val="000000"/>
                <w:sz w:val="16"/>
                <w:szCs w:val="16"/>
                <w:lang w:val="lt-LT" w:eastAsia="lt-LT"/>
              </w:rPr>
              <w:t>Kompensacijos už nuomą</w:t>
            </w:r>
          </w:p>
        </w:tc>
        <w:tc>
          <w:tcPr>
            <w:tcW w:w="1075" w:type="dxa"/>
            <w:tcBorders>
              <w:top w:val="nil"/>
              <w:left w:val="nil"/>
              <w:bottom w:val="single" w:sz="4" w:space="0" w:color="auto"/>
              <w:right w:val="single" w:sz="4" w:space="0" w:color="auto"/>
            </w:tcBorders>
            <w:shd w:val="clear" w:color="000000" w:fill="FFFFFF"/>
            <w:noWrap/>
            <w:vAlign w:val="center"/>
            <w:hideMark/>
          </w:tcPr>
          <w:p w14:paraId="284D1E2A" w14:textId="77777777" w:rsidR="00904D9B" w:rsidRPr="00904D9B" w:rsidRDefault="00904D9B" w:rsidP="00904D9B">
            <w:pPr>
              <w:widowControl/>
              <w:autoSpaceDE/>
              <w:autoSpaceDN/>
              <w:adjustRightInd/>
              <w:rPr>
                <w:rFonts w:cs="Calibri"/>
                <w:color w:val="000000"/>
                <w:sz w:val="16"/>
                <w:szCs w:val="16"/>
                <w:lang w:val="lt-LT" w:eastAsia="lt-LT"/>
              </w:rPr>
            </w:pPr>
            <w:r w:rsidRPr="00904D9B">
              <w:rPr>
                <w:rFonts w:cs="Calibri"/>
                <w:color w:val="000000"/>
                <w:sz w:val="16"/>
                <w:szCs w:val="16"/>
                <w:lang w:val="lt-LT" w:eastAsia="lt-LT"/>
              </w:rPr>
              <w:t>90</w:t>
            </w:r>
          </w:p>
        </w:tc>
        <w:tc>
          <w:tcPr>
            <w:tcW w:w="584" w:type="dxa"/>
            <w:tcBorders>
              <w:top w:val="nil"/>
              <w:left w:val="nil"/>
              <w:bottom w:val="single" w:sz="4" w:space="0" w:color="auto"/>
              <w:right w:val="single" w:sz="4" w:space="0" w:color="auto"/>
            </w:tcBorders>
            <w:shd w:val="clear" w:color="000000" w:fill="FFFFFF"/>
            <w:noWrap/>
            <w:vAlign w:val="center"/>
            <w:hideMark/>
          </w:tcPr>
          <w:p w14:paraId="318AEF73" w14:textId="77777777" w:rsidR="00904D9B" w:rsidRPr="00904D9B" w:rsidRDefault="00904D9B" w:rsidP="00904D9B">
            <w:pPr>
              <w:widowControl/>
              <w:autoSpaceDE/>
              <w:autoSpaceDN/>
              <w:adjustRightInd/>
              <w:rPr>
                <w:rFonts w:cs="Calibri"/>
                <w:color w:val="000000"/>
                <w:sz w:val="16"/>
                <w:szCs w:val="16"/>
                <w:lang w:val="lt-LT" w:eastAsia="lt-LT"/>
              </w:rPr>
            </w:pPr>
            <w:r w:rsidRPr="00904D9B">
              <w:rPr>
                <w:rFonts w:cs="Calibri"/>
                <w:color w:val="000000"/>
                <w:sz w:val="16"/>
                <w:szCs w:val="16"/>
                <w:lang w:val="lt-LT" w:eastAsia="lt-LT"/>
              </w:rPr>
              <w:t>0,2</w:t>
            </w:r>
          </w:p>
        </w:tc>
        <w:tc>
          <w:tcPr>
            <w:tcW w:w="1036" w:type="dxa"/>
            <w:tcBorders>
              <w:top w:val="nil"/>
              <w:left w:val="nil"/>
              <w:bottom w:val="single" w:sz="4" w:space="0" w:color="auto"/>
              <w:right w:val="single" w:sz="4" w:space="0" w:color="auto"/>
            </w:tcBorders>
            <w:shd w:val="clear" w:color="000000" w:fill="FFFFFF"/>
            <w:noWrap/>
            <w:vAlign w:val="center"/>
            <w:hideMark/>
          </w:tcPr>
          <w:p w14:paraId="3A10DF7A" w14:textId="77777777" w:rsidR="00904D9B" w:rsidRPr="00904D9B" w:rsidRDefault="00904D9B" w:rsidP="00904D9B">
            <w:pPr>
              <w:widowControl/>
              <w:autoSpaceDE/>
              <w:autoSpaceDN/>
              <w:adjustRightInd/>
              <w:rPr>
                <w:rFonts w:cs="Calibri"/>
                <w:color w:val="000000"/>
                <w:sz w:val="16"/>
                <w:szCs w:val="16"/>
                <w:lang w:val="lt-LT" w:eastAsia="lt-LT"/>
              </w:rPr>
            </w:pPr>
            <w:r w:rsidRPr="00904D9B">
              <w:rPr>
                <w:rFonts w:cs="Calibri"/>
                <w:color w:val="000000"/>
                <w:sz w:val="16"/>
                <w:szCs w:val="16"/>
                <w:lang w:val="lt-LT" w:eastAsia="lt-LT"/>
              </w:rPr>
              <w:t>45</w:t>
            </w:r>
          </w:p>
        </w:tc>
        <w:tc>
          <w:tcPr>
            <w:tcW w:w="584" w:type="dxa"/>
            <w:tcBorders>
              <w:top w:val="nil"/>
              <w:left w:val="nil"/>
              <w:bottom w:val="single" w:sz="4" w:space="0" w:color="auto"/>
              <w:right w:val="single" w:sz="4" w:space="0" w:color="auto"/>
            </w:tcBorders>
            <w:shd w:val="clear" w:color="000000" w:fill="FFFFFF"/>
            <w:noWrap/>
            <w:vAlign w:val="center"/>
            <w:hideMark/>
          </w:tcPr>
          <w:p w14:paraId="345A16D9" w14:textId="77777777" w:rsidR="00904D9B" w:rsidRPr="00904D9B" w:rsidRDefault="00904D9B" w:rsidP="00904D9B">
            <w:pPr>
              <w:widowControl/>
              <w:autoSpaceDE/>
              <w:autoSpaceDN/>
              <w:adjustRightInd/>
              <w:rPr>
                <w:rFonts w:cs="Calibri"/>
                <w:color w:val="000000"/>
                <w:sz w:val="16"/>
                <w:szCs w:val="16"/>
                <w:lang w:val="lt-LT" w:eastAsia="lt-LT"/>
              </w:rPr>
            </w:pPr>
            <w:r w:rsidRPr="00904D9B">
              <w:rPr>
                <w:rFonts w:cs="Calibri"/>
                <w:color w:val="000000"/>
                <w:sz w:val="16"/>
                <w:szCs w:val="16"/>
                <w:lang w:val="lt-LT" w:eastAsia="lt-LT"/>
              </w:rPr>
              <w:t>0,1</w:t>
            </w:r>
          </w:p>
        </w:tc>
      </w:tr>
      <w:tr w:rsidR="00904D9B" w:rsidRPr="00904D9B" w14:paraId="28DC8B32" w14:textId="77777777" w:rsidTr="00904D9B">
        <w:trPr>
          <w:trHeight w:val="290"/>
        </w:trPr>
        <w:tc>
          <w:tcPr>
            <w:tcW w:w="5781" w:type="dxa"/>
            <w:tcBorders>
              <w:top w:val="nil"/>
              <w:left w:val="single" w:sz="4" w:space="0" w:color="auto"/>
              <w:bottom w:val="single" w:sz="4" w:space="0" w:color="auto"/>
              <w:right w:val="single" w:sz="4" w:space="0" w:color="auto"/>
            </w:tcBorders>
            <w:shd w:val="clear" w:color="000000" w:fill="FFFFFF"/>
            <w:noWrap/>
            <w:vAlign w:val="center"/>
            <w:hideMark/>
          </w:tcPr>
          <w:p w14:paraId="3E18FDF3" w14:textId="77777777" w:rsidR="00904D9B" w:rsidRPr="00904D9B" w:rsidRDefault="00904D9B" w:rsidP="00904D9B">
            <w:pPr>
              <w:widowControl/>
              <w:autoSpaceDE/>
              <w:autoSpaceDN/>
              <w:adjustRightInd/>
              <w:rPr>
                <w:rFonts w:cs="Calibri"/>
                <w:color w:val="000000"/>
                <w:sz w:val="16"/>
                <w:szCs w:val="16"/>
                <w:lang w:val="lt-LT" w:eastAsia="lt-LT"/>
              </w:rPr>
            </w:pPr>
            <w:r w:rsidRPr="00904D9B">
              <w:rPr>
                <w:rFonts w:cs="Calibri"/>
                <w:color w:val="000000"/>
                <w:sz w:val="16"/>
                <w:szCs w:val="16"/>
                <w:lang w:val="lt-LT" w:eastAsia="lt-LT"/>
              </w:rPr>
              <w:t>Subsidijos mažoms įmonėms</w:t>
            </w:r>
          </w:p>
        </w:tc>
        <w:tc>
          <w:tcPr>
            <w:tcW w:w="1075" w:type="dxa"/>
            <w:tcBorders>
              <w:top w:val="nil"/>
              <w:left w:val="nil"/>
              <w:bottom w:val="single" w:sz="4" w:space="0" w:color="auto"/>
              <w:right w:val="single" w:sz="4" w:space="0" w:color="auto"/>
            </w:tcBorders>
            <w:shd w:val="clear" w:color="000000" w:fill="FFFFFF"/>
            <w:noWrap/>
            <w:vAlign w:val="center"/>
            <w:hideMark/>
          </w:tcPr>
          <w:p w14:paraId="5FD326D2" w14:textId="77777777" w:rsidR="00904D9B" w:rsidRPr="00904D9B" w:rsidRDefault="00904D9B" w:rsidP="00904D9B">
            <w:pPr>
              <w:widowControl/>
              <w:autoSpaceDE/>
              <w:autoSpaceDN/>
              <w:adjustRightInd/>
              <w:rPr>
                <w:rFonts w:cs="Calibri"/>
                <w:color w:val="000000"/>
                <w:sz w:val="16"/>
                <w:szCs w:val="16"/>
                <w:lang w:val="lt-LT" w:eastAsia="lt-LT"/>
              </w:rPr>
            </w:pPr>
            <w:r w:rsidRPr="00904D9B">
              <w:rPr>
                <w:rFonts w:cs="Calibri"/>
                <w:color w:val="000000"/>
                <w:sz w:val="16"/>
                <w:szCs w:val="16"/>
                <w:lang w:val="lt-LT" w:eastAsia="lt-LT"/>
              </w:rPr>
              <w:t>100</w:t>
            </w:r>
          </w:p>
        </w:tc>
        <w:tc>
          <w:tcPr>
            <w:tcW w:w="584" w:type="dxa"/>
            <w:tcBorders>
              <w:top w:val="nil"/>
              <w:left w:val="nil"/>
              <w:bottom w:val="single" w:sz="4" w:space="0" w:color="auto"/>
              <w:right w:val="single" w:sz="4" w:space="0" w:color="auto"/>
            </w:tcBorders>
            <w:shd w:val="clear" w:color="000000" w:fill="FFFFFF"/>
            <w:noWrap/>
            <w:vAlign w:val="center"/>
            <w:hideMark/>
          </w:tcPr>
          <w:p w14:paraId="4285346F" w14:textId="77777777" w:rsidR="00904D9B" w:rsidRPr="00904D9B" w:rsidRDefault="00904D9B" w:rsidP="00904D9B">
            <w:pPr>
              <w:widowControl/>
              <w:autoSpaceDE/>
              <w:autoSpaceDN/>
              <w:adjustRightInd/>
              <w:rPr>
                <w:rFonts w:cs="Calibri"/>
                <w:color w:val="000000"/>
                <w:sz w:val="16"/>
                <w:szCs w:val="16"/>
                <w:lang w:val="lt-LT" w:eastAsia="lt-LT"/>
              </w:rPr>
            </w:pPr>
            <w:r w:rsidRPr="00904D9B">
              <w:rPr>
                <w:rFonts w:cs="Calibri"/>
                <w:color w:val="000000"/>
                <w:sz w:val="16"/>
                <w:szCs w:val="16"/>
                <w:lang w:val="lt-LT" w:eastAsia="lt-LT"/>
              </w:rPr>
              <w:t>0,2</w:t>
            </w:r>
          </w:p>
        </w:tc>
        <w:tc>
          <w:tcPr>
            <w:tcW w:w="1036" w:type="dxa"/>
            <w:tcBorders>
              <w:top w:val="nil"/>
              <w:left w:val="nil"/>
              <w:bottom w:val="single" w:sz="4" w:space="0" w:color="auto"/>
              <w:right w:val="single" w:sz="4" w:space="0" w:color="auto"/>
            </w:tcBorders>
            <w:shd w:val="clear" w:color="000000" w:fill="FFFFFF"/>
            <w:noWrap/>
            <w:vAlign w:val="center"/>
            <w:hideMark/>
          </w:tcPr>
          <w:p w14:paraId="0B39609E" w14:textId="77777777" w:rsidR="00904D9B" w:rsidRPr="00904D9B" w:rsidRDefault="00904D9B" w:rsidP="00904D9B">
            <w:pPr>
              <w:widowControl/>
              <w:autoSpaceDE/>
              <w:autoSpaceDN/>
              <w:adjustRightInd/>
              <w:rPr>
                <w:rFonts w:cs="Calibri"/>
                <w:color w:val="000000"/>
                <w:sz w:val="16"/>
                <w:szCs w:val="16"/>
                <w:lang w:val="lt-LT" w:eastAsia="lt-LT"/>
              </w:rPr>
            </w:pPr>
            <w:r w:rsidRPr="00904D9B">
              <w:rPr>
                <w:rFonts w:cs="Calibri"/>
                <w:color w:val="000000"/>
                <w:sz w:val="16"/>
                <w:szCs w:val="16"/>
                <w:lang w:val="lt-LT" w:eastAsia="lt-LT"/>
              </w:rPr>
              <w:t>50</w:t>
            </w:r>
          </w:p>
        </w:tc>
        <w:tc>
          <w:tcPr>
            <w:tcW w:w="584" w:type="dxa"/>
            <w:tcBorders>
              <w:top w:val="nil"/>
              <w:left w:val="nil"/>
              <w:bottom w:val="single" w:sz="4" w:space="0" w:color="auto"/>
              <w:right w:val="single" w:sz="4" w:space="0" w:color="auto"/>
            </w:tcBorders>
            <w:shd w:val="clear" w:color="000000" w:fill="FFFFFF"/>
            <w:noWrap/>
            <w:vAlign w:val="center"/>
            <w:hideMark/>
          </w:tcPr>
          <w:p w14:paraId="333C3C28" w14:textId="77777777" w:rsidR="00904D9B" w:rsidRPr="00904D9B" w:rsidRDefault="00904D9B" w:rsidP="00904D9B">
            <w:pPr>
              <w:widowControl/>
              <w:autoSpaceDE/>
              <w:autoSpaceDN/>
              <w:adjustRightInd/>
              <w:rPr>
                <w:rFonts w:cs="Calibri"/>
                <w:color w:val="000000"/>
                <w:sz w:val="16"/>
                <w:szCs w:val="16"/>
                <w:lang w:val="lt-LT" w:eastAsia="lt-LT"/>
              </w:rPr>
            </w:pPr>
            <w:r w:rsidRPr="00904D9B">
              <w:rPr>
                <w:rFonts w:cs="Calibri"/>
                <w:color w:val="000000"/>
                <w:sz w:val="16"/>
                <w:szCs w:val="16"/>
                <w:lang w:val="lt-LT" w:eastAsia="lt-LT"/>
              </w:rPr>
              <w:t>0,1</w:t>
            </w:r>
          </w:p>
        </w:tc>
      </w:tr>
      <w:tr w:rsidR="00904D9B" w:rsidRPr="00904D9B" w14:paraId="7D0B119F" w14:textId="77777777" w:rsidTr="00904D9B">
        <w:trPr>
          <w:trHeight w:val="400"/>
        </w:trPr>
        <w:tc>
          <w:tcPr>
            <w:tcW w:w="5781" w:type="dxa"/>
            <w:tcBorders>
              <w:top w:val="nil"/>
              <w:left w:val="single" w:sz="4" w:space="0" w:color="auto"/>
              <w:bottom w:val="single" w:sz="4" w:space="0" w:color="auto"/>
              <w:right w:val="single" w:sz="4" w:space="0" w:color="auto"/>
            </w:tcBorders>
            <w:shd w:val="clear" w:color="000000" w:fill="FFFFFF"/>
            <w:vAlign w:val="center"/>
            <w:hideMark/>
          </w:tcPr>
          <w:p w14:paraId="2FD4CDA3" w14:textId="77777777" w:rsidR="00904D9B" w:rsidRPr="00904D9B" w:rsidRDefault="00904D9B" w:rsidP="00904D9B">
            <w:pPr>
              <w:widowControl/>
              <w:autoSpaceDE/>
              <w:autoSpaceDN/>
              <w:adjustRightInd/>
              <w:rPr>
                <w:rFonts w:cs="Calibri"/>
                <w:color w:val="000000"/>
                <w:sz w:val="16"/>
                <w:szCs w:val="16"/>
                <w:lang w:val="lt-LT" w:eastAsia="lt-LT"/>
              </w:rPr>
            </w:pPr>
            <w:r w:rsidRPr="00904D9B">
              <w:rPr>
                <w:rFonts w:cs="Calibri"/>
                <w:color w:val="000000"/>
                <w:sz w:val="16"/>
                <w:szCs w:val="16"/>
                <w:lang w:val="lt-LT" w:eastAsia="lt-LT"/>
              </w:rPr>
              <w:t>Kitos (išmokos už palūkanas, žemės ūkio sektoriui, didesnė socialinė parama ir kt.)</w:t>
            </w:r>
          </w:p>
        </w:tc>
        <w:tc>
          <w:tcPr>
            <w:tcW w:w="1075" w:type="dxa"/>
            <w:tcBorders>
              <w:top w:val="nil"/>
              <w:left w:val="nil"/>
              <w:bottom w:val="single" w:sz="4" w:space="0" w:color="auto"/>
              <w:right w:val="single" w:sz="4" w:space="0" w:color="auto"/>
            </w:tcBorders>
            <w:shd w:val="clear" w:color="000000" w:fill="FFFFFF"/>
            <w:noWrap/>
            <w:vAlign w:val="center"/>
            <w:hideMark/>
          </w:tcPr>
          <w:p w14:paraId="11E1C334" w14:textId="77777777" w:rsidR="00904D9B" w:rsidRPr="00904D9B" w:rsidRDefault="00904D9B" w:rsidP="00904D9B">
            <w:pPr>
              <w:widowControl/>
              <w:autoSpaceDE/>
              <w:autoSpaceDN/>
              <w:adjustRightInd/>
              <w:rPr>
                <w:rFonts w:cs="Calibri"/>
                <w:color w:val="000000"/>
                <w:sz w:val="16"/>
                <w:szCs w:val="16"/>
                <w:lang w:val="lt-LT" w:eastAsia="lt-LT"/>
              </w:rPr>
            </w:pPr>
            <w:r w:rsidRPr="00904D9B">
              <w:rPr>
                <w:rFonts w:cs="Calibri"/>
                <w:color w:val="000000"/>
                <w:sz w:val="16"/>
                <w:szCs w:val="16"/>
                <w:lang w:val="lt-LT" w:eastAsia="lt-LT"/>
              </w:rPr>
              <w:t>263</w:t>
            </w:r>
          </w:p>
        </w:tc>
        <w:tc>
          <w:tcPr>
            <w:tcW w:w="584" w:type="dxa"/>
            <w:tcBorders>
              <w:top w:val="nil"/>
              <w:left w:val="nil"/>
              <w:bottom w:val="single" w:sz="4" w:space="0" w:color="auto"/>
              <w:right w:val="single" w:sz="4" w:space="0" w:color="auto"/>
            </w:tcBorders>
            <w:shd w:val="clear" w:color="000000" w:fill="FFFFFF"/>
            <w:noWrap/>
            <w:vAlign w:val="center"/>
            <w:hideMark/>
          </w:tcPr>
          <w:p w14:paraId="1D0A6554" w14:textId="77777777" w:rsidR="00904D9B" w:rsidRPr="00904D9B" w:rsidRDefault="00904D9B" w:rsidP="00904D9B">
            <w:pPr>
              <w:widowControl/>
              <w:autoSpaceDE/>
              <w:autoSpaceDN/>
              <w:adjustRightInd/>
              <w:rPr>
                <w:rFonts w:cs="Calibri"/>
                <w:color w:val="000000"/>
                <w:sz w:val="16"/>
                <w:szCs w:val="16"/>
                <w:lang w:val="lt-LT" w:eastAsia="lt-LT"/>
              </w:rPr>
            </w:pPr>
            <w:r w:rsidRPr="00904D9B">
              <w:rPr>
                <w:rFonts w:cs="Calibri"/>
                <w:color w:val="000000"/>
                <w:sz w:val="16"/>
                <w:szCs w:val="16"/>
                <w:lang w:val="lt-LT" w:eastAsia="lt-LT"/>
              </w:rPr>
              <w:t>0,5</w:t>
            </w:r>
          </w:p>
        </w:tc>
        <w:tc>
          <w:tcPr>
            <w:tcW w:w="1036" w:type="dxa"/>
            <w:tcBorders>
              <w:top w:val="nil"/>
              <w:left w:val="nil"/>
              <w:bottom w:val="single" w:sz="4" w:space="0" w:color="auto"/>
              <w:right w:val="single" w:sz="4" w:space="0" w:color="auto"/>
            </w:tcBorders>
            <w:shd w:val="clear" w:color="000000" w:fill="FFFFFF"/>
            <w:noWrap/>
            <w:vAlign w:val="center"/>
            <w:hideMark/>
          </w:tcPr>
          <w:p w14:paraId="32DE0D46" w14:textId="77777777" w:rsidR="00904D9B" w:rsidRPr="00904D9B" w:rsidRDefault="00904D9B" w:rsidP="00904D9B">
            <w:pPr>
              <w:widowControl/>
              <w:autoSpaceDE/>
              <w:autoSpaceDN/>
              <w:adjustRightInd/>
              <w:rPr>
                <w:rFonts w:cs="Calibri"/>
                <w:color w:val="000000"/>
                <w:sz w:val="16"/>
                <w:szCs w:val="16"/>
                <w:lang w:val="lt-LT" w:eastAsia="lt-LT"/>
              </w:rPr>
            </w:pPr>
            <w:r w:rsidRPr="00904D9B">
              <w:rPr>
                <w:rFonts w:cs="Calibri"/>
                <w:color w:val="000000"/>
                <w:sz w:val="16"/>
                <w:szCs w:val="16"/>
                <w:lang w:val="lt-LT" w:eastAsia="lt-LT"/>
              </w:rPr>
              <w:t>132</w:t>
            </w:r>
          </w:p>
        </w:tc>
        <w:tc>
          <w:tcPr>
            <w:tcW w:w="584" w:type="dxa"/>
            <w:tcBorders>
              <w:top w:val="nil"/>
              <w:left w:val="nil"/>
              <w:bottom w:val="single" w:sz="4" w:space="0" w:color="auto"/>
              <w:right w:val="single" w:sz="4" w:space="0" w:color="auto"/>
            </w:tcBorders>
            <w:shd w:val="clear" w:color="000000" w:fill="FFFFFF"/>
            <w:noWrap/>
            <w:vAlign w:val="center"/>
            <w:hideMark/>
          </w:tcPr>
          <w:p w14:paraId="0BB01465" w14:textId="77777777" w:rsidR="00904D9B" w:rsidRPr="00904D9B" w:rsidRDefault="00904D9B" w:rsidP="00904D9B">
            <w:pPr>
              <w:widowControl/>
              <w:autoSpaceDE/>
              <w:autoSpaceDN/>
              <w:adjustRightInd/>
              <w:rPr>
                <w:rFonts w:cs="Calibri"/>
                <w:color w:val="000000"/>
                <w:sz w:val="16"/>
                <w:szCs w:val="16"/>
                <w:lang w:val="lt-LT" w:eastAsia="lt-LT"/>
              </w:rPr>
            </w:pPr>
            <w:r w:rsidRPr="00904D9B">
              <w:rPr>
                <w:rFonts w:cs="Calibri"/>
                <w:color w:val="000000"/>
                <w:sz w:val="16"/>
                <w:szCs w:val="16"/>
                <w:lang w:val="lt-LT" w:eastAsia="lt-LT"/>
              </w:rPr>
              <w:t>0,3</w:t>
            </w:r>
          </w:p>
        </w:tc>
      </w:tr>
      <w:tr w:rsidR="00904D9B" w:rsidRPr="00904D9B" w14:paraId="50D1C89E" w14:textId="77777777" w:rsidTr="00904D9B">
        <w:trPr>
          <w:trHeight w:val="290"/>
        </w:trPr>
        <w:tc>
          <w:tcPr>
            <w:tcW w:w="5781" w:type="dxa"/>
            <w:tcBorders>
              <w:top w:val="nil"/>
              <w:left w:val="single" w:sz="4" w:space="0" w:color="auto"/>
              <w:bottom w:val="single" w:sz="4" w:space="0" w:color="auto"/>
              <w:right w:val="single" w:sz="4" w:space="0" w:color="auto"/>
            </w:tcBorders>
            <w:shd w:val="clear" w:color="000000" w:fill="FFFFFF"/>
            <w:noWrap/>
            <w:vAlign w:val="center"/>
            <w:hideMark/>
          </w:tcPr>
          <w:p w14:paraId="2CB0040A" w14:textId="77777777" w:rsidR="00904D9B" w:rsidRPr="00904D9B" w:rsidRDefault="00904D9B" w:rsidP="003172E1">
            <w:pPr>
              <w:widowControl/>
              <w:autoSpaceDE/>
              <w:autoSpaceDN/>
              <w:adjustRightInd/>
              <w:rPr>
                <w:rFonts w:cs="Calibri"/>
                <w:b/>
                <w:bCs/>
                <w:color w:val="000000"/>
                <w:sz w:val="16"/>
                <w:szCs w:val="16"/>
                <w:lang w:val="lt-LT" w:eastAsia="lt-LT"/>
              </w:rPr>
            </w:pPr>
            <w:r>
              <w:rPr>
                <w:rFonts w:cs="Calibri"/>
                <w:b/>
                <w:bCs/>
                <w:color w:val="000000"/>
                <w:sz w:val="16"/>
                <w:szCs w:val="16"/>
                <w:lang w:val="lt-LT" w:eastAsia="lt-LT"/>
              </w:rPr>
              <w:t>I</w:t>
            </w:r>
            <w:r w:rsidRPr="00904D9B">
              <w:rPr>
                <w:rFonts w:cs="Calibri"/>
                <w:b/>
                <w:bCs/>
                <w:color w:val="000000"/>
                <w:sz w:val="16"/>
                <w:szCs w:val="16"/>
                <w:lang w:val="lt-LT" w:eastAsia="lt-LT"/>
              </w:rPr>
              <w:t>š viso</w:t>
            </w:r>
          </w:p>
        </w:tc>
        <w:tc>
          <w:tcPr>
            <w:tcW w:w="1075" w:type="dxa"/>
            <w:tcBorders>
              <w:top w:val="nil"/>
              <w:left w:val="nil"/>
              <w:bottom w:val="single" w:sz="4" w:space="0" w:color="auto"/>
              <w:right w:val="single" w:sz="4" w:space="0" w:color="auto"/>
            </w:tcBorders>
            <w:shd w:val="clear" w:color="000000" w:fill="FFFFFF"/>
            <w:noWrap/>
            <w:vAlign w:val="center"/>
            <w:hideMark/>
          </w:tcPr>
          <w:p w14:paraId="7797B019" w14:textId="77777777" w:rsidR="00904D9B" w:rsidRPr="00904D9B" w:rsidRDefault="00904D9B" w:rsidP="00904D9B">
            <w:pPr>
              <w:widowControl/>
              <w:autoSpaceDE/>
              <w:autoSpaceDN/>
              <w:adjustRightInd/>
              <w:rPr>
                <w:rFonts w:cs="Calibri"/>
                <w:b/>
                <w:bCs/>
                <w:color w:val="000000"/>
                <w:sz w:val="16"/>
                <w:szCs w:val="16"/>
                <w:lang w:val="lt-LT" w:eastAsia="lt-LT"/>
              </w:rPr>
            </w:pPr>
            <w:r w:rsidRPr="00904D9B">
              <w:rPr>
                <w:rFonts w:cs="Calibri"/>
                <w:b/>
                <w:bCs/>
                <w:color w:val="000000"/>
                <w:sz w:val="16"/>
                <w:szCs w:val="16"/>
                <w:lang w:val="lt-LT" w:eastAsia="lt-LT"/>
              </w:rPr>
              <w:t>1</w:t>
            </w:r>
            <w:r w:rsidR="003172E1">
              <w:rPr>
                <w:rFonts w:cs="Calibri"/>
                <w:b/>
                <w:bCs/>
                <w:color w:val="000000"/>
                <w:sz w:val="16"/>
                <w:szCs w:val="16"/>
                <w:lang w:val="lt-LT" w:eastAsia="lt-LT"/>
              </w:rPr>
              <w:t> </w:t>
            </w:r>
            <w:r w:rsidRPr="00904D9B">
              <w:rPr>
                <w:rFonts w:cs="Calibri"/>
                <w:b/>
                <w:bCs/>
                <w:color w:val="000000"/>
                <w:sz w:val="16"/>
                <w:szCs w:val="16"/>
                <w:lang w:val="lt-LT" w:eastAsia="lt-LT"/>
              </w:rPr>
              <w:t>374</w:t>
            </w:r>
          </w:p>
        </w:tc>
        <w:tc>
          <w:tcPr>
            <w:tcW w:w="584" w:type="dxa"/>
            <w:tcBorders>
              <w:top w:val="nil"/>
              <w:left w:val="nil"/>
              <w:bottom w:val="single" w:sz="4" w:space="0" w:color="auto"/>
              <w:right w:val="single" w:sz="4" w:space="0" w:color="auto"/>
            </w:tcBorders>
            <w:shd w:val="clear" w:color="000000" w:fill="FFFFFF"/>
            <w:noWrap/>
            <w:vAlign w:val="center"/>
            <w:hideMark/>
          </w:tcPr>
          <w:p w14:paraId="114B9F54" w14:textId="77777777" w:rsidR="00904D9B" w:rsidRPr="00904D9B" w:rsidRDefault="00904D9B" w:rsidP="00904D9B">
            <w:pPr>
              <w:widowControl/>
              <w:autoSpaceDE/>
              <w:autoSpaceDN/>
              <w:adjustRightInd/>
              <w:rPr>
                <w:rFonts w:cs="Calibri"/>
                <w:b/>
                <w:bCs/>
                <w:color w:val="000000"/>
                <w:sz w:val="16"/>
                <w:szCs w:val="16"/>
                <w:lang w:val="lt-LT" w:eastAsia="lt-LT"/>
              </w:rPr>
            </w:pPr>
            <w:r w:rsidRPr="00904D9B">
              <w:rPr>
                <w:rFonts w:cs="Calibri"/>
                <w:b/>
                <w:bCs/>
                <w:color w:val="000000"/>
                <w:sz w:val="16"/>
                <w:szCs w:val="16"/>
                <w:lang w:val="lt-LT" w:eastAsia="lt-LT"/>
              </w:rPr>
              <w:t>2,7</w:t>
            </w:r>
          </w:p>
        </w:tc>
        <w:tc>
          <w:tcPr>
            <w:tcW w:w="1036" w:type="dxa"/>
            <w:tcBorders>
              <w:top w:val="nil"/>
              <w:left w:val="nil"/>
              <w:bottom w:val="single" w:sz="4" w:space="0" w:color="auto"/>
              <w:right w:val="single" w:sz="4" w:space="0" w:color="auto"/>
            </w:tcBorders>
            <w:shd w:val="clear" w:color="000000" w:fill="FFFFFF"/>
            <w:noWrap/>
            <w:vAlign w:val="center"/>
            <w:hideMark/>
          </w:tcPr>
          <w:p w14:paraId="1D2C10E4" w14:textId="77777777" w:rsidR="00904D9B" w:rsidRPr="00904D9B" w:rsidRDefault="00904D9B" w:rsidP="00904D9B">
            <w:pPr>
              <w:widowControl/>
              <w:autoSpaceDE/>
              <w:autoSpaceDN/>
              <w:adjustRightInd/>
              <w:rPr>
                <w:rFonts w:cs="Calibri"/>
                <w:b/>
                <w:bCs/>
                <w:color w:val="000000"/>
                <w:sz w:val="16"/>
                <w:szCs w:val="16"/>
                <w:lang w:val="lt-LT" w:eastAsia="lt-LT"/>
              </w:rPr>
            </w:pPr>
            <w:r w:rsidRPr="00904D9B">
              <w:rPr>
                <w:rFonts w:cs="Calibri"/>
                <w:b/>
                <w:bCs/>
                <w:color w:val="000000"/>
                <w:sz w:val="16"/>
                <w:szCs w:val="16"/>
                <w:lang w:val="lt-LT" w:eastAsia="lt-LT"/>
              </w:rPr>
              <w:t>687</w:t>
            </w:r>
          </w:p>
        </w:tc>
        <w:tc>
          <w:tcPr>
            <w:tcW w:w="584" w:type="dxa"/>
            <w:tcBorders>
              <w:top w:val="nil"/>
              <w:left w:val="nil"/>
              <w:bottom w:val="single" w:sz="4" w:space="0" w:color="auto"/>
              <w:right w:val="single" w:sz="4" w:space="0" w:color="auto"/>
            </w:tcBorders>
            <w:shd w:val="clear" w:color="000000" w:fill="FFFFFF"/>
            <w:noWrap/>
            <w:vAlign w:val="center"/>
            <w:hideMark/>
          </w:tcPr>
          <w:p w14:paraId="3E90B739" w14:textId="77777777" w:rsidR="00904D9B" w:rsidRPr="00904D9B" w:rsidRDefault="00904D9B" w:rsidP="00904D9B">
            <w:pPr>
              <w:widowControl/>
              <w:autoSpaceDE/>
              <w:autoSpaceDN/>
              <w:adjustRightInd/>
              <w:rPr>
                <w:rFonts w:cs="Calibri"/>
                <w:b/>
                <w:bCs/>
                <w:color w:val="000000"/>
                <w:sz w:val="16"/>
                <w:szCs w:val="16"/>
                <w:lang w:val="lt-LT" w:eastAsia="lt-LT"/>
              </w:rPr>
            </w:pPr>
            <w:r w:rsidRPr="00904D9B">
              <w:rPr>
                <w:rFonts w:cs="Calibri"/>
                <w:b/>
                <w:bCs/>
                <w:color w:val="000000"/>
                <w:sz w:val="16"/>
                <w:szCs w:val="16"/>
                <w:lang w:val="lt-LT" w:eastAsia="lt-LT"/>
              </w:rPr>
              <w:t>1,4</w:t>
            </w:r>
          </w:p>
        </w:tc>
      </w:tr>
      <w:tr w:rsidR="00904D9B" w:rsidRPr="00904D9B" w14:paraId="076EC197" w14:textId="77777777" w:rsidTr="00904D9B">
        <w:trPr>
          <w:trHeight w:val="290"/>
        </w:trPr>
        <w:tc>
          <w:tcPr>
            <w:tcW w:w="5781" w:type="dxa"/>
            <w:tcBorders>
              <w:top w:val="nil"/>
              <w:left w:val="nil"/>
              <w:bottom w:val="nil"/>
              <w:right w:val="nil"/>
            </w:tcBorders>
            <w:shd w:val="clear" w:color="000000" w:fill="FFFFFF"/>
            <w:noWrap/>
            <w:vAlign w:val="bottom"/>
            <w:hideMark/>
          </w:tcPr>
          <w:p w14:paraId="1B0A371C" w14:textId="77777777" w:rsidR="00904D9B" w:rsidRPr="00904D9B" w:rsidRDefault="00904D9B" w:rsidP="00904D9B">
            <w:pPr>
              <w:widowControl/>
              <w:autoSpaceDE/>
              <w:autoSpaceDN/>
              <w:adjustRightInd/>
              <w:rPr>
                <w:rFonts w:cs="Calibri"/>
                <w:i/>
                <w:iCs/>
                <w:color w:val="000000"/>
                <w:sz w:val="16"/>
                <w:szCs w:val="16"/>
                <w:lang w:val="lt-LT" w:eastAsia="lt-LT"/>
              </w:rPr>
            </w:pPr>
            <w:r w:rsidRPr="00904D9B">
              <w:rPr>
                <w:rFonts w:cs="Calibri"/>
                <w:i/>
                <w:iCs/>
                <w:color w:val="000000"/>
                <w:sz w:val="16"/>
                <w:szCs w:val="16"/>
                <w:lang w:val="lt-LT" w:eastAsia="lt-LT"/>
              </w:rPr>
              <w:t>Šaltinis: 2021 m. Lietuvos biudžeto projektas.</w:t>
            </w:r>
          </w:p>
        </w:tc>
        <w:tc>
          <w:tcPr>
            <w:tcW w:w="1075" w:type="dxa"/>
            <w:tcBorders>
              <w:top w:val="nil"/>
              <w:left w:val="nil"/>
              <w:bottom w:val="nil"/>
              <w:right w:val="nil"/>
            </w:tcBorders>
            <w:shd w:val="clear" w:color="000000" w:fill="FFFFFF"/>
            <w:noWrap/>
            <w:vAlign w:val="bottom"/>
            <w:hideMark/>
          </w:tcPr>
          <w:p w14:paraId="71F0DB40" w14:textId="77777777" w:rsidR="00904D9B" w:rsidRPr="00904D9B" w:rsidRDefault="00904D9B" w:rsidP="00904D9B">
            <w:pPr>
              <w:widowControl/>
              <w:autoSpaceDE/>
              <w:autoSpaceDN/>
              <w:adjustRightInd/>
              <w:rPr>
                <w:rFonts w:cs="Calibri"/>
                <w:color w:val="000000"/>
                <w:sz w:val="16"/>
                <w:szCs w:val="16"/>
                <w:lang w:val="lt-LT" w:eastAsia="lt-LT"/>
              </w:rPr>
            </w:pPr>
            <w:r w:rsidRPr="00904D9B">
              <w:rPr>
                <w:rFonts w:cs="Calibri"/>
                <w:color w:val="000000"/>
                <w:sz w:val="16"/>
                <w:szCs w:val="16"/>
                <w:lang w:val="lt-LT" w:eastAsia="lt-LT"/>
              </w:rPr>
              <w:t> </w:t>
            </w:r>
          </w:p>
        </w:tc>
        <w:tc>
          <w:tcPr>
            <w:tcW w:w="584" w:type="dxa"/>
            <w:tcBorders>
              <w:top w:val="nil"/>
              <w:left w:val="nil"/>
              <w:bottom w:val="nil"/>
              <w:right w:val="nil"/>
            </w:tcBorders>
            <w:shd w:val="clear" w:color="000000" w:fill="FFFFFF"/>
            <w:noWrap/>
            <w:vAlign w:val="bottom"/>
            <w:hideMark/>
          </w:tcPr>
          <w:p w14:paraId="40181B4A" w14:textId="77777777" w:rsidR="00904D9B" w:rsidRPr="00904D9B" w:rsidRDefault="00904D9B" w:rsidP="00904D9B">
            <w:pPr>
              <w:widowControl/>
              <w:autoSpaceDE/>
              <w:autoSpaceDN/>
              <w:adjustRightInd/>
              <w:rPr>
                <w:rFonts w:cs="Calibri"/>
                <w:color w:val="000000"/>
                <w:sz w:val="16"/>
                <w:szCs w:val="16"/>
                <w:lang w:val="lt-LT" w:eastAsia="lt-LT"/>
              </w:rPr>
            </w:pPr>
            <w:r w:rsidRPr="00904D9B">
              <w:rPr>
                <w:rFonts w:cs="Calibri"/>
                <w:color w:val="000000"/>
                <w:sz w:val="16"/>
                <w:szCs w:val="16"/>
                <w:lang w:val="lt-LT" w:eastAsia="lt-LT"/>
              </w:rPr>
              <w:t> </w:t>
            </w:r>
          </w:p>
        </w:tc>
        <w:tc>
          <w:tcPr>
            <w:tcW w:w="1036" w:type="dxa"/>
            <w:tcBorders>
              <w:top w:val="nil"/>
              <w:left w:val="nil"/>
              <w:bottom w:val="nil"/>
              <w:right w:val="nil"/>
            </w:tcBorders>
            <w:shd w:val="clear" w:color="000000" w:fill="FFFFFF"/>
            <w:noWrap/>
            <w:vAlign w:val="bottom"/>
            <w:hideMark/>
          </w:tcPr>
          <w:p w14:paraId="77DBB53B" w14:textId="77777777" w:rsidR="00904D9B" w:rsidRPr="00904D9B" w:rsidRDefault="00904D9B" w:rsidP="00904D9B">
            <w:pPr>
              <w:widowControl/>
              <w:autoSpaceDE/>
              <w:autoSpaceDN/>
              <w:adjustRightInd/>
              <w:rPr>
                <w:rFonts w:cs="Calibri"/>
                <w:color w:val="000000"/>
                <w:sz w:val="16"/>
                <w:szCs w:val="16"/>
                <w:lang w:val="lt-LT" w:eastAsia="lt-LT"/>
              </w:rPr>
            </w:pPr>
            <w:r w:rsidRPr="00904D9B">
              <w:rPr>
                <w:rFonts w:cs="Calibri"/>
                <w:color w:val="000000"/>
                <w:sz w:val="16"/>
                <w:szCs w:val="16"/>
                <w:lang w:val="lt-LT" w:eastAsia="lt-LT"/>
              </w:rPr>
              <w:t> </w:t>
            </w:r>
          </w:p>
        </w:tc>
        <w:tc>
          <w:tcPr>
            <w:tcW w:w="584" w:type="dxa"/>
            <w:tcBorders>
              <w:top w:val="nil"/>
              <w:left w:val="nil"/>
              <w:bottom w:val="nil"/>
              <w:right w:val="nil"/>
            </w:tcBorders>
            <w:shd w:val="clear" w:color="000000" w:fill="FFFFFF"/>
            <w:noWrap/>
            <w:vAlign w:val="bottom"/>
            <w:hideMark/>
          </w:tcPr>
          <w:p w14:paraId="42C47FFC" w14:textId="77777777" w:rsidR="00904D9B" w:rsidRPr="00904D9B" w:rsidRDefault="00904D9B" w:rsidP="00904D9B">
            <w:pPr>
              <w:widowControl/>
              <w:autoSpaceDE/>
              <w:autoSpaceDN/>
              <w:adjustRightInd/>
              <w:rPr>
                <w:rFonts w:cs="Calibri"/>
                <w:color w:val="000000"/>
                <w:sz w:val="16"/>
                <w:szCs w:val="16"/>
                <w:lang w:val="lt-LT" w:eastAsia="lt-LT"/>
              </w:rPr>
            </w:pPr>
            <w:r w:rsidRPr="00904D9B">
              <w:rPr>
                <w:rFonts w:cs="Calibri"/>
                <w:color w:val="000000"/>
                <w:sz w:val="16"/>
                <w:szCs w:val="16"/>
                <w:lang w:val="lt-LT" w:eastAsia="lt-LT"/>
              </w:rPr>
              <w:t> </w:t>
            </w:r>
          </w:p>
        </w:tc>
      </w:tr>
      <w:tr w:rsidR="00904D9B" w:rsidRPr="00904D9B" w14:paraId="6AB22441" w14:textId="77777777" w:rsidTr="00904D9B">
        <w:trPr>
          <w:trHeight w:val="290"/>
        </w:trPr>
        <w:tc>
          <w:tcPr>
            <w:tcW w:w="5781" w:type="dxa"/>
            <w:tcBorders>
              <w:top w:val="nil"/>
              <w:left w:val="nil"/>
              <w:bottom w:val="nil"/>
              <w:right w:val="nil"/>
            </w:tcBorders>
            <w:shd w:val="clear" w:color="000000" w:fill="FFFFFF"/>
            <w:noWrap/>
            <w:vAlign w:val="bottom"/>
            <w:hideMark/>
          </w:tcPr>
          <w:p w14:paraId="3F056591" w14:textId="77777777" w:rsidR="00904D9B" w:rsidRPr="00904D9B" w:rsidRDefault="00904D9B" w:rsidP="00904D9B">
            <w:pPr>
              <w:widowControl/>
              <w:autoSpaceDE/>
              <w:autoSpaceDN/>
              <w:adjustRightInd/>
              <w:rPr>
                <w:rFonts w:cs="Calibri"/>
                <w:i/>
                <w:iCs/>
                <w:color w:val="000000"/>
                <w:sz w:val="16"/>
                <w:szCs w:val="16"/>
                <w:lang w:val="lt-LT" w:eastAsia="lt-LT"/>
              </w:rPr>
            </w:pPr>
            <w:r w:rsidRPr="00904D9B">
              <w:rPr>
                <w:rFonts w:cs="Calibri"/>
                <w:i/>
                <w:iCs/>
                <w:color w:val="000000"/>
                <w:sz w:val="16"/>
                <w:szCs w:val="16"/>
                <w:lang w:val="lt-LT" w:eastAsia="lt-LT"/>
              </w:rPr>
              <w:t>* Patikslinta pagal tikėtiną įvykdymą.</w:t>
            </w:r>
          </w:p>
        </w:tc>
        <w:tc>
          <w:tcPr>
            <w:tcW w:w="1075" w:type="dxa"/>
            <w:tcBorders>
              <w:top w:val="nil"/>
              <w:left w:val="nil"/>
              <w:bottom w:val="nil"/>
              <w:right w:val="nil"/>
            </w:tcBorders>
            <w:shd w:val="clear" w:color="000000" w:fill="FFFFFF"/>
            <w:noWrap/>
            <w:vAlign w:val="bottom"/>
            <w:hideMark/>
          </w:tcPr>
          <w:p w14:paraId="4D164FDB" w14:textId="77777777" w:rsidR="00904D9B" w:rsidRPr="00904D9B" w:rsidRDefault="00904D9B" w:rsidP="00904D9B">
            <w:pPr>
              <w:widowControl/>
              <w:autoSpaceDE/>
              <w:autoSpaceDN/>
              <w:adjustRightInd/>
              <w:rPr>
                <w:rFonts w:cs="Calibri"/>
                <w:color w:val="000000"/>
                <w:sz w:val="16"/>
                <w:szCs w:val="16"/>
                <w:lang w:val="lt-LT" w:eastAsia="lt-LT"/>
              </w:rPr>
            </w:pPr>
            <w:r w:rsidRPr="00904D9B">
              <w:rPr>
                <w:rFonts w:cs="Calibri"/>
                <w:color w:val="000000"/>
                <w:sz w:val="16"/>
                <w:szCs w:val="16"/>
                <w:lang w:val="lt-LT" w:eastAsia="lt-LT"/>
              </w:rPr>
              <w:t> </w:t>
            </w:r>
          </w:p>
        </w:tc>
        <w:tc>
          <w:tcPr>
            <w:tcW w:w="584" w:type="dxa"/>
            <w:tcBorders>
              <w:top w:val="nil"/>
              <w:left w:val="nil"/>
              <w:bottom w:val="nil"/>
              <w:right w:val="nil"/>
            </w:tcBorders>
            <w:shd w:val="clear" w:color="000000" w:fill="FFFFFF"/>
            <w:noWrap/>
            <w:vAlign w:val="bottom"/>
            <w:hideMark/>
          </w:tcPr>
          <w:p w14:paraId="6C0258C7" w14:textId="77777777" w:rsidR="00904D9B" w:rsidRPr="00904D9B" w:rsidRDefault="00904D9B" w:rsidP="00904D9B">
            <w:pPr>
              <w:widowControl/>
              <w:autoSpaceDE/>
              <w:autoSpaceDN/>
              <w:adjustRightInd/>
              <w:rPr>
                <w:rFonts w:cs="Calibri"/>
                <w:color w:val="000000"/>
                <w:sz w:val="16"/>
                <w:szCs w:val="16"/>
                <w:lang w:val="lt-LT" w:eastAsia="lt-LT"/>
              </w:rPr>
            </w:pPr>
            <w:r w:rsidRPr="00904D9B">
              <w:rPr>
                <w:rFonts w:cs="Calibri"/>
                <w:color w:val="000000"/>
                <w:sz w:val="16"/>
                <w:szCs w:val="16"/>
                <w:lang w:val="lt-LT" w:eastAsia="lt-LT"/>
              </w:rPr>
              <w:t> </w:t>
            </w:r>
          </w:p>
        </w:tc>
        <w:tc>
          <w:tcPr>
            <w:tcW w:w="1036" w:type="dxa"/>
            <w:tcBorders>
              <w:top w:val="nil"/>
              <w:left w:val="nil"/>
              <w:bottom w:val="nil"/>
              <w:right w:val="nil"/>
            </w:tcBorders>
            <w:shd w:val="clear" w:color="000000" w:fill="FFFFFF"/>
            <w:noWrap/>
            <w:vAlign w:val="bottom"/>
            <w:hideMark/>
          </w:tcPr>
          <w:p w14:paraId="3114AA6D" w14:textId="77777777" w:rsidR="00904D9B" w:rsidRPr="00904D9B" w:rsidRDefault="00904D9B" w:rsidP="00904D9B">
            <w:pPr>
              <w:widowControl/>
              <w:autoSpaceDE/>
              <w:autoSpaceDN/>
              <w:adjustRightInd/>
              <w:rPr>
                <w:rFonts w:cs="Calibri"/>
                <w:color w:val="000000"/>
                <w:sz w:val="16"/>
                <w:szCs w:val="16"/>
                <w:lang w:val="lt-LT" w:eastAsia="lt-LT"/>
              </w:rPr>
            </w:pPr>
            <w:r w:rsidRPr="00904D9B">
              <w:rPr>
                <w:rFonts w:cs="Calibri"/>
                <w:color w:val="000000"/>
                <w:sz w:val="16"/>
                <w:szCs w:val="16"/>
                <w:lang w:val="lt-LT" w:eastAsia="lt-LT"/>
              </w:rPr>
              <w:t> </w:t>
            </w:r>
          </w:p>
        </w:tc>
        <w:tc>
          <w:tcPr>
            <w:tcW w:w="584" w:type="dxa"/>
            <w:tcBorders>
              <w:top w:val="nil"/>
              <w:left w:val="nil"/>
              <w:bottom w:val="nil"/>
              <w:right w:val="nil"/>
            </w:tcBorders>
            <w:shd w:val="clear" w:color="000000" w:fill="FFFFFF"/>
            <w:noWrap/>
            <w:vAlign w:val="bottom"/>
            <w:hideMark/>
          </w:tcPr>
          <w:p w14:paraId="00DAF33D" w14:textId="77777777" w:rsidR="00904D9B" w:rsidRPr="00904D9B" w:rsidRDefault="00904D9B" w:rsidP="00904D9B">
            <w:pPr>
              <w:widowControl/>
              <w:autoSpaceDE/>
              <w:autoSpaceDN/>
              <w:adjustRightInd/>
              <w:rPr>
                <w:rFonts w:cs="Calibri"/>
                <w:color w:val="000000"/>
                <w:sz w:val="16"/>
                <w:szCs w:val="16"/>
                <w:lang w:val="lt-LT" w:eastAsia="lt-LT"/>
              </w:rPr>
            </w:pPr>
            <w:r w:rsidRPr="00904D9B">
              <w:rPr>
                <w:rFonts w:cs="Calibri"/>
                <w:color w:val="000000"/>
                <w:sz w:val="16"/>
                <w:szCs w:val="16"/>
                <w:lang w:val="lt-LT" w:eastAsia="lt-LT"/>
              </w:rPr>
              <w:t> </w:t>
            </w:r>
          </w:p>
        </w:tc>
      </w:tr>
    </w:tbl>
    <w:p w14:paraId="4F25BB30" w14:textId="77777777" w:rsidR="003C6EEB" w:rsidRPr="007318AA" w:rsidRDefault="003C6EEB" w:rsidP="00527E64">
      <w:pPr>
        <w:ind w:firstLine="709"/>
        <w:jc w:val="both"/>
      </w:pPr>
    </w:p>
    <w:p w14:paraId="758B031D" w14:textId="77777777" w:rsidR="00D31F7D" w:rsidRDefault="007D64D3" w:rsidP="00B83275">
      <w:pPr>
        <w:ind w:firstLine="709"/>
        <w:jc w:val="both"/>
        <w:rPr>
          <w:lang w:val="lt-LT"/>
        </w:rPr>
      </w:pPr>
      <w:r w:rsidRPr="007D64D3">
        <w:rPr>
          <w:b/>
          <w:bCs/>
          <w:lang w:val="lt-LT"/>
        </w:rPr>
        <w:t>Lietuvos banko vertinimu</w:t>
      </w:r>
      <w:r w:rsidR="00714CB6">
        <w:rPr>
          <w:b/>
          <w:bCs/>
          <w:lang w:val="lt-LT"/>
        </w:rPr>
        <w:t>,</w:t>
      </w:r>
      <w:r w:rsidRPr="007D64D3">
        <w:rPr>
          <w:b/>
          <w:bCs/>
          <w:lang w:val="lt-LT"/>
        </w:rPr>
        <w:t xml:space="preserve"> </w:t>
      </w:r>
      <w:r w:rsidR="00CE7A76" w:rsidRPr="007D64D3">
        <w:rPr>
          <w:b/>
          <w:bCs/>
          <w:lang w:val="lt-LT"/>
        </w:rPr>
        <w:t xml:space="preserve">yra rizikų </w:t>
      </w:r>
      <w:r w:rsidRPr="007D64D3">
        <w:rPr>
          <w:b/>
          <w:bCs/>
          <w:lang w:val="lt-LT"/>
        </w:rPr>
        <w:t>dėl skolintų lėšų panaudojimo</w:t>
      </w:r>
      <w:r w:rsidR="00CE7A76" w:rsidRPr="00CE7A76">
        <w:rPr>
          <w:b/>
          <w:bCs/>
          <w:lang w:val="lt-LT"/>
        </w:rPr>
        <w:t xml:space="preserve"> </w:t>
      </w:r>
      <w:r w:rsidR="00CE7A76" w:rsidRPr="007D64D3">
        <w:rPr>
          <w:b/>
          <w:bCs/>
          <w:lang w:val="lt-LT"/>
        </w:rPr>
        <w:t>efektyvumo</w:t>
      </w:r>
      <w:r w:rsidRPr="007D64D3">
        <w:rPr>
          <w:b/>
          <w:bCs/>
          <w:lang w:val="lt-LT"/>
        </w:rPr>
        <w:t xml:space="preserve">, ypač susijusių su </w:t>
      </w:r>
      <w:r w:rsidR="003A6233">
        <w:rPr>
          <w:b/>
          <w:bCs/>
          <w:lang w:val="lt-LT"/>
        </w:rPr>
        <w:t>A</w:t>
      </w:r>
      <w:r w:rsidRPr="007D64D3">
        <w:rPr>
          <w:b/>
          <w:bCs/>
          <w:lang w:val="lt-LT"/>
        </w:rPr>
        <w:t>teities ekonomikos DNR planu</w:t>
      </w:r>
      <w:r w:rsidR="00C65359">
        <w:rPr>
          <w:b/>
          <w:bCs/>
          <w:lang w:val="lt-LT"/>
        </w:rPr>
        <w:t xml:space="preserve">. </w:t>
      </w:r>
      <w:r w:rsidR="00CE7A76">
        <w:rPr>
          <w:lang w:val="lt-LT"/>
        </w:rPr>
        <w:t xml:space="preserve">Atsižvelgiant į tai, kad didelę dalį planuojamo </w:t>
      </w:r>
      <w:r w:rsidR="00E62BE4">
        <w:rPr>
          <w:lang w:val="lt-LT"/>
        </w:rPr>
        <w:t xml:space="preserve">valdžios sektoriaus </w:t>
      </w:r>
      <w:r w:rsidR="00CE7A76">
        <w:rPr>
          <w:lang w:val="lt-LT"/>
        </w:rPr>
        <w:t xml:space="preserve">deficito 2021 m. lems </w:t>
      </w:r>
      <w:r w:rsidR="003A6233">
        <w:rPr>
          <w:lang w:val="lt-LT"/>
        </w:rPr>
        <w:t>A</w:t>
      </w:r>
      <w:r w:rsidR="00CE7A76">
        <w:rPr>
          <w:lang w:val="lt-LT"/>
        </w:rPr>
        <w:t>teities ekonomikos DNR plano įgyvendinimas</w:t>
      </w:r>
      <w:r w:rsidR="0029370F">
        <w:rPr>
          <w:lang w:val="lt-LT"/>
        </w:rPr>
        <w:t xml:space="preserve"> (naujiems veiksmams bus skirta </w:t>
      </w:r>
      <w:r w:rsidR="0029370F" w:rsidRPr="0029370F">
        <w:rPr>
          <w:lang w:val="lt-LT"/>
        </w:rPr>
        <w:t>1,6 mlrd. eurų (3,2 % BVP</w:t>
      </w:r>
      <w:r w:rsidR="0029370F">
        <w:rPr>
          <w:lang w:val="lt-LT"/>
        </w:rPr>
        <w:t>)</w:t>
      </w:r>
      <w:r w:rsidR="00CE7A76">
        <w:rPr>
          <w:lang w:val="lt-LT"/>
        </w:rPr>
        <w:t>, atkreipiame dėmesį į rizikas</w:t>
      </w:r>
      <w:r w:rsidR="005900BC">
        <w:rPr>
          <w:lang w:val="lt-LT"/>
        </w:rPr>
        <w:t>,</w:t>
      </w:r>
      <w:r w:rsidR="00CE7A76">
        <w:rPr>
          <w:lang w:val="lt-LT"/>
        </w:rPr>
        <w:t xml:space="preserve"> susijusias su plane numatyt</w:t>
      </w:r>
      <w:r w:rsidR="00FE5ACE">
        <w:rPr>
          <w:lang w:val="lt-LT"/>
        </w:rPr>
        <w:t>ų</w:t>
      </w:r>
      <w:r w:rsidR="00CE7A76">
        <w:rPr>
          <w:lang w:val="lt-LT"/>
        </w:rPr>
        <w:t xml:space="preserve"> priemonių </w:t>
      </w:r>
      <w:r w:rsidR="00642276">
        <w:rPr>
          <w:lang w:val="lt-LT"/>
        </w:rPr>
        <w:t xml:space="preserve">tikslingumu ir </w:t>
      </w:r>
      <w:r w:rsidR="00CE7A76">
        <w:rPr>
          <w:lang w:val="lt-LT"/>
        </w:rPr>
        <w:t xml:space="preserve">efektyvumu. </w:t>
      </w:r>
      <w:r w:rsidR="00CE7A76" w:rsidRPr="00B114FD">
        <w:rPr>
          <w:lang w:val="lt-LT"/>
        </w:rPr>
        <w:t>L</w:t>
      </w:r>
      <w:r w:rsidR="00CE7A76">
        <w:rPr>
          <w:lang w:val="lt-LT"/>
        </w:rPr>
        <w:t>ietuvos banko</w:t>
      </w:r>
      <w:r w:rsidR="00CE7A76" w:rsidRPr="00B114FD">
        <w:rPr>
          <w:lang w:val="lt-LT"/>
        </w:rPr>
        <w:t xml:space="preserve"> vertinimu, plane pasirinktos ilgalaikių investicijų kryptys iš esmės yra teisingos, tačiau itin svarbu užtikrinti, kad projektų turinys atitiktų strategines kryptis, kurioms jie priskiriami.</w:t>
      </w:r>
      <w:r w:rsidR="00CE7A76">
        <w:rPr>
          <w:lang w:val="lt-LT"/>
        </w:rPr>
        <w:t xml:space="preserve"> </w:t>
      </w:r>
      <w:r w:rsidR="00CE7A76" w:rsidRPr="00B114FD">
        <w:rPr>
          <w:lang w:val="lt-LT"/>
        </w:rPr>
        <w:t xml:space="preserve">Ilgalaikių investicijų pagrindinis kriterijus turėtų </w:t>
      </w:r>
      <w:r w:rsidR="001D7DE2">
        <w:rPr>
          <w:lang w:val="lt-LT"/>
        </w:rPr>
        <w:t>būti</w:t>
      </w:r>
      <w:r w:rsidR="00CE7A76" w:rsidRPr="00B114FD">
        <w:rPr>
          <w:lang w:val="lt-LT"/>
        </w:rPr>
        <w:t xml:space="preserve"> nebe greitis, o projektų kokybė. Siūlytume pavėlinti ir pailginti numatomus plano įgyvendinimo terminus, </w:t>
      </w:r>
      <w:r w:rsidR="00714CB6">
        <w:rPr>
          <w:lang w:val="lt-LT"/>
        </w:rPr>
        <w:t>kad būtų galima</w:t>
      </w:r>
      <w:r w:rsidR="00CE7A76" w:rsidRPr="00B114FD">
        <w:rPr>
          <w:lang w:val="lt-LT"/>
        </w:rPr>
        <w:t xml:space="preserve"> tiksliau įvertinti jau anksčiau numatytų ir dabar planuojamų investicijų poreikį pasirinktoms sritims. Skubotas lėšų skyrimas didina riziką, kad šios lėšos bus panaudotos neefektyviai,</w:t>
      </w:r>
      <w:r w:rsidR="00913C4F">
        <w:rPr>
          <w:lang w:val="lt-LT"/>
        </w:rPr>
        <w:t xml:space="preserve"> atiteks labiau </w:t>
      </w:r>
      <w:r w:rsidR="00913C4F" w:rsidRPr="00913C4F">
        <w:rPr>
          <w:lang w:val="lt-LT"/>
        </w:rPr>
        <w:t>einamosio</w:t>
      </w:r>
      <w:r w:rsidR="000344E2">
        <w:rPr>
          <w:lang w:val="lt-LT"/>
        </w:rPr>
        <w:t>m</w:t>
      </w:r>
      <w:r w:rsidR="00913C4F" w:rsidRPr="00913C4F">
        <w:rPr>
          <w:lang w:val="lt-LT"/>
        </w:rPr>
        <w:t>s išlaido</w:t>
      </w:r>
      <w:r w:rsidR="00913C4F">
        <w:rPr>
          <w:lang w:val="lt-LT"/>
        </w:rPr>
        <w:t>m</w:t>
      </w:r>
      <w:r w:rsidR="00913C4F" w:rsidRPr="00913C4F">
        <w:rPr>
          <w:lang w:val="lt-LT"/>
        </w:rPr>
        <w:t>s</w:t>
      </w:r>
      <w:r w:rsidR="00913C4F">
        <w:rPr>
          <w:lang w:val="lt-LT"/>
        </w:rPr>
        <w:t xml:space="preserve"> nei </w:t>
      </w:r>
      <w:r w:rsidR="00913C4F" w:rsidRPr="00913C4F">
        <w:rPr>
          <w:lang w:val="lt-LT"/>
        </w:rPr>
        <w:t>investicijo</w:t>
      </w:r>
      <w:r w:rsidR="00913C4F">
        <w:rPr>
          <w:lang w:val="lt-LT"/>
        </w:rPr>
        <w:t>m</w:t>
      </w:r>
      <w:r w:rsidR="00913C4F" w:rsidRPr="00913C4F">
        <w:rPr>
          <w:lang w:val="lt-LT"/>
        </w:rPr>
        <w:t>s</w:t>
      </w:r>
      <w:r w:rsidR="00913C4F">
        <w:rPr>
          <w:lang w:val="lt-LT"/>
        </w:rPr>
        <w:t>,</w:t>
      </w:r>
      <w:r w:rsidR="00CE7A76" w:rsidRPr="00B114FD">
        <w:rPr>
          <w:lang w:val="lt-LT"/>
        </w:rPr>
        <w:t xml:space="preserve"> o ekonominė nauda </w:t>
      </w:r>
      <w:r w:rsidR="00CB4E17">
        <w:rPr>
          <w:lang w:val="lt-LT"/>
        </w:rPr>
        <w:t xml:space="preserve">bus </w:t>
      </w:r>
      <w:r w:rsidR="00CE7A76" w:rsidRPr="00B114FD">
        <w:rPr>
          <w:lang w:val="lt-LT"/>
        </w:rPr>
        <w:t>nedidelė. Manome, kad ilgalaikėje perspektyvoje valstybė gautų didesnę ekonominę naudą, jeigu būtų skirta papildomai laiko ir reikiamų resursų siekiant tiksliau įvertinti investicijų poreikį pasirinktoms sritims, taip pat atlikus išsamų kiekvienos plane pateiktos priemonės kuriamos naudos šalies ekonomikai vertinimą</w:t>
      </w:r>
      <w:r w:rsidR="00CE7A76">
        <w:rPr>
          <w:lang w:val="lt-LT"/>
        </w:rPr>
        <w:t xml:space="preserve">. </w:t>
      </w:r>
      <w:r w:rsidR="00CE7A76" w:rsidRPr="00B114FD">
        <w:rPr>
          <w:lang w:val="lt-LT"/>
        </w:rPr>
        <w:t xml:space="preserve">Aiškus prioritetas turėtų </w:t>
      </w:r>
      <w:r w:rsidR="00CE7A76" w:rsidRPr="00B114FD">
        <w:rPr>
          <w:lang w:val="lt-LT"/>
        </w:rPr>
        <w:lastRenderedPageBreak/>
        <w:t>būti struktūrinė ekonomikos transformacija, ilgalaikių iššūkių sprendimas. Taupant ribotus valstybės finansus, pirmenybė turi būti teikiama ne tik rentabilioms, bet ir didžiausią naudą šalies ekonomikai kuriančioms priemonėms.</w:t>
      </w:r>
      <w:r w:rsidR="00CE7A76">
        <w:rPr>
          <w:lang w:val="lt-LT"/>
        </w:rPr>
        <w:t xml:space="preserve"> </w:t>
      </w:r>
      <w:r w:rsidR="00CE7A76" w:rsidRPr="00B114FD">
        <w:rPr>
          <w:lang w:val="lt-LT"/>
        </w:rPr>
        <w:t xml:space="preserve">Ilgesniu laikotarpiu didesnę pridėtinę naudą turėtų nešti investicijos į </w:t>
      </w:r>
      <w:r w:rsidR="00E27CD4">
        <w:rPr>
          <w:lang w:val="lt-LT"/>
        </w:rPr>
        <w:t>švietimą i</w:t>
      </w:r>
      <w:r w:rsidR="00714CB6">
        <w:rPr>
          <w:lang w:val="lt-LT"/>
        </w:rPr>
        <w:t>r</w:t>
      </w:r>
      <w:r w:rsidR="00E27CD4">
        <w:rPr>
          <w:lang w:val="lt-LT"/>
        </w:rPr>
        <w:t xml:space="preserve"> </w:t>
      </w:r>
      <w:r w:rsidR="00CE7A76" w:rsidRPr="00B114FD">
        <w:rPr>
          <w:lang w:val="lt-LT"/>
        </w:rPr>
        <w:t xml:space="preserve">žmogiškąjį kapitalą, kurios turėtų padėti pritraukti užsienio investicijas, didinti užimtumą ir skatinti aukštesnės pridėtinės vertės eksportą. </w:t>
      </w:r>
      <w:r w:rsidR="00FE5ACE">
        <w:rPr>
          <w:lang w:val="lt-LT"/>
        </w:rPr>
        <w:t>Manome, kad r</w:t>
      </w:r>
      <w:r w:rsidR="00CE7A76" w:rsidRPr="00527E64">
        <w:rPr>
          <w:lang w:val="lt-LT"/>
        </w:rPr>
        <w:t>eikia kritiškai persvarstyti Ateities ekonomikos DNR planą ir pagal poreikį tikslinti investicijų poreikį ir pobūdį bei itin atsakingai planuoti ES atsigavimo fondo lėšų panaudojimą</w:t>
      </w:r>
      <w:r w:rsidR="00FE5ACE">
        <w:rPr>
          <w:lang w:val="lt-LT"/>
        </w:rPr>
        <w:t>,</w:t>
      </w:r>
      <w:r w:rsidR="00FE5ACE" w:rsidRPr="00FE5ACE">
        <w:rPr>
          <w:lang w:val="lt-LT"/>
        </w:rPr>
        <w:t xml:space="preserve"> </w:t>
      </w:r>
      <w:r w:rsidR="00FE5ACE" w:rsidRPr="002164C9">
        <w:rPr>
          <w:lang w:val="lt-LT"/>
        </w:rPr>
        <w:t xml:space="preserve">o sprendimai dėl atskirų projektų </w:t>
      </w:r>
      <w:r w:rsidR="00246873">
        <w:rPr>
          <w:lang w:val="lt-LT"/>
        </w:rPr>
        <w:t xml:space="preserve">turėtų būti </w:t>
      </w:r>
      <w:r w:rsidR="00FE5ACE" w:rsidRPr="002164C9">
        <w:rPr>
          <w:lang w:val="lt-LT"/>
        </w:rPr>
        <w:t>prii</w:t>
      </w:r>
      <w:r w:rsidR="00FE5ACE">
        <w:rPr>
          <w:lang w:val="lt-LT"/>
        </w:rPr>
        <w:t>mt</w:t>
      </w:r>
      <w:r w:rsidR="00FE5ACE" w:rsidRPr="002164C9">
        <w:rPr>
          <w:lang w:val="lt-LT"/>
        </w:rPr>
        <w:t>i atsižvelgiant į naudos ir kaštų analizės įžvalgas.</w:t>
      </w:r>
      <w:r w:rsidR="00091629">
        <w:rPr>
          <w:lang w:val="lt-LT"/>
        </w:rPr>
        <w:t xml:space="preserve"> </w:t>
      </w:r>
      <w:bookmarkStart w:id="6" w:name="_Hlk55484198"/>
      <w:r w:rsidR="001243EA">
        <w:rPr>
          <w:lang w:val="lt-LT"/>
        </w:rPr>
        <w:t>N</w:t>
      </w:r>
      <w:r w:rsidR="00091629" w:rsidRPr="00091629">
        <w:rPr>
          <w:lang w:val="lt-LT"/>
        </w:rPr>
        <w:t>eefektyvaus lėšų panaudojimo rizika sumažėtų, jeigu d</w:t>
      </w:r>
      <w:r w:rsidR="00043E07">
        <w:rPr>
          <w:lang w:val="lt-LT"/>
        </w:rPr>
        <w:t>auguma</w:t>
      </w:r>
      <w:r w:rsidR="00091629" w:rsidRPr="00091629">
        <w:rPr>
          <w:lang w:val="lt-LT"/>
        </w:rPr>
        <w:t xml:space="preserve"> Ateities ekonomikos DNR plano projektų būtų įgyvendinami tik EK patvirtin</w:t>
      </w:r>
      <w:r w:rsidR="00091629">
        <w:rPr>
          <w:lang w:val="lt-LT"/>
        </w:rPr>
        <w:t>us</w:t>
      </w:r>
      <w:r w:rsidR="00091629" w:rsidRPr="00091629">
        <w:rPr>
          <w:lang w:val="lt-LT"/>
        </w:rPr>
        <w:t xml:space="preserve"> Lietuvos RRF planą.</w:t>
      </w:r>
      <w:r w:rsidR="00091629">
        <w:rPr>
          <w:lang w:val="lt-LT"/>
        </w:rPr>
        <w:t xml:space="preserve"> Teikiamų i</w:t>
      </w:r>
      <w:r w:rsidR="00091629" w:rsidRPr="00091629">
        <w:rPr>
          <w:lang w:val="lt-LT"/>
        </w:rPr>
        <w:t>nvesticinių projektų naudingumui vertinti siūlome pasitelkti kaštų ir naudos analizę</w:t>
      </w:r>
      <w:r w:rsidR="00091629">
        <w:rPr>
          <w:lang w:val="lt-LT"/>
        </w:rPr>
        <w:t>, kuri vals</w:t>
      </w:r>
      <w:r w:rsidR="00091629" w:rsidRPr="00091629">
        <w:rPr>
          <w:lang w:val="lt-LT"/>
        </w:rPr>
        <w:t>tybei leistų racionaliau naudoti turimus ribotus išteklius, pavyzdžiui, kiek ir kokios viešosios infrastruktūros reikia, arba bent jau žinoti tikrą siūlomų investicinių projektų kainą.</w:t>
      </w:r>
      <w:r w:rsidR="00C16115">
        <w:rPr>
          <w:lang w:val="lt-LT"/>
        </w:rPr>
        <w:t xml:space="preserve"> </w:t>
      </w:r>
      <w:bookmarkEnd w:id="6"/>
      <w:r w:rsidR="00BE3F6D">
        <w:rPr>
          <w:lang w:val="lt-LT"/>
        </w:rPr>
        <w:t xml:space="preserve">Taip pat </w:t>
      </w:r>
      <w:r w:rsidR="00F75B4A">
        <w:rPr>
          <w:lang w:val="lt-LT"/>
        </w:rPr>
        <w:t>a</w:t>
      </w:r>
      <w:r w:rsidR="00BE3F6D">
        <w:rPr>
          <w:lang w:val="lt-LT"/>
        </w:rPr>
        <w:t>tkreipiame dėmesį</w:t>
      </w:r>
      <w:r w:rsidR="00714CB6">
        <w:rPr>
          <w:lang w:val="lt-LT"/>
        </w:rPr>
        <w:t xml:space="preserve"> į tai</w:t>
      </w:r>
      <w:r w:rsidR="00BE3F6D">
        <w:rPr>
          <w:lang w:val="lt-LT"/>
        </w:rPr>
        <w:t xml:space="preserve">, kad </w:t>
      </w:r>
      <w:r w:rsidR="00B5451C">
        <w:rPr>
          <w:lang w:val="lt-LT"/>
        </w:rPr>
        <w:t>RRF</w:t>
      </w:r>
      <w:r w:rsidR="00BE3F6D" w:rsidRPr="00527E64">
        <w:rPr>
          <w:lang w:val="lt-LT"/>
        </w:rPr>
        <w:t xml:space="preserve"> lėš</w:t>
      </w:r>
      <w:r w:rsidR="00BE3F6D">
        <w:rPr>
          <w:lang w:val="lt-LT"/>
        </w:rPr>
        <w:t xml:space="preserve">os galės būti panaudotos </w:t>
      </w:r>
      <w:r w:rsidR="00BE3F6D" w:rsidRPr="00342927">
        <w:rPr>
          <w:lang w:val="lt-LT"/>
        </w:rPr>
        <w:t xml:space="preserve">iki 2026 m. Net </w:t>
      </w:r>
      <w:r w:rsidR="00BE3F6D">
        <w:rPr>
          <w:lang w:val="lt-LT"/>
        </w:rPr>
        <w:t xml:space="preserve">jei EK patvirtintų siūlomus projektus, planuoti 1/3 visų numatomų gauti lėšų išleisti jau kitais metais (iš viso iš šios priemonės planuojama gauti 2,4 mlrd. eurų, o 2021 m. planuojama panaudoti 0,8 mlrd. eurų) reiškia itin skubotą projektų pasirinkimą. Tai didina riziką, kad pasirinkti projektai </w:t>
      </w:r>
      <w:r w:rsidR="000F5AFB">
        <w:rPr>
          <w:lang w:val="lt-LT"/>
        </w:rPr>
        <w:t xml:space="preserve">nebus </w:t>
      </w:r>
      <w:r w:rsidR="00BE3F6D">
        <w:rPr>
          <w:lang w:val="lt-LT"/>
        </w:rPr>
        <w:t xml:space="preserve">patys tinkamiausi nustatytiems tikslams pasiekti. </w:t>
      </w:r>
      <w:r w:rsidR="00BE3F6D" w:rsidRPr="00D31F7D">
        <w:rPr>
          <w:lang w:val="lt-LT"/>
        </w:rPr>
        <w:t>Skubotai priimamų projektų rezultatas gali būti priešingas, nei norima, – didės įsipareigojimai, tačiau laukiamo rezultato – ekonomikos transformacijos</w:t>
      </w:r>
      <w:r w:rsidR="00BE3F6D">
        <w:rPr>
          <w:lang w:val="lt-LT"/>
        </w:rPr>
        <w:t>, siekiant tvarios ir konkurencingos ekonomikos</w:t>
      </w:r>
      <w:r w:rsidR="00714CB6">
        <w:rPr>
          <w:lang w:val="lt-LT"/>
        </w:rPr>
        <w:t>,</w:t>
      </w:r>
      <w:r w:rsidR="00BE3F6D" w:rsidRPr="00D31F7D">
        <w:rPr>
          <w:lang w:val="lt-LT"/>
        </w:rPr>
        <w:t xml:space="preserve"> – nebus pasiekta.</w:t>
      </w:r>
    </w:p>
    <w:p w14:paraId="71037834" w14:textId="77777777" w:rsidR="002164C9" w:rsidRPr="002164C9" w:rsidRDefault="00714CB6" w:rsidP="002164C9">
      <w:pPr>
        <w:ind w:firstLine="709"/>
        <w:jc w:val="both"/>
        <w:rPr>
          <w:lang w:val="lt-LT"/>
        </w:rPr>
      </w:pPr>
      <w:r>
        <w:rPr>
          <w:b/>
          <w:bCs/>
          <w:lang w:val="lt-LT"/>
        </w:rPr>
        <w:t>P</w:t>
      </w:r>
      <w:r w:rsidR="003810C8" w:rsidRPr="00CE7A76">
        <w:rPr>
          <w:b/>
          <w:bCs/>
          <w:lang w:val="lt-LT"/>
        </w:rPr>
        <w:t>rojekt</w:t>
      </w:r>
      <w:r w:rsidR="002B7E36">
        <w:rPr>
          <w:b/>
          <w:bCs/>
          <w:lang w:val="lt-LT"/>
        </w:rPr>
        <w:t>uose suplanuot</w:t>
      </w:r>
      <w:r w:rsidR="00437FEF">
        <w:rPr>
          <w:b/>
          <w:bCs/>
          <w:lang w:val="lt-LT"/>
        </w:rPr>
        <w:t>ų</w:t>
      </w:r>
      <w:r w:rsidR="002B7E36">
        <w:rPr>
          <w:b/>
          <w:bCs/>
          <w:lang w:val="lt-LT"/>
        </w:rPr>
        <w:t xml:space="preserve"> viešųjų finansų rodikl</w:t>
      </w:r>
      <w:r w:rsidR="00437FEF">
        <w:rPr>
          <w:b/>
          <w:bCs/>
          <w:lang w:val="lt-LT"/>
        </w:rPr>
        <w:t xml:space="preserve">ių keliama rizika </w:t>
      </w:r>
      <w:r w:rsidR="003810C8" w:rsidRPr="00CE7A76">
        <w:rPr>
          <w:b/>
          <w:bCs/>
          <w:lang w:val="lt-LT"/>
        </w:rPr>
        <w:t>p</w:t>
      </w:r>
      <w:r w:rsidR="00780D0D">
        <w:rPr>
          <w:b/>
          <w:bCs/>
          <w:lang w:val="lt-LT"/>
        </w:rPr>
        <w:t>a</w:t>
      </w:r>
      <w:r w:rsidR="003810C8" w:rsidRPr="00CE7A76">
        <w:rPr>
          <w:b/>
          <w:bCs/>
          <w:lang w:val="lt-LT"/>
        </w:rPr>
        <w:t>sitikėjim</w:t>
      </w:r>
      <w:r w:rsidR="00437FEF">
        <w:rPr>
          <w:b/>
          <w:bCs/>
          <w:lang w:val="lt-LT"/>
        </w:rPr>
        <w:t>ui</w:t>
      </w:r>
      <w:r w:rsidR="003810C8" w:rsidRPr="00CE7A76">
        <w:rPr>
          <w:b/>
          <w:bCs/>
          <w:lang w:val="lt-LT"/>
        </w:rPr>
        <w:t xml:space="preserve"> finansų sistemos stabilumu ir kain</w:t>
      </w:r>
      <w:r w:rsidR="00CE7A76" w:rsidRPr="00CE7A76">
        <w:rPr>
          <w:b/>
          <w:bCs/>
          <w:lang w:val="lt-LT"/>
        </w:rPr>
        <w:t>ų</w:t>
      </w:r>
      <w:r w:rsidR="003810C8" w:rsidRPr="00CE7A76">
        <w:rPr>
          <w:b/>
          <w:bCs/>
          <w:lang w:val="lt-LT"/>
        </w:rPr>
        <w:t xml:space="preserve"> stabilumui </w:t>
      </w:r>
      <w:r w:rsidR="00437FEF">
        <w:rPr>
          <w:b/>
          <w:bCs/>
          <w:lang w:val="lt-LT"/>
        </w:rPr>
        <w:t>yra valdoma,</w:t>
      </w:r>
      <w:r w:rsidR="003810C8" w:rsidRPr="00CE7A76">
        <w:rPr>
          <w:b/>
          <w:bCs/>
          <w:lang w:val="lt-LT"/>
        </w:rPr>
        <w:t xml:space="preserve"> </w:t>
      </w:r>
      <w:r w:rsidR="002B7E36">
        <w:rPr>
          <w:b/>
          <w:bCs/>
          <w:lang w:val="lt-LT"/>
        </w:rPr>
        <w:t>tačiau svarbu</w:t>
      </w:r>
      <w:r w:rsidR="00E46429">
        <w:rPr>
          <w:b/>
          <w:bCs/>
          <w:lang w:val="lt-LT"/>
        </w:rPr>
        <w:t>, kad</w:t>
      </w:r>
      <w:r w:rsidR="003810C8" w:rsidRPr="00CE7A76">
        <w:rPr>
          <w:b/>
          <w:bCs/>
          <w:lang w:val="lt-LT"/>
        </w:rPr>
        <w:t xml:space="preserve"> skolinimasis būt</w:t>
      </w:r>
      <w:r w:rsidR="00B905AA">
        <w:rPr>
          <w:b/>
          <w:bCs/>
          <w:lang w:val="lt-LT"/>
        </w:rPr>
        <w:t>ų</w:t>
      </w:r>
      <w:r w:rsidR="003810C8" w:rsidRPr="00CE7A76">
        <w:rPr>
          <w:b/>
          <w:bCs/>
          <w:lang w:val="lt-LT"/>
        </w:rPr>
        <w:t xml:space="preserve"> </w:t>
      </w:r>
      <w:r w:rsidR="00CE7A76" w:rsidRPr="00CE7A76">
        <w:rPr>
          <w:b/>
          <w:bCs/>
          <w:lang w:val="lt-LT"/>
        </w:rPr>
        <w:t xml:space="preserve">itin </w:t>
      </w:r>
      <w:r w:rsidR="003810C8" w:rsidRPr="00CE7A76">
        <w:rPr>
          <w:b/>
          <w:bCs/>
          <w:lang w:val="lt-LT"/>
        </w:rPr>
        <w:t>atsakingas ir racionalus</w:t>
      </w:r>
      <w:r w:rsidR="00CE7A76">
        <w:rPr>
          <w:lang w:val="lt-LT"/>
        </w:rPr>
        <w:t xml:space="preserve">. </w:t>
      </w:r>
      <w:r w:rsidR="00437FEF">
        <w:rPr>
          <w:lang w:val="lt-LT"/>
        </w:rPr>
        <w:t>Š</w:t>
      </w:r>
      <w:r w:rsidR="00CE7A76" w:rsidRPr="00527E64">
        <w:rPr>
          <w:lang w:val="lt-LT"/>
        </w:rPr>
        <w:t>iuo metu skolinamasi už itin mažas palūkanas</w:t>
      </w:r>
      <w:r w:rsidR="00437FEF">
        <w:rPr>
          <w:lang w:val="lt-LT"/>
        </w:rPr>
        <w:t xml:space="preserve"> ir tai sudaro sąlygas lengviau finansuoti </w:t>
      </w:r>
      <w:r w:rsidR="00E62BE4">
        <w:rPr>
          <w:lang w:val="lt-LT"/>
        </w:rPr>
        <w:t>valdžios sektoriaus</w:t>
      </w:r>
      <w:r w:rsidR="00437FEF">
        <w:rPr>
          <w:lang w:val="lt-LT"/>
        </w:rPr>
        <w:t xml:space="preserve"> deficitą.</w:t>
      </w:r>
      <w:r w:rsidR="00CE7A76" w:rsidRPr="00527E64">
        <w:rPr>
          <w:lang w:val="lt-LT"/>
        </w:rPr>
        <w:t xml:space="preserve"> </w:t>
      </w:r>
      <w:r w:rsidR="00437FEF">
        <w:rPr>
          <w:lang w:val="lt-LT"/>
        </w:rPr>
        <w:t xml:space="preserve">Vis dėlto </w:t>
      </w:r>
      <w:r w:rsidR="00CE7A76" w:rsidRPr="00527E64">
        <w:rPr>
          <w:lang w:val="lt-LT"/>
        </w:rPr>
        <w:t xml:space="preserve">tai nereiškia, kad papildomas skolinimasis nekelia jokios rizikos. </w:t>
      </w:r>
      <w:r w:rsidR="00A477D1" w:rsidRPr="00A477D1">
        <w:rPr>
          <w:lang w:val="lt-LT"/>
        </w:rPr>
        <w:t>Tyrimai rodo, kad dažni atvejai, kai palūkanos staigiai ir labai pakyla, o tai gali greitai padidinti finansavimosi sąnaudas.</w:t>
      </w:r>
      <w:r w:rsidR="00CE7A76">
        <w:rPr>
          <w:lang w:val="lt-LT"/>
        </w:rPr>
        <w:t xml:space="preserve"> Be to</w:t>
      </w:r>
      <w:r w:rsidR="00CE7A76" w:rsidRPr="00527E64">
        <w:rPr>
          <w:lang w:val="lt-LT"/>
        </w:rPr>
        <w:t>, esant dideliam neapibrėžtumui dėl pandemijos plitimo ir trukmės, lėto ekonomikos augimo periodas gali užsitęsti</w:t>
      </w:r>
      <w:r w:rsidR="00CE7A76">
        <w:rPr>
          <w:lang w:val="lt-LT"/>
        </w:rPr>
        <w:t xml:space="preserve">, tai </w:t>
      </w:r>
      <w:r w:rsidR="00CE7A76" w:rsidRPr="00527E64">
        <w:rPr>
          <w:lang w:val="lt-LT"/>
        </w:rPr>
        <w:t>dar labiau didint</w:t>
      </w:r>
      <w:r w:rsidR="00FE5ACE">
        <w:rPr>
          <w:lang w:val="lt-LT"/>
        </w:rPr>
        <w:t>ų</w:t>
      </w:r>
      <w:r w:rsidR="00CE7A76" w:rsidRPr="00527E64">
        <w:rPr>
          <w:lang w:val="lt-LT"/>
        </w:rPr>
        <w:t xml:space="preserve"> </w:t>
      </w:r>
      <w:r w:rsidR="00E62BE4">
        <w:rPr>
          <w:lang w:val="lt-LT"/>
        </w:rPr>
        <w:t xml:space="preserve">valdžios sektoriaus </w:t>
      </w:r>
      <w:r w:rsidR="00CE7A76" w:rsidRPr="00527E64">
        <w:rPr>
          <w:lang w:val="lt-LT"/>
        </w:rPr>
        <w:t xml:space="preserve">deficitą. </w:t>
      </w:r>
      <w:r w:rsidR="0020132E">
        <w:rPr>
          <w:lang w:val="lt-LT"/>
        </w:rPr>
        <w:t>Rizikų dėl skolos didėjimo gali kilti ir ilgesniu laikotarpiu: d</w:t>
      </w:r>
      <w:r w:rsidR="0020132E" w:rsidRPr="002164C9">
        <w:rPr>
          <w:lang w:val="lt-LT"/>
        </w:rPr>
        <w:t>idesnė skola suteikia mažiau fiskalinės erdvės reaguoti tiek į ilgalaikius iššūkius, tiek į trumpojo ir vidutinio laikotarpio problemas</w:t>
      </w:r>
      <w:r w:rsidR="0020132E">
        <w:rPr>
          <w:lang w:val="lt-LT"/>
        </w:rPr>
        <w:t>, ji lemia didesnes išlaidas</w:t>
      </w:r>
      <w:r w:rsidR="0020132E" w:rsidRPr="002164C9">
        <w:rPr>
          <w:lang w:val="lt-LT"/>
        </w:rPr>
        <w:t xml:space="preserve"> skolai tvarkyti</w:t>
      </w:r>
      <w:r w:rsidR="0020132E">
        <w:rPr>
          <w:lang w:val="lt-LT"/>
        </w:rPr>
        <w:t xml:space="preserve"> ir atitinkamai</w:t>
      </w:r>
      <w:r w:rsidR="0020132E" w:rsidRPr="002164C9">
        <w:rPr>
          <w:lang w:val="lt-LT"/>
        </w:rPr>
        <w:t xml:space="preserve"> maži</w:t>
      </w:r>
      <w:r w:rsidR="0020132E">
        <w:rPr>
          <w:lang w:val="lt-LT"/>
        </w:rPr>
        <w:t>na</w:t>
      </w:r>
      <w:r w:rsidR="0020132E" w:rsidRPr="002164C9">
        <w:rPr>
          <w:lang w:val="lt-LT"/>
        </w:rPr>
        <w:t xml:space="preserve"> galimyb</w:t>
      </w:r>
      <w:r w:rsidR="0020132E">
        <w:rPr>
          <w:lang w:val="lt-LT"/>
        </w:rPr>
        <w:t>es</w:t>
      </w:r>
      <w:r w:rsidR="0020132E" w:rsidRPr="002164C9">
        <w:rPr>
          <w:lang w:val="lt-LT"/>
        </w:rPr>
        <w:t xml:space="preserve"> finansuoti kitas sritis</w:t>
      </w:r>
      <w:r w:rsidR="0020132E">
        <w:rPr>
          <w:lang w:val="lt-LT"/>
        </w:rPr>
        <w:t>, taip pat lemia</w:t>
      </w:r>
      <w:r w:rsidR="0020132E" w:rsidRPr="002164C9">
        <w:rPr>
          <w:lang w:val="lt-LT"/>
        </w:rPr>
        <w:t xml:space="preserve"> didesnį finansavimosi poreikį, todėl didėja rizika dėl sunkumų </w:t>
      </w:r>
      <w:proofErr w:type="spellStart"/>
      <w:r w:rsidR="0020132E" w:rsidRPr="002164C9">
        <w:rPr>
          <w:lang w:val="lt-LT"/>
        </w:rPr>
        <w:t>refinansuojant</w:t>
      </w:r>
      <w:proofErr w:type="spellEnd"/>
      <w:r w:rsidR="0020132E" w:rsidRPr="002164C9">
        <w:rPr>
          <w:lang w:val="lt-LT"/>
        </w:rPr>
        <w:t xml:space="preserve"> skolą, didėja pažeidžiamumas </w:t>
      </w:r>
      <w:r>
        <w:rPr>
          <w:lang w:val="lt-LT"/>
        </w:rPr>
        <w:t xml:space="preserve">dėl </w:t>
      </w:r>
      <w:r w:rsidR="0020132E" w:rsidRPr="002164C9">
        <w:rPr>
          <w:lang w:val="lt-LT"/>
        </w:rPr>
        <w:t>palūkanų normų šok</w:t>
      </w:r>
      <w:r>
        <w:rPr>
          <w:lang w:val="lt-LT"/>
        </w:rPr>
        <w:t>o</w:t>
      </w:r>
      <w:r w:rsidR="0020132E" w:rsidRPr="002164C9">
        <w:rPr>
          <w:lang w:val="lt-LT"/>
        </w:rPr>
        <w:t>.</w:t>
      </w:r>
      <w:r w:rsidR="0020132E" w:rsidRPr="0020132E">
        <w:rPr>
          <w:lang w:val="lt-LT"/>
        </w:rPr>
        <w:t xml:space="preserve"> </w:t>
      </w:r>
      <w:r w:rsidR="0020132E">
        <w:rPr>
          <w:lang w:val="lt-LT"/>
        </w:rPr>
        <w:t>Atsižvelg</w:t>
      </w:r>
      <w:r>
        <w:rPr>
          <w:lang w:val="lt-LT"/>
        </w:rPr>
        <w:t>dami</w:t>
      </w:r>
      <w:r w:rsidR="0020132E">
        <w:rPr>
          <w:lang w:val="lt-LT"/>
        </w:rPr>
        <w:t xml:space="preserve"> į tai, atkreipiame dėmesį į efektyvaus skolintų lėšų panaudojimo svarbą: </w:t>
      </w:r>
      <w:r w:rsidR="00CE7A76" w:rsidRPr="00527E64">
        <w:rPr>
          <w:lang w:val="lt-LT"/>
        </w:rPr>
        <w:t xml:space="preserve">itin svarbu, kad </w:t>
      </w:r>
      <w:r w:rsidR="00CE7A76">
        <w:rPr>
          <w:lang w:val="lt-LT"/>
        </w:rPr>
        <w:t xml:space="preserve">skolintos lėšos būtų </w:t>
      </w:r>
      <w:r>
        <w:rPr>
          <w:lang w:val="lt-LT"/>
        </w:rPr>
        <w:t>skirtos toms</w:t>
      </w:r>
      <w:r w:rsidR="00CE7A76">
        <w:rPr>
          <w:lang w:val="lt-LT"/>
        </w:rPr>
        <w:t xml:space="preserve"> </w:t>
      </w:r>
      <w:r w:rsidR="00CE7A76" w:rsidRPr="002164C9">
        <w:rPr>
          <w:lang w:val="lt-LT"/>
        </w:rPr>
        <w:t>fiskalin</w:t>
      </w:r>
      <w:r>
        <w:rPr>
          <w:lang w:val="lt-LT"/>
        </w:rPr>
        <w:t>ėms</w:t>
      </w:r>
      <w:r w:rsidR="00CE7A76" w:rsidRPr="002164C9">
        <w:rPr>
          <w:lang w:val="lt-LT"/>
        </w:rPr>
        <w:t xml:space="preserve"> </w:t>
      </w:r>
      <w:r w:rsidR="00CE7A76">
        <w:rPr>
          <w:lang w:val="lt-LT"/>
        </w:rPr>
        <w:t>priemon</w:t>
      </w:r>
      <w:r>
        <w:rPr>
          <w:lang w:val="lt-LT"/>
        </w:rPr>
        <w:t>ėms</w:t>
      </w:r>
      <w:r w:rsidR="00CE7A76">
        <w:rPr>
          <w:lang w:val="lt-LT"/>
        </w:rPr>
        <w:t xml:space="preserve">, kurios </w:t>
      </w:r>
      <w:r w:rsidR="00FE5ACE">
        <w:rPr>
          <w:lang w:val="lt-LT"/>
        </w:rPr>
        <w:t>būtų</w:t>
      </w:r>
      <w:r w:rsidR="00E46429">
        <w:rPr>
          <w:lang w:val="lt-LT"/>
        </w:rPr>
        <w:t xml:space="preserve"> efektyviausios stabilizuojant ekonomiką, būtų</w:t>
      </w:r>
      <w:r w:rsidR="00FE5ACE">
        <w:rPr>
          <w:lang w:val="lt-LT"/>
        </w:rPr>
        <w:t xml:space="preserve"> tikslinės ir savalaikės, </w:t>
      </w:r>
      <w:r w:rsidR="00CE7A76" w:rsidRPr="002164C9">
        <w:rPr>
          <w:lang w:val="lt-LT"/>
        </w:rPr>
        <w:t>sudarytų sąlygas greitai atsigauti ekonomikai</w:t>
      </w:r>
      <w:r w:rsidR="00CE7A76">
        <w:rPr>
          <w:lang w:val="lt-LT"/>
        </w:rPr>
        <w:t>,</w:t>
      </w:r>
      <w:r w:rsidR="00CE7A76" w:rsidRPr="002164C9">
        <w:rPr>
          <w:lang w:val="lt-LT"/>
        </w:rPr>
        <w:t xml:space="preserve"> </w:t>
      </w:r>
      <w:r w:rsidR="00CE7A76">
        <w:rPr>
          <w:lang w:val="lt-LT"/>
        </w:rPr>
        <w:t>stiprintų e</w:t>
      </w:r>
      <w:r w:rsidR="00CE7A76" w:rsidRPr="002164C9">
        <w:rPr>
          <w:lang w:val="lt-LT"/>
        </w:rPr>
        <w:t>konomikos pagrind</w:t>
      </w:r>
      <w:r w:rsidR="00CE7A76">
        <w:rPr>
          <w:lang w:val="lt-LT"/>
        </w:rPr>
        <w:t>us</w:t>
      </w:r>
      <w:r w:rsidR="00F75B4A">
        <w:rPr>
          <w:lang w:val="lt-LT"/>
        </w:rPr>
        <w:t>, nes</w:t>
      </w:r>
      <w:r w:rsidR="00CE7A76" w:rsidRPr="002164C9">
        <w:rPr>
          <w:lang w:val="lt-LT"/>
        </w:rPr>
        <w:t xml:space="preserve"> </w:t>
      </w:r>
      <w:r w:rsidR="00F75B4A">
        <w:rPr>
          <w:lang w:val="lt-LT"/>
        </w:rPr>
        <w:t>e</w:t>
      </w:r>
      <w:r w:rsidR="0020132E">
        <w:rPr>
          <w:lang w:val="lt-LT"/>
        </w:rPr>
        <w:t>konomikos augimas yra vienas iš svarbiausių skolą stabilizuojančių veiksnių.</w:t>
      </w:r>
    </w:p>
    <w:p w14:paraId="2D2748B8" w14:textId="77777777" w:rsidR="00152590" w:rsidRDefault="00982B47" w:rsidP="00982B47">
      <w:pPr>
        <w:ind w:firstLine="709"/>
        <w:jc w:val="both"/>
        <w:rPr>
          <w:b/>
          <w:lang w:val="lt-LT"/>
        </w:rPr>
      </w:pPr>
      <w:r w:rsidRPr="00C306C8">
        <w:rPr>
          <w:b/>
          <w:lang w:val="lt-LT"/>
        </w:rPr>
        <w:t xml:space="preserve">2021 m. planuojama pasiskolinti 5,1 mlrd. </w:t>
      </w:r>
      <w:proofErr w:type="spellStart"/>
      <w:r w:rsidRPr="00C306C8">
        <w:rPr>
          <w:b/>
          <w:lang w:val="lt-LT"/>
        </w:rPr>
        <w:t>Eur</w:t>
      </w:r>
      <w:proofErr w:type="spellEnd"/>
      <w:r w:rsidRPr="00C306C8">
        <w:rPr>
          <w:b/>
          <w:lang w:val="lt-LT"/>
        </w:rPr>
        <w:t>, iš kurių reikšmingą dalį</w:t>
      </w:r>
      <w:r w:rsidR="000A43AE" w:rsidRPr="00C306C8">
        <w:rPr>
          <w:b/>
          <w:lang w:val="lt-LT"/>
        </w:rPr>
        <w:t xml:space="preserve"> –</w:t>
      </w:r>
      <w:r w:rsidRPr="00C306C8">
        <w:rPr>
          <w:b/>
          <w:lang w:val="lt-LT"/>
        </w:rPr>
        <w:t xml:space="preserve">vidaus rinkoje (1,9 mlrd. </w:t>
      </w:r>
      <w:proofErr w:type="spellStart"/>
      <w:r w:rsidRPr="00C306C8">
        <w:rPr>
          <w:b/>
          <w:lang w:val="lt-LT"/>
        </w:rPr>
        <w:t>Eur</w:t>
      </w:r>
      <w:proofErr w:type="spellEnd"/>
      <w:r w:rsidRPr="00C306C8">
        <w:rPr>
          <w:b/>
          <w:lang w:val="lt-LT"/>
        </w:rPr>
        <w:t xml:space="preserve">), </w:t>
      </w:r>
      <w:r w:rsidR="00801D9F">
        <w:rPr>
          <w:b/>
          <w:lang w:val="lt-LT"/>
        </w:rPr>
        <w:t xml:space="preserve">tačiau </w:t>
      </w:r>
      <w:r w:rsidR="00145FDD" w:rsidRPr="00145FDD">
        <w:rPr>
          <w:b/>
          <w:lang w:val="lt-LT"/>
        </w:rPr>
        <w:t>a</w:t>
      </w:r>
      <w:proofErr w:type="spellStart"/>
      <w:r w:rsidR="00CE7126" w:rsidRPr="00145FDD">
        <w:rPr>
          <w:b/>
        </w:rPr>
        <w:t>tsižvelgiant</w:t>
      </w:r>
      <w:proofErr w:type="spellEnd"/>
      <w:r w:rsidR="00CE7126" w:rsidRPr="00145FDD">
        <w:rPr>
          <w:b/>
          <w:lang w:val="lt-LT"/>
        </w:rPr>
        <w:t xml:space="preserve"> į rinkos </w:t>
      </w:r>
      <w:proofErr w:type="spellStart"/>
      <w:r w:rsidR="007473A9" w:rsidRPr="00145FDD">
        <w:rPr>
          <w:b/>
        </w:rPr>
        <w:t>padėtį</w:t>
      </w:r>
      <w:proofErr w:type="spellEnd"/>
      <w:r w:rsidR="007473A9" w:rsidRPr="00145FDD">
        <w:rPr>
          <w:b/>
        </w:rPr>
        <w:t xml:space="preserve"> </w:t>
      </w:r>
      <w:proofErr w:type="spellStart"/>
      <w:r w:rsidR="007473A9" w:rsidRPr="00145FDD">
        <w:rPr>
          <w:b/>
        </w:rPr>
        <w:t>ir</w:t>
      </w:r>
      <w:proofErr w:type="spellEnd"/>
      <w:r w:rsidR="007473A9" w:rsidRPr="00145FDD">
        <w:rPr>
          <w:b/>
        </w:rPr>
        <w:t xml:space="preserve"> </w:t>
      </w:r>
      <w:proofErr w:type="spellStart"/>
      <w:r w:rsidR="007473A9" w:rsidRPr="00145FDD">
        <w:rPr>
          <w:b/>
        </w:rPr>
        <w:t>pajėgumus</w:t>
      </w:r>
      <w:proofErr w:type="spellEnd"/>
      <w:r w:rsidR="007473A9" w:rsidRPr="00145FDD">
        <w:rPr>
          <w:b/>
        </w:rPr>
        <w:t xml:space="preserve"> </w:t>
      </w:r>
      <w:proofErr w:type="spellStart"/>
      <w:r w:rsidR="007473A9" w:rsidRPr="00145FDD">
        <w:rPr>
          <w:b/>
        </w:rPr>
        <w:t>skolinti</w:t>
      </w:r>
      <w:proofErr w:type="spellEnd"/>
      <w:r w:rsidR="007473A9" w:rsidRPr="00145FDD">
        <w:rPr>
          <w:b/>
        </w:rPr>
        <w:t xml:space="preserve"> 2020 m.</w:t>
      </w:r>
      <w:r w:rsidR="00CE7126" w:rsidRPr="00145FDD">
        <w:rPr>
          <w:b/>
        </w:rPr>
        <w:t>,</w:t>
      </w:r>
      <w:r w:rsidR="00CE7126" w:rsidRPr="00145FDD">
        <w:rPr>
          <w:b/>
          <w:lang w:val="lt-LT"/>
        </w:rPr>
        <w:t xml:space="preserve"> </w:t>
      </w:r>
      <w:r w:rsidR="00A052FE">
        <w:rPr>
          <w:b/>
          <w:lang w:val="lt-LT"/>
        </w:rPr>
        <w:t xml:space="preserve">Lietuvos banko </w:t>
      </w:r>
      <w:r w:rsidR="00CE7126" w:rsidRPr="00145FDD">
        <w:rPr>
          <w:b/>
          <w:lang w:val="lt-LT"/>
        </w:rPr>
        <w:t>v</w:t>
      </w:r>
      <w:r w:rsidR="00C306C8" w:rsidRPr="00145FDD">
        <w:rPr>
          <w:b/>
          <w:lang w:val="lt-LT"/>
        </w:rPr>
        <w:t>ertin</w:t>
      </w:r>
      <w:r w:rsidR="00A052FE">
        <w:rPr>
          <w:b/>
          <w:lang w:val="lt-LT"/>
        </w:rPr>
        <w:t>i</w:t>
      </w:r>
      <w:r w:rsidR="00C306C8" w:rsidRPr="00145FDD">
        <w:rPr>
          <w:b/>
          <w:lang w:val="lt-LT"/>
        </w:rPr>
        <w:t>m</w:t>
      </w:r>
      <w:r w:rsidR="00A052FE">
        <w:rPr>
          <w:b/>
          <w:lang w:val="lt-LT"/>
        </w:rPr>
        <w:t>u,</w:t>
      </w:r>
      <w:r w:rsidR="00C306C8" w:rsidRPr="00145FDD">
        <w:rPr>
          <w:b/>
          <w:lang w:val="lt-LT"/>
        </w:rPr>
        <w:t xml:space="preserve"> vidaus rinka</w:t>
      </w:r>
      <w:r w:rsidR="00CE7126" w:rsidRPr="00145FDD">
        <w:rPr>
          <w:b/>
          <w:lang w:val="lt-LT"/>
        </w:rPr>
        <w:t xml:space="preserve"> 2021 m.</w:t>
      </w:r>
      <w:r w:rsidR="00C306C8" w:rsidRPr="00145FDD">
        <w:rPr>
          <w:b/>
          <w:lang w:val="lt-LT"/>
        </w:rPr>
        <w:t xml:space="preserve"> turėtų būti pajėgi paskolinti LR Vyriausybei numatomą sumą. </w:t>
      </w:r>
      <w:r w:rsidR="00145FDD" w:rsidRPr="00145FDD">
        <w:rPr>
          <w:lang w:val="lt-LT"/>
        </w:rPr>
        <w:t>Nors ši</w:t>
      </w:r>
      <w:r w:rsidR="00145FDD">
        <w:rPr>
          <w:b/>
          <w:lang w:val="lt-LT"/>
        </w:rPr>
        <w:t xml:space="preserve"> </w:t>
      </w:r>
      <w:r w:rsidR="00145FDD" w:rsidRPr="00A83847">
        <w:rPr>
          <w:lang w:val="lt-LT"/>
        </w:rPr>
        <w:t>suma yra reikšminga ir sudaro apie 9</w:t>
      </w:r>
      <w:r w:rsidR="001964EC">
        <w:rPr>
          <w:lang w:val="lt-LT"/>
        </w:rPr>
        <w:t> </w:t>
      </w:r>
      <w:r w:rsidR="00145FDD" w:rsidRPr="00A83847">
        <w:rPr>
          <w:lang w:val="lt-LT"/>
        </w:rPr>
        <w:t>proc. viso bankų paskolų portfelio</w:t>
      </w:r>
      <w:r w:rsidR="00145FDD">
        <w:rPr>
          <w:lang w:val="lt-LT"/>
        </w:rPr>
        <w:t>,</w:t>
      </w:r>
      <w:r w:rsidR="00145FDD" w:rsidRPr="00A83847">
        <w:rPr>
          <w:lang w:val="lt-LT"/>
        </w:rPr>
        <w:t xml:space="preserve"> </w:t>
      </w:r>
      <w:r w:rsidR="00145FDD">
        <w:rPr>
          <w:lang w:val="lt-LT"/>
        </w:rPr>
        <w:t>v</w:t>
      </w:r>
      <w:r w:rsidR="00145FDD" w:rsidRPr="00A83847">
        <w:rPr>
          <w:lang w:val="lt-LT"/>
        </w:rPr>
        <w:t>is dėlto</w:t>
      </w:r>
      <w:r w:rsidR="00145FDD">
        <w:rPr>
          <w:lang w:val="lt-LT"/>
        </w:rPr>
        <w:t>, b</w:t>
      </w:r>
      <w:r w:rsidR="000D1806">
        <w:rPr>
          <w:lang w:val="lt-LT"/>
        </w:rPr>
        <w:t xml:space="preserve">ankai yra sukaupę </w:t>
      </w:r>
      <w:r w:rsidR="001964EC">
        <w:rPr>
          <w:lang w:val="lt-LT"/>
        </w:rPr>
        <w:t xml:space="preserve">gana </w:t>
      </w:r>
      <w:r w:rsidR="000D1806">
        <w:rPr>
          <w:lang w:val="lt-LT"/>
        </w:rPr>
        <w:t xml:space="preserve">nemažas likvidžių lėšų atsargas, </w:t>
      </w:r>
      <w:r w:rsidR="005370B4">
        <w:rPr>
          <w:lang w:val="lt-LT"/>
        </w:rPr>
        <w:t>kurių laikymas centriniame banke</w:t>
      </w:r>
      <w:r w:rsidR="000D1806">
        <w:rPr>
          <w:lang w:val="lt-LT"/>
        </w:rPr>
        <w:t xml:space="preserve">, vyraujant neigiamoms palūkanoms, </w:t>
      </w:r>
      <w:r w:rsidR="005370B4">
        <w:rPr>
          <w:lang w:val="lt-LT"/>
        </w:rPr>
        <w:t>kainuoja</w:t>
      </w:r>
      <w:r w:rsidR="000D1806">
        <w:rPr>
          <w:lang w:val="lt-LT"/>
        </w:rPr>
        <w:t>. Todėl yra tikėtina, kad neigiamų palūkanų aplinka turėtų sudaryti paskatas</w:t>
      </w:r>
      <w:r w:rsidR="005370B4">
        <w:rPr>
          <w:lang w:val="lt-LT"/>
        </w:rPr>
        <w:t xml:space="preserve"> bankams</w:t>
      </w:r>
      <w:r w:rsidR="000D1806">
        <w:rPr>
          <w:lang w:val="lt-LT"/>
        </w:rPr>
        <w:t xml:space="preserve"> panaudoti </w:t>
      </w:r>
      <w:r w:rsidR="00145FDD">
        <w:rPr>
          <w:lang w:val="lt-LT"/>
        </w:rPr>
        <w:t xml:space="preserve">likvidžias </w:t>
      </w:r>
      <w:r w:rsidR="000D1806">
        <w:rPr>
          <w:lang w:val="lt-LT"/>
        </w:rPr>
        <w:t>lėšas įsigyjant mažo pajamingumo Vyriausybės vertybinius popierius.</w:t>
      </w:r>
    </w:p>
    <w:p w14:paraId="571D8EFD" w14:textId="77777777" w:rsidR="00982B47" w:rsidRPr="00C306C8" w:rsidRDefault="00982B47" w:rsidP="00982B47">
      <w:pPr>
        <w:ind w:firstLine="709"/>
        <w:jc w:val="both"/>
        <w:rPr>
          <w:lang w:val="lt-LT"/>
        </w:rPr>
      </w:pPr>
      <w:r w:rsidRPr="00C306C8">
        <w:rPr>
          <w:b/>
          <w:lang w:val="lt-LT"/>
        </w:rPr>
        <w:t xml:space="preserve">Projektuose numatyti planai didinti finansavimą savivaldos institucijoms ir toliau palaikyti griežtą jų skolinimosi kontrolę finansinio stabilumo kontekste vertintini teigiamai, tačiau reikia </w:t>
      </w:r>
      <w:r w:rsidR="00801D9F">
        <w:rPr>
          <w:b/>
          <w:lang w:val="lt-LT"/>
        </w:rPr>
        <w:t>imtis priemonių ir sumažinti</w:t>
      </w:r>
      <w:r w:rsidRPr="00C306C8">
        <w:rPr>
          <w:b/>
          <w:lang w:val="lt-LT"/>
        </w:rPr>
        <w:t xml:space="preserve"> savivaldos institucijų ir joms priklausančių įmonių finansinių ataskaitų </w:t>
      </w:r>
      <w:r w:rsidR="00801D9F">
        <w:rPr>
          <w:b/>
          <w:lang w:val="lt-LT"/>
        </w:rPr>
        <w:t>netikslumus</w:t>
      </w:r>
      <w:r w:rsidRPr="00C306C8">
        <w:rPr>
          <w:b/>
          <w:lang w:val="lt-LT"/>
        </w:rPr>
        <w:t xml:space="preserve">. </w:t>
      </w:r>
      <w:r w:rsidR="000D1806" w:rsidRPr="00C306C8">
        <w:rPr>
          <w:lang w:val="lt-LT"/>
        </w:rPr>
        <w:t>Savivaldybių skolos limitas</w:t>
      </w:r>
      <w:r w:rsidR="001964EC">
        <w:rPr>
          <w:lang w:val="lt-LT"/>
        </w:rPr>
        <w:t>,</w:t>
      </w:r>
      <w:r w:rsidR="000D1806" w:rsidRPr="00C306C8">
        <w:rPr>
          <w:lang w:val="lt-LT"/>
        </w:rPr>
        <w:t xml:space="preserve"> kaip ir 2020 m.</w:t>
      </w:r>
      <w:r w:rsidR="001964EC">
        <w:rPr>
          <w:lang w:val="lt-LT"/>
        </w:rPr>
        <w:t>,</w:t>
      </w:r>
      <w:r w:rsidR="000D1806">
        <w:rPr>
          <w:lang w:val="lt-LT"/>
        </w:rPr>
        <w:t xml:space="preserve"> negalės viršyti</w:t>
      </w:r>
      <w:r w:rsidR="000D1806" w:rsidRPr="00C306C8">
        <w:rPr>
          <w:lang w:val="lt-LT"/>
        </w:rPr>
        <w:t xml:space="preserve"> </w:t>
      </w:r>
      <w:r w:rsidRPr="00C306C8">
        <w:rPr>
          <w:lang w:val="lt-LT"/>
        </w:rPr>
        <w:t>60 </w:t>
      </w:r>
      <w:r w:rsidR="001964EC">
        <w:rPr>
          <w:lang w:val="lt-LT"/>
        </w:rPr>
        <w:t>proc.</w:t>
      </w:r>
      <w:r w:rsidR="001964EC" w:rsidRPr="00627EDB">
        <w:rPr>
          <w:color w:val="000000"/>
          <w:lang w:val="lt-LT"/>
        </w:rPr>
        <w:t xml:space="preserve"> </w:t>
      </w:r>
      <w:r w:rsidRPr="00627EDB">
        <w:rPr>
          <w:color w:val="000000"/>
          <w:lang w:val="lt-LT"/>
        </w:rPr>
        <w:t>prognozuojamų pajamų</w:t>
      </w:r>
      <w:r w:rsidR="000D1806" w:rsidRPr="00C306C8">
        <w:rPr>
          <w:lang w:val="lt-LT"/>
        </w:rPr>
        <w:t>,</w:t>
      </w:r>
      <w:r w:rsidRPr="00C306C8">
        <w:rPr>
          <w:lang w:val="lt-LT"/>
        </w:rPr>
        <w:t xml:space="preserve"> o Vilniaus m. savivaldyb</w:t>
      </w:r>
      <w:r w:rsidR="001964EC">
        <w:rPr>
          <w:lang w:val="lt-LT"/>
        </w:rPr>
        <w:t>ės</w:t>
      </w:r>
      <w:r w:rsidRPr="00C306C8">
        <w:rPr>
          <w:lang w:val="lt-LT"/>
        </w:rPr>
        <w:t xml:space="preserve"> </w:t>
      </w:r>
      <w:r w:rsidR="000D1806">
        <w:rPr>
          <w:lang w:val="lt-LT"/>
        </w:rPr>
        <w:t>–</w:t>
      </w:r>
      <w:r w:rsidR="000D1806" w:rsidRPr="00C306C8">
        <w:rPr>
          <w:lang w:val="lt-LT"/>
        </w:rPr>
        <w:t xml:space="preserve"> 75 proc.</w:t>
      </w:r>
      <w:r w:rsidRPr="00C306C8">
        <w:rPr>
          <w:lang w:val="lt-LT"/>
        </w:rPr>
        <w:t xml:space="preserve"> Savivaldybių įsipareigojimai pagal garantijas dėl jų valdomų įmonių prisiimtų finansinių įsipareigojimų negalės viršyti 10 proc. prognozuojamų pajamų, o savivaldybių esami įsiskolinimai (išskyrus sumas paskoloms grąžinti) 2022 m. pradžioje negalės būti didesni nei 2021 m. pradžioje. Tokie patys</w:t>
      </w:r>
      <w:r w:rsidR="00C306C8">
        <w:rPr>
          <w:lang w:val="lt-LT"/>
        </w:rPr>
        <w:t>, teigiamai vertinami,</w:t>
      </w:r>
      <w:r w:rsidRPr="00C306C8">
        <w:rPr>
          <w:lang w:val="lt-LT"/>
        </w:rPr>
        <w:t xml:space="preserve"> apribojimai buvo numatyti ir 2020 m. biudžete.</w:t>
      </w:r>
    </w:p>
    <w:p w14:paraId="24035914" w14:textId="7EAE0415" w:rsidR="00641E2D" w:rsidRPr="006530FF" w:rsidRDefault="00982B47" w:rsidP="00982B47">
      <w:pPr>
        <w:ind w:firstLine="709"/>
        <w:jc w:val="both"/>
        <w:rPr>
          <w:lang w:val="lt-LT"/>
        </w:rPr>
      </w:pPr>
      <w:r w:rsidRPr="00C306C8">
        <w:rPr>
          <w:lang w:val="lt-LT"/>
        </w:rPr>
        <w:t>Pa</w:t>
      </w:r>
      <w:r w:rsidR="001964EC">
        <w:rPr>
          <w:lang w:val="lt-LT"/>
        </w:rPr>
        <w:t>žymėtina</w:t>
      </w:r>
      <w:r w:rsidRPr="00C306C8">
        <w:rPr>
          <w:lang w:val="lt-LT"/>
        </w:rPr>
        <w:t xml:space="preserve">, kad </w:t>
      </w:r>
      <w:r w:rsidR="00801D9F">
        <w:rPr>
          <w:lang w:val="lt-LT"/>
        </w:rPr>
        <w:t>ir toliau</w:t>
      </w:r>
      <w:r w:rsidRPr="00C306C8">
        <w:rPr>
          <w:lang w:val="lt-LT"/>
        </w:rPr>
        <w:t xml:space="preserve"> konsoliduotas savivaldos institucijų ir joms priklausančių įmonių finansinių įsipareigojimų dydis</w:t>
      </w:r>
      <w:r w:rsidR="00801D9F" w:rsidRPr="00801D9F">
        <w:rPr>
          <w:lang w:val="lt-LT"/>
        </w:rPr>
        <w:t xml:space="preserve"> </w:t>
      </w:r>
      <w:r w:rsidR="00801D9F">
        <w:rPr>
          <w:lang w:val="lt-LT"/>
        </w:rPr>
        <w:t>išlieka</w:t>
      </w:r>
      <w:r w:rsidR="00801D9F" w:rsidRPr="00C306C8">
        <w:rPr>
          <w:lang w:val="lt-LT"/>
        </w:rPr>
        <w:t xml:space="preserve"> </w:t>
      </w:r>
      <w:r w:rsidR="00801D9F">
        <w:rPr>
          <w:lang w:val="lt-LT"/>
        </w:rPr>
        <w:t>netikslus</w:t>
      </w:r>
      <w:r w:rsidRPr="00C306C8">
        <w:rPr>
          <w:lang w:val="lt-LT"/>
        </w:rPr>
        <w:t xml:space="preserve">. Į su skola susijusių duomenų kokybės </w:t>
      </w:r>
      <w:r w:rsidRPr="00C306C8">
        <w:rPr>
          <w:lang w:val="lt-LT"/>
        </w:rPr>
        <w:lastRenderedPageBreak/>
        <w:t xml:space="preserve">trūkumus savo ataskaitose </w:t>
      </w:r>
      <w:r w:rsidR="00801D9F">
        <w:rPr>
          <w:lang w:val="lt-LT"/>
        </w:rPr>
        <w:t>ne kartą</w:t>
      </w:r>
      <w:r w:rsidR="00801D9F" w:rsidRPr="00C306C8">
        <w:rPr>
          <w:lang w:val="lt-LT"/>
        </w:rPr>
        <w:t xml:space="preserve"> </w:t>
      </w:r>
      <w:r w:rsidRPr="00C306C8">
        <w:rPr>
          <w:lang w:val="lt-LT"/>
        </w:rPr>
        <w:t>atkreipė dėmesį Valstybės kontrolė</w:t>
      </w:r>
      <w:r w:rsidRPr="00C306C8">
        <w:rPr>
          <w:rStyle w:val="FootnoteReference"/>
          <w:lang w:val="lt-LT"/>
        </w:rPr>
        <w:footnoteReference w:id="6"/>
      </w:r>
      <w:r w:rsidRPr="00C306C8">
        <w:rPr>
          <w:lang w:val="lt-LT"/>
        </w:rPr>
        <w:t xml:space="preserve">. </w:t>
      </w:r>
      <w:r w:rsidRPr="00627EDB">
        <w:rPr>
          <w:lang w:val="lt-LT"/>
        </w:rPr>
        <w:t xml:space="preserve">Lietuvos Respublikos </w:t>
      </w:r>
      <w:r w:rsidR="001964EC">
        <w:rPr>
          <w:lang w:val="lt-LT"/>
        </w:rPr>
        <w:t>f</w:t>
      </w:r>
      <w:r w:rsidRPr="00627EDB">
        <w:rPr>
          <w:lang w:val="lt-LT"/>
        </w:rPr>
        <w:t>inansų ministerij</w:t>
      </w:r>
      <w:r w:rsidRPr="00152590">
        <w:rPr>
          <w:lang w:val="lt-LT"/>
        </w:rPr>
        <w:t>a</w:t>
      </w:r>
      <w:r w:rsidR="001964EC">
        <w:rPr>
          <w:lang w:val="lt-LT"/>
        </w:rPr>
        <w:t>,</w:t>
      </w:r>
      <w:r w:rsidRPr="00152590">
        <w:rPr>
          <w:lang w:val="lt-LT"/>
        </w:rPr>
        <w:t xml:space="preserve"> įgyvendindama ankstesnę</w:t>
      </w:r>
      <w:r w:rsidR="00815B72">
        <w:rPr>
          <w:rStyle w:val="FootnoteReference"/>
          <w:lang w:val="lt-LT"/>
        </w:rPr>
        <w:footnoteReference w:id="7"/>
      </w:r>
      <w:r w:rsidRPr="00152590">
        <w:rPr>
          <w:lang w:val="lt-LT"/>
        </w:rPr>
        <w:t xml:space="preserve"> </w:t>
      </w:r>
      <w:r w:rsidRPr="00627EDB">
        <w:rPr>
          <w:lang w:val="lt-LT"/>
        </w:rPr>
        <w:t>Valstybės kontrolės rekomendaciją</w:t>
      </w:r>
      <w:r w:rsidR="001964EC">
        <w:rPr>
          <w:lang w:val="lt-LT"/>
        </w:rPr>
        <w:t>,</w:t>
      </w:r>
      <w:r w:rsidRPr="00627EDB">
        <w:rPr>
          <w:lang w:val="lt-LT"/>
        </w:rPr>
        <w:t xml:space="preserve"> parengė rekomendacijas viešojo sektoriaus subjektams, tačiau t</w:t>
      </w:r>
      <w:r w:rsidR="001964EC">
        <w:rPr>
          <w:lang w:val="lt-LT"/>
        </w:rPr>
        <w:t>o</w:t>
      </w:r>
      <w:r w:rsidRPr="00627EDB">
        <w:rPr>
          <w:lang w:val="lt-LT"/>
        </w:rPr>
        <w:t xml:space="preserve"> </w:t>
      </w:r>
      <w:r w:rsidR="001964EC">
        <w:rPr>
          <w:lang w:val="lt-LT"/>
        </w:rPr>
        <w:t>ne</w:t>
      </w:r>
      <w:r w:rsidRPr="00627EDB">
        <w:rPr>
          <w:lang w:val="lt-LT"/>
        </w:rPr>
        <w:t>pakanka, nes klaid</w:t>
      </w:r>
      <w:r w:rsidR="001964EC">
        <w:rPr>
          <w:lang w:val="lt-LT"/>
        </w:rPr>
        <w:t>ų</w:t>
      </w:r>
      <w:r w:rsidRPr="00627EDB">
        <w:rPr>
          <w:lang w:val="lt-LT"/>
        </w:rPr>
        <w:t xml:space="preserve"> finansinėse ataskaitose vis dar </w:t>
      </w:r>
      <w:r w:rsidR="001964EC">
        <w:rPr>
          <w:lang w:val="lt-LT"/>
        </w:rPr>
        <w:t>yra</w:t>
      </w:r>
      <w:r w:rsidRPr="00627EDB">
        <w:rPr>
          <w:lang w:val="lt-LT"/>
        </w:rPr>
        <w:t>.</w:t>
      </w:r>
      <w:r w:rsidRPr="00C306C8">
        <w:rPr>
          <w:lang w:val="lt-LT"/>
        </w:rPr>
        <w:t> </w:t>
      </w:r>
      <w:bookmarkStart w:id="7" w:name="_Hlk55484235"/>
      <w:r w:rsidRPr="00C306C8">
        <w:rPr>
          <w:lang w:val="lt-LT"/>
        </w:rPr>
        <w:t>Tai kelia riziką, kad realus savivaldos institucijų ir įmonių įsipareigojimų dydis gali būti didesnės vertės</w:t>
      </w:r>
      <w:r w:rsidR="001964EC">
        <w:rPr>
          <w:lang w:val="lt-LT"/>
        </w:rPr>
        <w:t>,</w:t>
      </w:r>
      <w:r w:rsidRPr="00C306C8">
        <w:rPr>
          <w:lang w:val="lt-LT"/>
        </w:rPr>
        <w:t xml:space="preserve"> nei </w:t>
      </w:r>
      <w:bookmarkStart w:id="8" w:name="_Hlk55484214"/>
      <w:r w:rsidR="00E900FC" w:rsidRPr="00E900FC">
        <w:rPr>
          <w:lang w:val="lt-LT"/>
        </w:rPr>
        <w:t>tas, kuris naudojamas vertinant, kaip savivaldos institucijos ir įmonės laikosi skolos limitų. Todėl minėti vertinimai gali būti netikslūs.</w:t>
      </w:r>
      <w:bookmarkEnd w:id="7"/>
      <w:bookmarkEnd w:id="8"/>
      <w:r w:rsidRPr="00C306C8">
        <w:rPr>
          <w:lang w:val="lt-LT"/>
        </w:rPr>
        <w:t xml:space="preserve"> Be to, galimai didesni savivaldybių įsipareigojimai gali kelti didesnę valdžios sektoriaus deficito riziką.</w:t>
      </w:r>
    </w:p>
    <w:p w14:paraId="2F7D0D96" w14:textId="77777777" w:rsidR="00641E2D" w:rsidRPr="00962005" w:rsidRDefault="00641E2D" w:rsidP="00641E2D">
      <w:pPr>
        <w:ind w:firstLine="709"/>
        <w:jc w:val="both"/>
        <w:rPr>
          <w:lang w:val="lt-LT"/>
        </w:rPr>
      </w:pPr>
      <w:r w:rsidRPr="00962005">
        <w:rPr>
          <w:b/>
          <w:lang w:val="lt-LT"/>
        </w:rPr>
        <w:t xml:space="preserve">Kainų raidai Lietuvoje poveikį turės šie </w:t>
      </w:r>
      <w:r w:rsidRPr="00962005">
        <w:rPr>
          <w:b/>
          <w:bCs/>
          <w:lang w:val="lt-LT"/>
        </w:rPr>
        <w:t>projektuose numatyti</w:t>
      </w:r>
      <w:r w:rsidRPr="00962005">
        <w:rPr>
          <w:b/>
          <w:lang w:val="lt-LT"/>
        </w:rPr>
        <w:t xml:space="preserve"> </w:t>
      </w:r>
      <w:r w:rsidR="00B5451C">
        <w:rPr>
          <w:b/>
          <w:lang w:val="lt-LT"/>
        </w:rPr>
        <w:t xml:space="preserve">nauji </w:t>
      </w:r>
      <w:r w:rsidRPr="00962005">
        <w:rPr>
          <w:b/>
          <w:lang w:val="lt-LT"/>
        </w:rPr>
        <w:t>diskretūs</w:t>
      </w:r>
      <w:r w:rsidRPr="00962005">
        <w:rPr>
          <w:b/>
          <w:bCs/>
          <w:lang w:val="lt-LT"/>
        </w:rPr>
        <w:t xml:space="preserve"> </w:t>
      </w:r>
      <w:r w:rsidRPr="00962005">
        <w:rPr>
          <w:b/>
          <w:lang w:val="lt-LT"/>
        </w:rPr>
        <w:t>sprendimai: išmokų vaikams didinimas, didesnis atlygis valdžios sektoriaus darbuotojams</w:t>
      </w:r>
      <w:r w:rsidR="00A87ECB" w:rsidRPr="00962005">
        <w:rPr>
          <w:b/>
          <w:lang w:val="lt-LT"/>
        </w:rPr>
        <w:t>, pensijų didinimas</w:t>
      </w:r>
      <w:r w:rsidRPr="00962005">
        <w:rPr>
          <w:b/>
          <w:lang w:val="lt-LT"/>
        </w:rPr>
        <w:t xml:space="preserve"> </w:t>
      </w:r>
      <w:r w:rsidRPr="00962005">
        <w:rPr>
          <w:b/>
          <w:bCs/>
          <w:lang w:val="lt-LT"/>
        </w:rPr>
        <w:t>ir kt.</w:t>
      </w:r>
      <w:r w:rsidRPr="00962005">
        <w:rPr>
          <w:b/>
          <w:lang w:val="lt-LT"/>
        </w:rPr>
        <w:t xml:space="preserve"> </w:t>
      </w:r>
      <w:r w:rsidRPr="00962005">
        <w:rPr>
          <w:lang w:val="lt-LT"/>
        </w:rPr>
        <w:t>Projektuose planuojami pakeitimai</w:t>
      </w:r>
      <w:r w:rsidR="00A87ECB" w:rsidRPr="00962005">
        <w:rPr>
          <w:lang w:val="lt-LT"/>
        </w:rPr>
        <w:t xml:space="preserve"> </w:t>
      </w:r>
      <w:r w:rsidRPr="00962005">
        <w:rPr>
          <w:lang w:val="lt-LT"/>
        </w:rPr>
        <w:t xml:space="preserve">vidutinę metinę infliaciją </w:t>
      </w:r>
      <w:r w:rsidR="00A87ECB" w:rsidRPr="00962005">
        <w:rPr>
          <w:lang w:val="lt-LT"/>
        </w:rPr>
        <w:t>2021–2023 m.</w:t>
      </w:r>
      <w:r w:rsidRPr="00962005">
        <w:rPr>
          <w:lang w:val="lt-LT"/>
        </w:rPr>
        <w:t xml:space="preserve"> </w:t>
      </w:r>
      <w:r w:rsidR="00A87ECB" w:rsidRPr="00962005">
        <w:rPr>
          <w:lang w:val="lt-LT"/>
        </w:rPr>
        <w:t>pa</w:t>
      </w:r>
      <w:r w:rsidRPr="00962005">
        <w:rPr>
          <w:lang w:val="lt-LT"/>
        </w:rPr>
        <w:t>didint</w:t>
      </w:r>
      <w:r w:rsidR="00A87ECB" w:rsidRPr="00962005">
        <w:rPr>
          <w:lang w:val="lt-LT"/>
        </w:rPr>
        <w:t>ų</w:t>
      </w:r>
      <w:r w:rsidRPr="00962005">
        <w:rPr>
          <w:lang w:val="lt-LT"/>
        </w:rPr>
        <w:t xml:space="preserve"> 0,</w:t>
      </w:r>
      <w:r w:rsidR="00A87ECB" w:rsidRPr="00962005">
        <w:rPr>
          <w:lang w:val="lt-LT"/>
        </w:rPr>
        <w:t xml:space="preserve">2 </w:t>
      </w:r>
      <w:r w:rsidRPr="00962005">
        <w:rPr>
          <w:lang w:val="lt-LT"/>
        </w:rPr>
        <w:t xml:space="preserve">proc. punkto. </w:t>
      </w:r>
      <w:r w:rsidRPr="00962005">
        <w:rPr>
          <w:bCs/>
          <w:lang w:val="lt-LT"/>
        </w:rPr>
        <w:t>Vidutinei</w:t>
      </w:r>
      <w:r w:rsidRPr="00962005">
        <w:rPr>
          <w:lang w:val="lt-LT"/>
        </w:rPr>
        <w:t xml:space="preserve"> metinei infliacijai poveikį</w:t>
      </w:r>
      <w:r w:rsidRPr="00962005">
        <w:rPr>
          <w:bCs/>
          <w:lang w:val="lt-LT"/>
        </w:rPr>
        <w:t xml:space="preserve"> turės šie sprendimai</w:t>
      </w:r>
      <w:r w:rsidRPr="00962005">
        <w:rPr>
          <w:lang w:val="lt-LT"/>
        </w:rPr>
        <w:t>:</w:t>
      </w:r>
    </w:p>
    <w:p w14:paraId="6B7F0B9B" w14:textId="77777777" w:rsidR="00641E2D" w:rsidRPr="00962005" w:rsidRDefault="00641E2D" w:rsidP="00641E2D">
      <w:pPr>
        <w:pStyle w:val="ListParagraph"/>
        <w:numPr>
          <w:ilvl w:val="0"/>
          <w:numId w:val="1"/>
        </w:numPr>
        <w:tabs>
          <w:tab w:val="left" w:pos="993"/>
        </w:tabs>
        <w:ind w:left="0" w:firstLine="709"/>
        <w:jc w:val="both"/>
        <w:rPr>
          <w:rFonts w:ascii="Verdana" w:hAnsi="Verdana"/>
          <w:bCs/>
        </w:rPr>
      </w:pPr>
      <w:r w:rsidRPr="00962005">
        <w:rPr>
          <w:rFonts w:ascii="Verdana" w:hAnsi="Verdana"/>
          <w:b/>
          <w:bCs/>
        </w:rPr>
        <w:t>išmokos vaikams</w:t>
      </w:r>
      <w:r w:rsidRPr="00962005">
        <w:rPr>
          <w:rFonts w:ascii="Verdana" w:hAnsi="Verdana"/>
          <w:bCs/>
        </w:rPr>
        <w:t>. Nuo 202</w:t>
      </w:r>
      <w:r w:rsidR="00A87ECB" w:rsidRPr="00962005">
        <w:rPr>
          <w:rFonts w:ascii="Verdana" w:hAnsi="Verdana"/>
          <w:bCs/>
        </w:rPr>
        <w:t>1</w:t>
      </w:r>
      <w:r w:rsidRPr="00962005">
        <w:rPr>
          <w:rFonts w:ascii="Verdana" w:hAnsi="Verdana"/>
          <w:bCs/>
        </w:rPr>
        <w:t xml:space="preserve"> m. siūloma tikslines išmokas vaikams padidinti nuo </w:t>
      </w:r>
      <w:r w:rsidR="00A87ECB" w:rsidRPr="00962005">
        <w:rPr>
          <w:rFonts w:ascii="Verdana" w:hAnsi="Verdana"/>
          <w:bCs/>
        </w:rPr>
        <w:t>6</w:t>
      </w:r>
      <w:r w:rsidRPr="00962005">
        <w:rPr>
          <w:rFonts w:ascii="Verdana" w:hAnsi="Verdana"/>
          <w:bCs/>
        </w:rPr>
        <w:t xml:space="preserve">0 iki </w:t>
      </w:r>
      <w:r w:rsidR="00A87ECB" w:rsidRPr="00962005">
        <w:rPr>
          <w:rFonts w:ascii="Verdana" w:hAnsi="Verdana"/>
          <w:bCs/>
        </w:rPr>
        <w:t>7</w:t>
      </w:r>
      <w:r w:rsidRPr="00962005">
        <w:rPr>
          <w:rFonts w:ascii="Verdana" w:hAnsi="Verdana"/>
          <w:bCs/>
        </w:rPr>
        <w:t xml:space="preserve">0 </w:t>
      </w:r>
      <w:proofErr w:type="spellStart"/>
      <w:r w:rsidRPr="00962005">
        <w:rPr>
          <w:rFonts w:ascii="Verdana" w:hAnsi="Verdana"/>
          <w:bCs/>
        </w:rPr>
        <w:t>Eur</w:t>
      </w:r>
      <w:proofErr w:type="spellEnd"/>
      <w:r w:rsidRPr="00962005">
        <w:rPr>
          <w:rFonts w:ascii="Verdana" w:hAnsi="Verdana"/>
          <w:bCs/>
        </w:rPr>
        <w:t xml:space="preserve">; </w:t>
      </w:r>
    </w:p>
    <w:p w14:paraId="03ED2A87" w14:textId="77777777" w:rsidR="00641E2D" w:rsidRPr="00962005" w:rsidRDefault="00641E2D" w:rsidP="00641E2D">
      <w:pPr>
        <w:pStyle w:val="ListParagraph"/>
        <w:numPr>
          <w:ilvl w:val="0"/>
          <w:numId w:val="1"/>
        </w:numPr>
        <w:tabs>
          <w:tab w:val="left" w:pos="993"/>
        </w:tabs>
        <w:ind w:left="0" w:firstLine="709"/>
        <w:jc w:val="both"/>
        <w:rPr>
          <w:rFonts w:ascii="Verdana" w:hAnsi="Verdana"/>
          <w:bCs/>
        </w:rPr>
      </w:pPr>
      <w:r w:rsidRPr="00962005">
        <w:rPr>
          <w:rFonts w:ascii="Verdana" w:hAnsi="Verdana"/>
          <w:b/>
        </w:rPr>
        <w:t>atlygis darbuotojams.</w:t>
      </w:r>
      <w:r w:rsidRPr="00962005">
        <w:rPr>
          <w:rFonts w:ascii="Verdana" w:hAnsi="Verdana"/>
        </w:rPr>
        <w:t xml:space="preserve"> Jis 202</w:t>
      </w:r>
      <w:r w:rsidR="00A87ECB" w:rsidRPr="00962005">
        <w:rPr>
          <w:rFonts w:ascii="Verdana" w:hAnsi="Verdana"/>
        </w:rPr>
        <w:t>1</w:t>
      </w:r>
      <w:r w:rsidRPr="00962005">
        <w:rPr>
          <w:rFonts w:ascii="Verdana" w:hAnsi="Verdana"/>
        </w:rPr>
        <w:t> m. didės dėl kelių sprendimų: 1) 202</w:t>
      </w:r>
      <w:r w:rsidR="00A87ECB" w:rsidRPr="00962005">
        <w:rPr>
          <w:rFonts w:ascii="Verdana" w:hAnsi="Verdana"/>
        </w:rPr>
        <w:t>1</w:t>
      </w:r>
      <w:r w:rsidRPr="00962005">
        <w:rPr>
          <w:rFonts w:ascii="Verdana" w:hAnsi="Verdana"/>
        </w:rPr>
        <w:t xml:space="preserve"> m. sausio mėn. nuo </w:t>
      </w:r>
      <w:r w:rsidR="00A87ECB" w:rsidRPr="00962005">
        <w:rPr>
          <w:rFonts w:ascii="Verdana" w:hAnsi="Verdana"/>
        </w:rPr>
        <w:t>607</w:t>
      </w:r>
      <w:r w:rsidRPr="00962005">
        <w:rPr>
          <w:rFonts w:ascii="Verdana" w:hAnsi="Verdana"/>
        </w:rPr>
        <w:t xml:space="preserve"> iki 6</w:t>
      </w:r>
      <w:r w:rsidR="00A87ECB" w:rsidRPr="00962005">
        <w:rPr>
          <w:rFonts w:ascii="Verdana" w:hAnsi="Verdana"/>
        </w:rPr>
        <w:t>42</w:t>
      </w:r>
      <w:r w:rsidRPr="00962005">
        <w:rPr>
          <w:rFonts w:ascii="Verdana" w:hAnsi="Verdana"/>
        </w:rPr>
        <w:t xml:space="preserve"> </w:t>
      </w:r>
      <w:proofErr w:type="spellStart"/>
      <w:r w:rsidRPr="00962005">
        <w:rPr>
          <w:rFonts w:ascii="Verdana" w:hAnsi="Verdana"/>
        </w:rPr>
        <w:t>Eur</w:t>
      </w:r>
      <w:proofErr w:type="spellEnd"/>
      <w:r w:rsidRPr="00962005">
        <w:rPr>
          <w:rFonts w:ascii="Verdana" w:hAnsi="Verdana"/>
        </w:rPr>
        <w:t xml:space="preserve"> padidės minimalioji mėnesinė alga;</w:t>
      </w:r>
      <w:r w:rsidRPr="00962005">
        <w:rPr>
          <w:rFonts w:ascii="Verdana" w:hAnsi="Verdana"/>
          <w:bCs/>
        </w:rPr>
        <w:t xml:space="preserve"> </w:t>
      </w:r>
      <w:r w:rsidRPr="00962005">
        <w:rPr>
          <w:rFonts w:ascii="Verdana" w:hAnsi="Verdana"/>
        </w:rPr>
        <w:t>2) nuo 202</w:t>
      </w:r>
      <w:r w:rsidR="00A87ECB" w:rsidRPr="00962005">
        <w:rPr>
          <w:rFonts w:ascii="Verdana" w:hAnsi="Verdana"/>
        </w:rPr>
        <w:t>1</w:t>
      </w:r>
      <w:r w:rsidRPr="00962005">
        <w:rPr>
          <w:rFonts w:ascii="Verdana" w:hAnsi="Verdana"/>
        </w:rPr>
        <w:t xml:space="preserve"> m. didinamas darbo užmokestis valdžios sektoriaus darbuotojams (dėl pareiginės algos bazinio dydžio didinimo ir kitų vienkartinių sprendimų); </w:t>
      </w:r>
    </w:p>
    <w:p w14:paraId="3C854234" w14:textId="77777777" w:rsidR="00641E2D" w:rsidRPr="00962005" w:rsidRDefault="00641E2D" w:rsidP="00641E2D">
      <w:pPr>
        <w:pStyle w:val="ListParagraph"/>
        <w:numPr>
          <w:ilvl w:val="0"/>
          <w:numId w:val="1"/>
        </w:numPr>
        <w:tabs>
          <w:tab w:val="left" w:pos="993"/>
        </w:tabs>
        <w:ind w:left="0" w:firstLine="709"/>
        <w:jc w:val="both"/>
        <w:rPr>
          <w:rFonts w:ascii="Verdana" w:hAnsi="Verdana"/>
          <w:bCs/>
        </w:rPr>
      </w:pPr>
      <w:r w:rsidRPr="00962005">
        <w:rPr>
          <w:rFonts w:ascii="Verdana" w:hAnsi="Verdana"/>
          <w:b/>
          <w:bCs/>
        </w:rPr>
        <w:t xml:space="preserve">socialinio draudimo sistemos pakeitimai. </w:t>
      </w:r>
      <w:r w:rsidRPr="00962005">
        <w:rPr>
          <w:rFonts w:ascii="Verdana" w:hAnsi="Verdana"/>
          <w:bCs/>
        </w:rPr>
        <w:t>Nuo 202</w:t>
      </w:r>
      <w:r w:rsidR="00A87ECB" w:rsidRPr="00962005">
        <w:rPr>
          <w:rFonts w:ascii="Verdana" w:hAnsi="Verdana"/>
          <w:bCs/>
        </w:rPr>
        <w:t>1</w:t>
      </w:r>
      <w:r w:rsidRPr="00962005">
        <w:rPr>
          <w:rFonts w:ascii="Verdana" w:hAnsi="Verdana"/>
          <w:bCs/>
        </w:rPr>
        <w:t xml:space="preserve"> m. didinamos šalpos išmokos,</w:t>
      </w:r>
      <w:r w:rsidR="00A87ECB" w:rsidRPr="00962005">
        <w:t xml:space="preserve"> </w:t>
      </w:r>
      <w:r w:rsidR="00A87ECB" w:rsidRPr="00962005">
        <w:rPr>
          <w:rFonts w:ascii="Verdana" w:hAnsi="Verdana"/>
          <w:bCs/>
        </w:rPr>
        <w:t>socialinių išmokų baziniai dydžiai, pensijos.</w:t>
      </w:r>
      <w:r w:rsidRPr="00962005">
        <w:rPr>
          <w:rFonts w:ascii="Verdana" w:hAnsi="Verdana"/>
          <w:bCs/>
        </w:rPr>
        <w:t xml:space="preserve"> </w:t>
      </w:r>
    </w:p>
    <w:p w14:paraId="5F499177" w14:textId="77777777" w:rsidR="00641E2D" w:rsidRPr="00D4321A" w:rsidRDefault="00641E2D" w:rsidP="00641E2D">
      <w:pPr>
        <w:ind w:firstLine="709"/>
        <w:jc w:val="both"/>
        <w:rPr>
          <w:lang w:val="lt-LT"/>
        </w:rPr>
      </w:pPr>
      <w:r w:rsidRPr="00527E64">
        <w:rPr>
          <w:lang w:val="lt-LT"/>
        </w:rPr>
        <w:t xml:space="preserve">Šių sprendimų grynasis poveikis gyventojų disponuojamosioms pajamoms bus teigiamas ir sudarys apie </w:t>
      </w:r>
      <w:r w:rsidR="002F382E" w:rsidRPr="00527E64">
        <w:rPr>
          <w:lang w:val="lt-LT"/>
        </w:rPr>
        <w:t>4</w:t>
      </w:r>
      <w:r w:rsidR="00014EE4">
        <w:rPr>
          <w:lang w:val="lt-LT"/>
        </w:rPr>
        <w:t>94</w:t>
      </w:r>
      <w:r w:rsidRPr="00527E64">
        <w:rPr>
          <w:lang w:val="lt-LT"/>
        </w:rPr>
        <w:t xml:space="preserve"> mln. </w:t>
      </w:r>
      <w:proofErr w:type="spellStart"/>
      <w:r w:rsidRPr="00527E64">
        <w:rPr>
          <w:lang w:val="lt-LT"/>
        </w:rPr>
        <w:t>Eur</w:t>
      </w:r>
      <w:proofErr w:type="spellEnd"/>
      <w:r w:rsidRPr="00527E64">
        <w:rPr>
          <w:lang w:val="lt-LT"/>
        </w:rPr>
        <w:t>. Makroekonominiu požiūriu individualūs priemonių poveikiai infliacijai yra maži, todėl pateiktas suminis poveikio vertinimas.</w:t>
      </w:r>
    </w:p>
    <w:p w14:paraId="245E7480" w14:textId="77777777" w:rsidR="0087202C" w:rsidRDefault="0087202C" w:rsidP="00050B0E">
      <w:pPr>
        <w:rPr>
          <w:lang w:val="lt-LT"/>
        </w:rPr>
      </w:pPr>
    </w:p>
    <w:p w14:paraId="56A8060D" w14:textId="77777777" w:rsidR="00A87ECB" w:rsidRDefault="00A87ECB" w:rsidP="00050B0E">
      <w:pPr>
        <w:rPr>
          <w:lang w:val="lt-LT"/>
        </w:rPr>
      </w:pPr>
    </w:p>
    <w:p w14:paraId="06FCF95E" w14:textId="77777777" w:rsidR="00A87ECB" w:rsidRPr="00D4321A" w:rsidRDefault="00A87ECB" w:rsidP="00050B0E">
      <w:pPr>
        <w:rPr>
          <w:lang w:val="lt-LT"/>
        </w:rPr>
      </w:pPr>
    </w:p>
    <w:p w14:paraId="31F73A0E" w14:textId="77777777" w:rsidR="0087202C" w:rsidRPr="00D4321A" w:rsidRDefault="0087202C" w:rsidP="00050B0E">
      <w:pPr>
        <w:rPr>
          <w:lang w:val="lt-LT"/>
        </w:rPr>
      </w:pPr>
    </w:p>
    <w:p w14:paraId="747AF9AF" w14:textId="77777777" w:rsidR="0087202C" w:rsidRPr="00D4321A" w:rsidRDefault="0087202C" w:rsidP="00050B0E">
      <w:pPr>
        <w:rPr>
          <w:lang w:val="lt-LT"/>
        </w:rPr>
      </w:pPr>
    </w:p>
    <w:p w14:paraId="2CC99D2B" w14:textId="77777777" w:rsidR="0087202C" w:rsidRPr="00D4321A" w:rsidRDefault="0087202C" w:rsidP="00050B0E">
      <w:pPr>
        <w:rPr>
          <w:lang w:val="lt-LT"/>
        </w:rPr>
      </w:pPr>
    </w:p>
    <w:tbl>
      <w:tblPr>
        <w:tblW w:w="9498" w:type="dxa"/>
        <w:tblInd w:w="108" w:type="dxa"/>
        <w:tblLayout w:type="fixed"/>
        <w:tblLook w:val="0000" w:firstRow="0" w:lastRow="0" w:firstColumn="0" w:lastColumn="0" w:noHBand="0" w:noVBand="0"/>
      </w:tblPr>
      <w:tblGrid>
        <w:gridCol w:w="4695"/>
        <w:gridCol w:w="4803"/>
      </w:tblGrid>
      <w:tr w:rsidR="00A64954" w:rsidRPr="00D4321A" w14:paraId="21A07DD7" w14:textId="77777777" w:rsidTr="00255AD3">
        <w:tc>
          <w:tcPr>
            <w:tcW w:w="4695" w:type="dxa"/>
          </w:tcPr>
          <w:p w14:paraId="4D9F585B" w14:textId="77777777" w:rsidR="00A64954" w:rsidRPr="00D4321A" w:rsidRDefault="00A64954" w:rsidP="00A27554">
            <w:pPr>
              <w:rPr>
                <w:lang w:val="lt-LT"/>
              </w:rPr>
            </w:pPr>
            <w:r w:rsidRPr="00D4321A">
              <w:rPr>
                <w:lang w:val="lt-LT"/>
              </w:rPr>
              <w:fldChar w:fldCharType="begin"/>
            </w:r>
            <w:r w:rsidRPr="00D4321A">
              <w:rPr>
                <w:lang w:val="lt-LT"/>
              </w:rPr>
              <w:instrText xml:space="preserve"> DOCPROPERTY  "pas_pareigos" </w:instrText>
            </w:r>
            <w:r w:rsidRPr="00D4321A">
              <w:rPr>
                <w:lang w:val="lt-LT"/>
              </w:rPr>
              <w:fldChar w:fldCharType="separate"/>
            </w:r>
            <w:r w:rsidR="00A27554">
              <w:rPr>
                <w:lang w:val="lt-LT"/>
              </w:rPr>
              <w:t>    </w:t>
            </w:r>
            <w:r w:rsidRPr="00D4321A">
              <w:rPr>
                <w:lang w:val="lt-LT"/>
              </w:rPr>
              <w:fldChar w:fldCharType="end"/>
            </w:r>
          </w:p>
        </w:tc>
        <w:tc>
          <w:tcPr>
            <w:tcW w:w="4803" w:type="dxa"/>
          </w:tcPr>
          <w:p w14:paraId="750D7DD0" w14:textId="77777777" w:rsidR="00A64954" w:rsidRPr="00D4321A" w:rsidRDefault="00A64954" w:rsidP="00A27554">
            <w:pPr>
              <w:pStyle w:val="Heading3"/>
              <w:jc w:val="right"/>
              <w:rPr>
                <w:sz w:val="20"/>
              </w:rPr>
            </w:pPr>
            <w:r w:rsidRPr="00D4321A">
              <w:rPr>
                <w:sz w:val="20"/>
              </w:rPr>
              <w:fldChar w:fldCharType="begin"/>
            </w:r>
            <w:r w:rsidRPr="00D4321A">
              <w:rPr>
                <w:sz w:val="20"/>
              </w:rPr>
              <w:instrText xml:space="preserve"> DOCPROPERTY  "dok_pasirase" </w:instrText>
            </w:r>
            <w:r w:rsidRPr="00D4321A">
              <w:rPr>
                <w:sz w:val="20"/>
              </w:rPr>
              <w:fldChar w:fldCharType="separate"/>
            </w:r>
            <w:r w:rsidR="00A27554">
              <w:rPr>
                <w:sz w:val="20"/>
              </w:rPr>
              <w:t>    </w:t>
            </w:r>
            <w:r w:rsidRPr="00D4321A">
              <w:rPr>
                <w:sz w:val="20"/>
              </w:rPr>
              <w:fldChar w:fldCharType="end"/>
            </w:r>
          </w:p>
        </w:tc>
      </w:tr>
    </w:tbl>
    <w:p w14:paraId="25085C87" w14:textId="77777777" w:rsidR="0087202C" w:rsidRPr="00D4321A" w:rsidRDefault="0087202C">
      <w:pPr>
        <w:rPr>
          <w:lang w:val="lt-LT"/>
        </w:rPr>
      </w:pPr>
    </w:p>
    <w:p w14:paraId="4CD25C17" w14:textId="77777777" w:rsidR="0087202C" w:rsidRPr="00D4321A" w:rsidRDefault="0087202C">
      <w:pPr>
        <w:rPr>
          <w:lang w:val="lt-LT"/>
        </w:rPr>
      </w:pPr>
    </w:p>
    <w:p w14:paraId="3D23CF46" w14:textId="77777777" w:rsidR="0087202C" w:rsidRPr="00D4321A" w:rsidRDefault="0087202C">
      <w:pPr>
        <w:rPr>
          <w:lang w:val="lt-LT"/>
        </w:rPr>
      </w:pPr>
    </w:p>
    <w:p w14:paraId="21D38001" w14:textId="77777777" w:rsidR="0087202C" w:rsidRPr="00D4321A" w:rsidRDefault="0087202C">
      <w:pPr>
        <w:rPr>
          <w:lang w:val="lt-LT"/>
        </w:rPr>
      </w:pPr>
    </w:p>
    <w:p w14:paraId="49E27C75" w14:textId="77777777" w:rsidR="0087202C" w:rsidRPr="00D4321A" w:rsidRDefault="0087202C">
      <w:pPr>
        <w:rPr>
          <w:lang w:val="lt-LT"/>
        </w:rPr>
      </w:pPr>
    </w:p>
    <w:p w14:paraId="10CD6308" w14:textId="77777777" w:rsidR="0087202C" w:rsidRPr="00D4321A" w:rsidRDefault="0087202C">
      <w:pPr>
        <w:rPr>
          <w:lang w:val="lt-LT"/>
        </w:rPr>
      </w:pPr>
    </w:p>
    <w:p w14:paraId="325CEB2C" w14:textId="77777777" w:rsidR="0087202C" w:rsidRPr="00D4321A" w:rsidRDefault="0087202C">
      <w:pPr>
        <w:rPr>
          <w:lang w:val="lt-LT"/>
        </w:rPr>
      </w:pPr>
    </w:p>
    <w:p w14:paraId="31B6B27B" w14:textId="77777777" w:rsidR="0087202C" w:rsidRPr="00D4321A" w:rsidRDefault="0087202C">
      <w:pPr>
        <w:rPr>
          <w:lang w:val="lt-LT"/>
        </w:rPr>
      </w:pPr>
    </w:p>
    <w:p w14:paraId="48E9D4B3" w14:textId="77777777" w:rsidR="007C5EC1" w:rsidRPr="00D4321A" w:rsidRDefault="007C5EC1">
      <w:pPr>
        <w:rPr>
          <w:lang w:val="lt-LT"/>
        </w:rPr>
      </w:pPr>
    </w:p>
    <w:p w14:paraId="4D91C3D3" w14:textId="77777777" w:rsidR="00067CF5" w:rsidRDefault="00067CF5">
      <w:pPr>
        <w:rPr>
          <w:lang w:val="lt-LT"/>
        </w:rPr>
      </w:pPr>
    </w:p>
    <w:p w14:paraId="6C124599" w14:textId="77777777" w:rsidR="00067CF5" w:rsidRPr="00D4321A" w:rsidRDefault="00067CF5">
      <w:pPr>
        <w:rPr>
          <w:lang w:val="lt-LT"/>
        </w:rPr>
      </w:pPr>
    </w:p>
    <w:p w14:paraId="1404F785" w14:textId="77777777" w:rsidR="00641E2D" w:rsidRPr="00D32B35" w:rsidRDefault="00641E2D" w:rsidP="00641E2D">
      <w:pPr>
        <w:rPr>
          <w:lang w:val="lt-LT"/>
        </w:rPr>
      </w:pPr>
      <w:r w:rsidRPr="00D32B35">
        <w:rPr>
          <w:lang w:val="lt-LT"/>
        </w:rPr>
        <w:t>Gintarė Zelionkaitė, tel. (8 5) 268 0108</w:t>
      </w:r>
    </w:p>
    <w:p w14:paraId="1D986363" w14:textId="77777777" w:rsidR="00641E2D" w:rsidRPr="00D32B35" w:rsidRDefault="00641E2D" w:rsidP="00641E2D">
      <w:pPr>
        <w:rPr>
          <w:lang w:val="lt-LT"/>
        </w:rPr>
      </w:pPr>
      <w:r w:rsidRPr="00D32B35">
        <w:rPr>
          <w:lang w:val="lt-LT"/>
        </w:rPr>
        <w:t>Eglė Coppa, tel. (8 5) 268 0144</w:t>
      </w:r>
    </w:p>
    <w:p w14:paraId="7A299E09" w14:textId="77777777" w:rsidR="00BB39AD" w:rsidRPr="00D32B35" w:rsidRDefault="00641E2D" w:rsidP="00641E2D">
      <w:pPr>
        <w:rPr>
          <w:lang w:val="lt-LT"/>
        </w:rPr>
      </w:pPr>
      <w:r w:rsidRPr="00D32B35">
        <w:rPr>
          <w:lang w:val="lt-LT"/>
        </w:rPr>
        <w:t>Ernestas Virbickas, tel. (8 5) 268 0139</w:t>
      </w:r>
    </w:p>
    <w:p w14:paraId="29A0ADA4" w14:textId="77777777" w:rsidR="00A87ECB" w:rsidRPr="00564423" w:rsidRDefault="00A87ECB" w:rsidP="00641E2D">
      <w:r w:rsidRPr="00D32B35">
        <w:rPr>
          <w:lang w:val="lt-LT"/>
        </w:rPr>
        <w:t>Paulius Mo</w:t>
      </w:r>
      <w:r w:rsidR="004A7B6C">
        <w:rPr>
          <w:lang w:val="lt-LT"/>
        </w:rPr>
        <w:t>r</w:t>
      </w:r>
      <w:r w:rsidRPr="00D32B35">
        <w:rPr>
          <w:lang w:val="lt-LT"/>
        </w:rPr>
        <w:t xml:space="preserve">kūnas, </w:t>
      </w:r>
      <w:r w:rsidR="00564423" w:rsidRPr="00D32B35">
        <w:rPr>
          <w:lang w:val="lt-LT"/>
        </w:rPr>
        <w:t>tel. (8 5) 268 009</w:t>
      </w:r>
      <w:r w:rsidR="00564423" w:rsidRPr="00D32B35">
        <w:t>1</w:t>
      </w:r>
    </w:p>
    <w:sectPr w:rsidR="00A87ECB" w:rsidRPr="00564423" w:rsidSect="003172E1">
      <w:headerReference w:type="default" r:id="rId12"/>
      <w:footerReference w:type="first" r:id="rId13"/>
      <w:type w:val="continuous"/>
      <w:pgSz w:w="11907" w:h="16840" w:code="9"/>
      <w:pgMar w:top="1134" w:right="680" w:bottom="1134" w:left="1701" w:header="567" w:footer="567" w:gutter="0"/>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49D35" w14:textId="77777777" w:rsidR="006F798E" w:rsidRDefault="006F798E">
      <w:r>
        <w:separator/>
      </w:r>
    </w:p>
  </w:endnote>
  <w:endnote w:type="continuationSeparator" w:id="0">
    <w:p w14:paraId="73394C30" w14:textId="77777777" w:rsidR="006F798E" w:rsidRDefault="006F798E">
      <w:r>
        <w:continuationSeparator/>
      </w:r>
    </w:p>
  </w:endnote>
  <w:endnote w:type="continuationNotice" w:id="1">
    <w:p w14:paraId="6AC873AA" w14:textId="77777777" w:rsidR="006F798E" w:rsidRDefault="006F79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132EF" w14:textId="77777777" w:rsidR="002E33F9" w:rsidRPr="00D4321A" w:rsidRDefault="002E33F9" w:rsidP="00CC4D82">
    <w:pPr>
      <w:jc w:val="center"/>
      <w:rPr>
        <w:sz w:val="16"/>
        <w:lang w:val="lt-LT"/>
      </w:rPr>
    </w:pPr>
    <w:r>
      <w:rPr>
        <w:noProof/>
        <w:lang w:val="lt-LT" w:eastAsia="lt-LT"/>
      </w:rPr>
      <mc:AlternateContent>
        <mc:Choice Requires="wps">
          <w:drawing>
            <wp:anchor distT="0" distB="0" distL="114300" distR="114300" simplePos="0" relativeHeight="251658240" behindDoc="0" locked="0" layoutInCell="1" allowOverlap="1" wp14:anchorId="57B6F9A9" wp14:editId="2194AC80">
              <wp:simplePos x="0" y="0"/>
              <wp:positionH relativeFrom="column">
                <wp:posOffset>-11430</wp:posOffset>
              </wp:positionH>
              <wp:positionV relativeFrom="paragraph">
                <wp:posOffset>-63500</wp:posOffset>
              </wp:positionV>
              <wp:extent cx="621792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9525">
                        <a:solidFill>
                          <a:srgbClr val="00B0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FA158B"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pt" to="488.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RuLwgEAAGkDAAAOAAAAZHJzL2Uyb0RvYy54bWysU01vGyEQvVfqf0Dc612vlKRZeR0pdtOL&#10;21pK+gPGwO6isgwC7F3/+w74I017q3JBMPPmMfMeLB6mwbCD8kGjbfh8VnKmrECpbdfwny9Pnz5z&#10;FiJYCQatavhRBf6w/PhhMbpaVdijkcozIrGhHl3D+xhdXRRB9GqAMEOnLCVb9ANEOvqukB5GYh9M&#10;UZXlbTGil86jUCFQdH1K8mXmb1sl4o+2DSoy03DqLebV53WX1mK5gLrz4Hotzm3Af3QxgLZ06ZVq&#10;DRHY3ut/qAYtPAZs40zgUGDbaqHyDDTNvPxrmucenMqzkDjBXWUK70crvh+2nmlJ3nFmYSCLNtoq&#10;Nk/KjC7UBFjZrU+zick+uw2KX4FZXPVgO5U7fDk6KssVxZuSdAiO+HfjN5SEgX3ELNPU+iFRkgBs&#10;ym4cr26oKTJBwdtqfndfkWnikiugvhQ6H+JXhQNLm4Yb6jkTw2ETIrVO0Ask3WPxSRuTzTaWjQ2/&#10;v6luckFAo2VKJljw3W5lPDtAei7lY3m3TjoQ2RuYx72VmaxXIL+c9xG0Oe0JbyyVXeY/KblDedz6&#10;RJfi5GcmPr+99GD+PGfU6w9Z/gYAAP//AwBQSwMEFAAGAAgAAAAhAAKqHYvdAAAACgEAAA8AAABk&#10;cnMvZG93bnJldi54bWxMj0FPwzAMhe9I/IfISNy2ZBMwKE0nNIkDFwRlHLh5jWkLjVM12dr9ezwJ&#10;CU6W/Z6ev5evJ9+pAw2xDWxhMTegiKvgWq4tbN8eZ7egYkJ22AUmC0eKsC7Oz3LMXBj5lQ5lqpWE&#10;cMzQQpNSn2kdq4Y8xnnoiUX7DIPHJOtQazfgKOG+00tjbrTHluVDgz1tGqq+y7238PS1LRN+vLul&#10;uR7r5/HlOFZ+Y+3lxfRwDyrRlP7McMIXdCiEaRf27KLqLMwWQp5O00gnMdytVlegdr8XXeT6f4Xi&#10;BwAA//8DAFBLAQItABQABgAIAAAAIQC2gziS/gAAAOEBAAATAAAAAAAAAAAAAAAAAAAAAABbQ29u&#10;dGVudF9UeXBlc10ueG1sUEsBAi0AFAAGAAgAAAAhADj9If/WAAAAlAEAAAsAAAAAAAAAAAAAAAAA&#10;LwEAAF9yZWxzLy5yZWxzUEsBAi0AFAAGAAgAAAAhAA/pG4vCAQAAaQMAAA4AAAAAAAAAAAAAAAAA&#10;LgIAAGRycy9lMm9Eb2MueG1sUEsBAi0AFAAGAAgAAAAhAAKqHYvdAAAACgEAAA8AAAAAAAAAAAAA&#10;AAAAHAQAAGRycy9kb3ducmV2LnhtbFBLBQYAAAAABAAEAPMAAAAmBQAAAAA=&#10;" strokecolor="#00b07d"/>
          </w:pict>
        </mc:Fallback>
      </mc:AlternateContent>
    </w:r>
    <w:r w:rsidRPr="00D4321A">
      <w:rPr>
        <w:sz w:val="16"/>
        <w:lang w:val="lt-LT"/>
      </w:rPr>
      <w:t xml:space="preserve">Centrinis bankas, Gedimino pr. 6, LT-01103 Vilnius, tel. (8 5) 268 0029, faks. (8 5) 268 0038, el. p. </w:t>
    </w:r>
    <w:hyperlink r:id="rId1" w:history="1">
      <w:r w:rsidRPr="00D4321A">
        <w:rPr>
          <w:rStyle w:val="Hyperlink"/>
          <w:sz w:val="16"/>
          <w:lang w:val="lt-LT"/>
        </w:rPr>
        <w:t>info@lb.lt</w:t>
      </w:r>
    </w:hyperlink>
  </w:p>
  <w:p w14:paraId="7C2BC347" w14:textId="77777777" w:rsidR="002E33F9" w:rsidRDefault="002E33F9" w:rsidP="00CC4D82">
    <w:pPr>
      <w:jc w:val="center"/>
      <w:rPr>
        <w:sz w:val="16"/>
        <w:lang w:val="lt-LT"/>
      </w:rPr>
    </w:pPr>
    <w:r w:rsidRPr="00D4321A">
      <w:rPr>
        <w:sz w:val="16"/>
        <w:lang w:val="lt-LT"/>
      </w:rPr>
      <w:t>Duomenys kaupiami ir saugomi Juridinių asmenų registre, kodas 188607684</w:t>
    </w:r>
  </w:p>
  <w:p w14:paraId="35EF6D6F" w14:textId="77777777" w:rsidR="002E33F9" w:rsidRPr="00273716" w:rsidRDefault="002E33F9" w:rsidP="00CC4D82">
    <w:pPr>
      <w:jc w:val="center"/>
      <w:rPr>
        <w:sz w:val="16"/>
        <w:szCs w:val="16"/>
        <w:lang w:val="lt-LT"/>
      </w:rPr>
    </w:pPr>
    <w:r w:rsidRPr="00273716">
      <w:rPr>
        <w:rFonts w:eastAsia="Calibri"/>
        <w:sz w:val="16"/>
        <w:szCs w:val="16"/>
        <w:lang w:val="lt-LT"/>
      </w:rPr>
      <w:t xml:space="preserve">Informacija apie asmens duomenų apsaugą pateikta </w:t>
    </w:r>
    <w:hyperlink r:id="rId2" w:history="1">
      <w:r w:rsidRPr="005011B5">
        <w:rPr>
          <w:rStyle w:val="Hyperlink"/>
          <w:rFonts w:eastAsia="Calibri"/>
          <w:sz w:val="16"/>
          <w:szCs w:val="16"/>
          <w:lang w:val="lt-LT"/>
        </w:rPr>
        <w:t>https://www.lb.lt/lt/asmens-duomenu-apsauga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ABA8D" w14:textId="77777777" w:rsidR="006F798E" w:rsidRDefault="006F798E">
      <w:r>
        <w:separator/>
      </w:r>
    </w:p>
  </w:footnote>
  <w:footnote w:type="continuationSeparator" w:id="0">
    <w:p w14:paraId="7F4277E9" w14:textId="77777777" w:rsidR="006F798E" w:rsidRDefault="006F798E">
      <w:r>
        <w:continuationSeparator/>
      </w:r>
    </w:p>
  </w:footnote>
  <w:footnote w:type="continuationNotice" w:id="1">
    <w:p w14:paraId="5F0B1F9D" w14:textId="77777777" w:rsidR="006F798E" w:rsidRDefault="006F798E"/>
  </w:footnote>
  <w:footnote w:id="2">
    <w:p w14:paraId="5FAA77C0" w14:textId="77777777" w:rsidR="002E33F9" w:rsidRPr="003F110C" w:rsidRDefault="002E33F9" w:rsidP="003F110C">
      <w:pPr>
        <w:pStyle w:val="FootnoteText"/>
        <w:jc w:val="both"/>
        <w:rPr>
          <w:rFonts w:ascii="Verdana" w:hAnsi="Verdana"/>
          <w:sz w:val="14"/>
          <w:szCs w:val="14"/>
        </w:rPr>
      </w:pPr>
      <w:r w:rsidRPr="003F110C">
        <w:rPr>
          <w:rStyle w:val="FootnoteReference"/>
          <w:rFonts w:ascii="Verdana" w:hAnsi="Verdana"/>
          <w:sz w:val="14"/>
          <w:szCs w:val="14"/>
        </w:rPr>
        <w:footnoteRef/>
      </w:r>
      <w:r w:rsidRPr="003F110C">
        <w:rPr>
          <w:rFonts w:ascii="Verdana" w:hAnsi="Verdana"/>
          <w:sz w:val="14"/>
          <w:szCs w:val="14"/>
        </w:rPr>
        <w:t xml:space="preserve"> Lietuvos Respublikos 2021 m. valstybės biudžeto ir savivaldybių biudžetų finansinių rodiklių patvirtinimo įstatymo projektas ir jo priedai, Nr. XIIIP-5302, 2020 m. spalio 15 d.;</w:t>
      </w:r>
    </w:p>
    <w:p w14:paraId="29C0E501" w14:textId="77777777" w:rsidR="002E33F9" w:rsidRDefault="002E33F9" w:rsidP="003F110C">
      <w:pPr>
        <w:pStyle w:val="FootnoteText"/>
        <w:jc w:val="both"/>
        <w:rPr>
          <w:rFonts w:ascii="Verdana" w:hAnsi="Verdana"/>
          <w:sz w:val="14"/>
          <w:szCs w:val="14"/>
        </w:rPr>
      </w:pPr>
      <w:r w:rsidRPr="003F110C">
        <w:rPr>
          <w:rFonts w:ascii="Verdana" w:hAnsi="Verdana"/>
          <w:sz w:val="14"/>
          <w:szCs w:val="14"/>
        </w:rPr>
        <w:t>Lietuvos Respublikos valstybinio socialinio draudimo fondo biudžeto 2021 m</w:t>
      </w:r>
      <w:r>
        <w:rPr>
          <w:rFonts w:ascii="Verdana" w:hAnsi="Verdana"/>
          <w:sz w:val="14"/>
          <w:szCs w:val="14"/>
        </w:rPr>
        <w:t xml:space="preserve">. </w:t>
      </w:r>
      <w:r w:rsidRPr="003F110C">
        <w:rPr>
          <w:rFonts w:ascii="Verdana" w:hAnsi="Verdana"/>
          <w:sz w:val="14"/>
          <w:szCs w:val="14"/>
        </w:rPr>
        <w:t xml:space="preserve">rodiklių patvirtinimo įstatymo projektas ir jo priedai, </w:t>
      </w:r>
      <w:r>
        <w:rPr>
          <w:rFonts w:ascii="Verdana" w:hAnsi="Verdana"/>
          <w:sz w:val="14"/>
          <w:szCs w:val="14"/>
        </w:rPr>
        <w:t>Nr.</w:t>
      </w:r>
      <w:r w:rsidR="000E09D4">
        <w:rPr>
          <w:rFonts w:ascii="Verdana" w:hAnsi="Verdana"/>
          <w:sz w:val="14"/>
          <w:szCs w:val="14"/>
        </w:rPr>
        <w:t> </w:t>
      </w:r>
      <w:r w:rsidRPr="003F110C">
        <w:rPr>
          <w:rFonts w:ascii="Verdana" w:hAnsi="Verdana"/>
          <w:sz w:val="14"/>
          <w:szCs w:val="14"/>
        </w:rPr>
        <w:t>20-13380(2), 2020 m. spalio 14 d.;</w:t>
      </w:r>
    </w:p>
    <w:p w14:paraId="681E328D" w14:textId="77777777" w:rsidR="002E33F9" w:rsidRPr="003F110C" w:rsidRDefault="002E33F9" w:rsidP="003F110C">
      <w:pPr>
        <w:pStyle w:val="FootnoteText"/>
        <w:jc w:val="both"/>
        <w:rPr>
          <w:rFonts w:ascii="Verdana" w:hAnsi="Verdana"/>
          <w:sz w:val="14"/>
          <w:szCs w:val="14"/>
        </w:rPr>
      </w:pPr>
      <w:r w:rsidRPr="003F110C">
        <w:rPr>
          <w:rFonts w:ascii="Verdana" w:hAnsi="Verdana"/>
          <w:sz w:val="14"/>
          <w:szCs w:val="14"/>
        </w:rPr>
        <w:t>Lietuvos Respublikos 2021 m</w:t>
      </w:r>
      <w:r>
        <w:rPr>
          <w:rFonts w:ascii="Verdana" w:hAnsi="Verdana"/>
          <w:sz w:val="14"/>
          <w:szCs w:val="14"/>
        </w:rPr>
        <w:t>.</w:t>
      </w:r>
      <w:r w:rsidRPr="003F110C">
        <w:rPr>
          <w:rFonts w:ascii="Verdana" w:hAnsi="Verdana"/>
          <w:sz w:val="14"/>
          <w:szCs w:val="14"/>
        </w:rPr>
        <w:t xml:space="preserve"> privalomojo sveikatos draudimo fondo biudžeto rodiklių patvirtinimo įstatymo projektas</w:t>
      </w:r>
      <w:r>
        <w:rPr>
          <w:rFonts w:ascii="Verdana" w:hAnsi="Verdana"/>
          <w:sz w:val="14"/>
          <w:szCs w:val="14"/>
        </w:rPr>
        <w:t xml:space="preserve"> ir jo priedai, Nr.</w:t>
      </w:r>
      <w:r w:rsidR="000E09D4">
        <w:rPr>
          <w:rFonts w:ascii="Verdana" w:hAnsi="Verdana"/>
          <w:sz w:val="14"/>
          <w:szCs w:val="14"/>
        </w:rPr>
        <w:t> </w:t>
      </w:r>
      <w:r w:rsidRPr="003F110C">
        <w:rPr>
          <w:rFonts w:ascii="Verdana" w:hAnsi="Verdana"/>
          <w:sz w:val="14"/>
          <w:szCs w:val="14"/>
        </w:rPr>
        <w:t>20-13826(2)</w:t>
      </w:r>
      <w:r>
        <w:rPr>
          <w:rFonts w:ascii="Verdana" w:hAnsi="Verdana"/>
          <w:sz w:val="14"/>
          <w:szCs w:val="14"/>
        </w:rPr>
        <w:t xml:space="preserve">, </w:t>
      </w:r>
      <w:r w:rsidRPr="003F110C">
        <w:rPr>
          <w:rFonts w:ascii="Verdana" w:hAnsi="Verdana"/>
          <w:sz w:val="14"/>
          <w:szCs w:val="14"/>
        </w:rPr>
        <w:t>2020 m. spalio 14 d.;</w:t>
      </w:r>
    </w:p>
    <w:p w14:paraId="6986273B" w14:textId="77777777" w:rsidR="002E33F9" w:rsidRPr="003F110C" w:rsidRDefault="002E33F9" w:rsidP="003F110C">
      <w:pPr>
        <w:pStyle w:val="FootnoteText"/>
        <w:jc w:val="both"/>
        <w:rPr>
          <w:rFonts w:ascii="Verdana" w:hAnsi="Verdana"/>
          <w:i/>
          <w:sz w:val="14"/>
          <w:szCs w:val="14"/>
        </w:rPr>
      </w:pPr>
      <w:r w:rsidRPr="003F110C">
        <w:rPr>
          <w:rFonts w:ascii="Verdana" w:hAnsi="Verdana"/>
          <w:sz w:val="14"/>
          <w:szCs w:val="14"/>
        </w:rPr>
        <w:t>2021 metų Lietuvos biudžeto projektas, 2020 m. spalio 16 d. pateiktas Europos Komisijai ir Eurogrupei (https://ec.europa.eu/info/sites/info/files/economy-finance/2021_dbp_lt_lt_0.pdf</w:t>
      </w:r>
      <w:r w:rsidRPr="003F110C">
        <w:rPr>
          <w:rFonts w:ascii="Verdana" w:hAnsi="Verdana"/>
          <w:iCs/>
          <w:sz w:val="14"/>
          <w:szCs w:val="14"/>
        </w:rPr>
        <w:t>)</w:t>
      </w:r>
      <w:r w:rsidRPr="003F110C">
        <w:rPr>
          <w:rFonts w:ascii="Verdana" w:hAnsi="Verdana"/>
          <w:i/>
          <w:sz w:val="14"/>
          <w:szCs w:val="14"/>
        </w:rPr>
        <w:t>.</w:t>
      </w:r>
    </w:p>
  </w:footnote>
  <w:footnote w:id="3">
    <w:p w14:paraId="5A9C04BC" w14:textId="77777777" w:rsidR="002E33F9" w:rsidRPr="00AF2E66" w:rsidRDefault="002E33F9" w:rsidP="003F110C">
      <w:pPr>
        <w:pStyle w:val="FootnoteText"/>
        <w:jc w:val="both"/>
        <w:rPr>
          <w:sz w:val="16"/>
          <w:szCs w:val="16"/>
          <w:lang w:val="en-US"/>
        </w:rPr>
      </w:pPr>
      <w:r w:rsidRPr="003F110C">
        <w:rPr>
          <w:rStyle w:val="FootnoteReference"/>
          <w:rFonts w:ascii="Verdana" w:hAnsi="Verdana"/>
          <w:sz w:val="14"/>
          <w:szCs w:val="14"/>
        </w:rPr>
        <w:footnoteRef/>
      </w:r>
      <w:r w:rsidRPr="003F110C">
        <w:rPr>
          <w:rStyle w:val="FootnoteReference"/>
          <w:rFonts w:ascii="Verdana" w:hAnsi="Verdana"/>
          <w:sz w:val="14"/>
          <w:szCs w:val="14"/>
        </w:rPr>
        <w:t xml:space="preserve"> </w:t>
      </w:r>
      <w:r w:rsidRPr="003F110C">
        <w:rPr>
          <w:rFonts w:ascii="Verdana" w:hAnsi="Verdana"/>
          <w:sz w:val="14"/>
          <w:szCs w:val="14"/>
        </w:rPr>
        <w:t xml:space="preserve">Palyginti, LR </w:t>
      </w:r>
      <w:r w:rsidR="000E09D4">
        <w:rPr>
          <w:rFonts w:ascii="Verdana" w:hAnsi="Verdana"/>
          <w:sz w:val="14"/>
          <w:szCs w:val="14"/>
        </w:rPr>
        <w:t>f</w:t>
      </w:r>
      <w:r w:rsidRPr="003F110C">
        <w:rPr>
          <w:rFonts w:ascii="Verdana" w:hAnsi="Verdana"/>
          <w:sz w:val="14"/>
          <w:szCs w:val="14"/>
        </w:rPr>
        <w:t>inansų ministerijos 2020 m. rugsėjo 14 d. ekonominės raidos scenarijaus vidutinės metinės infliacijos pagal SVKI prognozė 2021-2023 m. atitinkamai buvo 1,8, 2,0, 2,0 proc.</w:t>
      </w:r>
      <w:r>
        <w:rPr>
          <w:sz w:val="16"/>
          <w:szCs w:val="16"/>
        </w:rPr>
        <w:t xml:space="preserve"> </w:t>
      </w:r>
    </w:p>
  </w:footnote>
  <w:footnote w:id="4">
    <w:p w14:paraId="2E6E7544" w14:textId="77777777" w:rsidR="002E33F9" w:rsidRDefault="002E33F9">
      <w:pPr>
        <w:pStyle w:val="FootnoteText"/>
      </w:pPr>
      <w:r w:rsidRPr="00510991">
        <w:rPr>
          <w:rStyle w:val="FootnoteReference"/>
          <w:rFonts w:ascii="Verdana" w:hAnsi="Verdana"/>
          <w:sz w:val="14"/>
          <w:szCs w:val="14"/>
        </w:rPr>
        <w:footnoteRef/>
      </w:r>
      <w:r w:rsidRPr="00510991">
        <w:rPr>
          <w:rStyle w:val="FootnoteReference"/>
          <w:rFonts w:ascii="Verdana" w:hAnsi="Verdana"/>
          <w:sz w:val="14"/>
          <w:szCs w:val="14"/>
        </w:rPr>
        <w:t xml:space="preserve"> </w:t>
      </w:r>
      <w:proofErr w:type="spellStart"/>
      <w:r w:rsidRPr="00510991">
        <w:rPr>
          <w:rFonts w:ascii="Verdana" w:hAnsi="Verdana"/>
          <w:sz w:val="14"/>
          <w:szCs w:val="14"/>
          <w:lang w:val="en-US"/>
        </w:rPr>
        <w:t>Pastaba</w:t>
      </w:r>
      <w:proofErr w:type="spellEnd"/>
      <w:r w:rsidRPr="00510991">
        <w:rPr>
          <w:rFonts w:ascii="Verdana" w:hAnsi="Verdana"/>
          <w:sz w:val="14"/>
          <w:szCs w:val="14"/>
          <w:lang w:val="en-US"/>
        </w:rPr>
        <w:t xml:space="preserve">: </w:t>
      </w:r>
      <w:proofErr w:type="spellStart"/>
      <w:r w:rsidRPr="00510991">
        <w:rPr>
          <w:rFonts w:ascii="Verdana" w:hAnsi="Verdana"/>
          <w:sz w:val="14"/>
          <w:szCs w:val="14"/>
          <w:lang w:val="en-US"/>
        </w:rPr>
        <w:t>iš</w:t>
      </w:r>
      <w:proofErr w:type="spellEnd"/>
      <w:r w:rsidRPr="00510991">
        <w:rPr>
          <w:rFonts w:ascii="Verdana" w:hAnsi="Verdana"/>
          <w:sz w:val="14"/>
          <w:szCs w:val="14"/>
          <w:lang w:val="en-US"/>
        </w:rPr>
        <w:t xml:space="preserve"> 813 </w:t>
      </w:r>
      <w:proofErr w:type="spellStart"/>
      <w:r w:rsidRPr="00510991">
        <w:rPr>
          <w:rFonts w:ascii="Verdana" w:hAnsi="Verdana"/>
          <w:sz w:val="14"/>
          <w:szCs w:val="14"/>
          <w:lang w:val="en-US"/>
        </w:rPr>
        <w:t>mln</w:t>
      </w:r>
      <w:proofErr w:type="spellEnd"/>
      <w:r w:rsidRPr="00510991">
        <w:rPr>
          <w:rFonts w:ascii="Verdana" w:hAnsi="Verdana"/>
          <w:sz w:val="14"/>
          <w:szCs w:val="14"/>
          <w:lang w:val="en-US"/>
        </w:rPr>
        <w:t xml:space="preserve">. eurų 95 mln. </w:t>
      </w:r>
      <w:proofErr w:type="spellStart"/>
      <w:r w:rsidRPr="00510991">
        <w:rPr>
          <w:rFonts w:ascii="Verdana" w:hAnsi="Verdana"/>
          <w:sz w:val="14"/>
          <w:szCs w:val="14"/>
          <w:lang w:val="en-US"/>
        </w:rPr>
        <w:t>eurų</w:t>
      </w:r>
      <w:proofErr w:type="spellEnd"/>
      <w:r w:rsidRPr="00510991">
        <w:rPr>
          <w:rFonts w:ascii="Verdana" w:hAnsi="Verdana"/>
          <w:sz w:val="14"/>
          <w:szCs w:val="14"/>
          <w:lang w:val="en-US"/>
        </w:rPr>
        <w:t xml:space="preserve"> </w:t>
      </w:r>
      <w:proofErr w:type="spellStart"/>
      <w:r w:rsidRPr="00510991">
        <w:rPr>
          <w:rFonts w:ascii="Verdana" w:hAnsi="Verdana"/>
          <w:sz w:val="14"/>
          <w:szCs w:val="14"/>
          <w:lang w:val="en-US"/>
        </w:rPr>
        <w:t>yra</w:t>
      </w:r>
      <w:proofErr w:type="spellEnd"/>
      <w:r w:rsidRPr="00510991">
        <w:rPr>
          <w:rFonts w:ascii="Verdana" w:hAnsi="Verdana"/>
          <w:sz w:val="14"/>
          <w:szCs w:val="14"/>
          <w:lang w:val="en-US"/>
        </w:rPr>
        <w:t xml:space="preserve"> </w:t>
      </w:r>
      <w:proofErr w:type="spellStart"/>
      <w:r w:rsidRPr="00510991">
        <w:rPr>
          <w:rFonts w:ascii="Verdana" w:hAnsi="Verdana"/>
          <w:sz w:val="14"/>
          <w:szCs w:val="14"/>
          <w:lang w:val="en-US"/>
        </w:rPr>
        <w:t>numatyta</w:t>
      </w:r>
      <w:proofErr w:type="spellEnd"/>
      <w:r w:rsidRPr="00510991">
        <w:rPr>
          <w:rFonts w:ascii="Verdana" w:hAnsi="Verdana"/>
          <w:sz w:val="14"/>
          <w:szCs w:val="14"/>
          <w:lang w:val="en-US"/>
        </w:rPr>
        <w:t xml:space="preserve"> </w:t>
      </w:r>
      <w:proofErr w:type="spellStart"/>
      <w:r w:rsidRPr="00510991">
        <w:rPr>
          <w:rFonts w:ascii="Verdana" w:hAnsi="Verdana"/>
          <w:sz w:val="14"/>
          <w:szCs w:val="14"/>
          <w:lang w:val="en-US"/>
        </w:rPr>
        <w:t>kaip</w:t>
      </w:r>
      <w:proofErr w:type="spellEnd"/>
      <w:r w:rsidRPr="00510991">
        <w:rPr>
          <w:rFonts w:ascii="Verdana" w:hAnsi="Verdana"/>
          <w:sz w:val="14"/>
          <w:szCs w:val="14"/>
          <w:lang w:val="en-US"/>
        </w:rPr>
        <w:t xml:space="preserve"> </w:t>
      </w:r>
      <w:proofErr w:type="spellStart"/>
      <w:r w:rsidRPr="00510991">
        <w:rPr>
          <w:rFonts w:ascii="Verdana" w:hAnsi="Verdana"/>
          <w:sz w:val="14"/>
          <w:szCs w:val="14"/>
          <w:lang w:val="en-US"/>
        </w:rPr>
        <w:t>rezervas</w:t>
      </w:r>
      <w:proofErr w:type="spellEnd"/>
      <w:r w:rsidRPr="00510991">
        <w:rPr>
          <w:rFonts w:ascii="Verdana" w:hAnsi="Verdana"/>
          <w:sz w:val="14"/>
          <w:szCs w:val="14"/>
          <w:lang w:val="en-US"/>
        </w:rPr>
        <w:t xml:space="preserve">, </w:t>
      </w:r>
      <w:proofErr w:type="spellStart"/>
      <w:r>
        <w:rPr>
          <w:rFonts w:ascii="Verdana" w:hAnsi="Verdana"/>
          <w:sz w:val="14"/>
          <w:szCs w:val="14"/>
          <w:lang w:val="en-US"/>
        </w:rPr>
        <w:t>todėl</w:t>
      </w:r>
      <w:proofErr w:type="spellEnd"/>
      <w:r>
        <w:rPr>
          <w:rFonts w:ascii="Verdana" w:hAnsi="Verdana"/>
          <w:sz w:val="14"/>
          <w:szCs w:val="14"/>
          <w:lang w:val="en-US"/>
        </w:rPr>
        <w:t xml:space="preserve"> </w:t>
      </w:r>
      <w:proofErr w:type="spellStart"/>
      <w:r w:rsidRPr="00510991">
        <w:rPr>
          <w:rFonts w:ascii="Verdana" w:hAnsi="Verdana"/>
          <w:sz w:val="14"/>
          <w:szCs w:val="14"/>
          <w:lang w:val="en-US"/>
        </w:rPr>
        <w:t>dėl</w:t>
      </w:r>
      <w:proofErr w:type="spellEnd"/>
      <w:r w:rsidRPr="00510991">
        <w:rPr>
          <w:rFonts w:ascii="Verdana" w:hAnsi="Verdana"/>
          <w:sz w:val="14"/>
          <w:szCs w:val="14"/>
          <w:lang w:val="en-US"/>
        </w:rPr>
        <w:t xml:space="preserve"> </w:t>
      </w:r>
      <w:proofErr w:type="spellStart"/>
      <w:r w:rsidRPr="00510991">
        <w:rPr>
          <w:rFonts w:ascii="Verdana" w:hAnsi="Verdana"/>
          <w:sz w:val="14"/>
          <w:szCs w:val="14"/>
          <w:lang w:val="en-US"/>
        </w:rPr>
        <w:t>šios</w:t>
      </w:r>
      <w:proofErr w:type="spellEnd"/>
      <w:r w:rsidRPr="00510991">
        <w:rPr>
          <w:rFonts w:ascii="Verdana" w:hAnsi="Verdana"/>
          <w:sz w:val="14"/>
          <w:szCs w:val="14"/>
          <w:lang w:val="en-US"/>
        </w:rPr>
        <w:t xml:space="preserve"> RRF </w:t>
      </w:r>
      <w:proofErr w:type="spellStart"/>
      <w:r w:rsidRPr="00510991">
        <w:rPr>
          <w:rFonts w:ascii="Verdana" w:hAnsi="Verdana"/>
          <w:sz w:val="14"/>
          <w:szCs w:val="14"/>
          <w:lang w:val="en-US"/>
        </w:rPr>
        <w:t>lėšų</w:t>
      </w:r>
      <w:proofErr w:type="spellEnd"/>
      <w:r>
        <w:rPr>
          <w:rFonts w:ascii="Verdana" w:hAnsi="Verdana"/>
          <w:sz w:val="14"/>
          <w:szCs w:val="14"/>
          <w:lang w:val="en-US"/>
        </w:rPr>
        <w:t xml:space="preserve"> </w:t>
      </w:r>
      <w:proofErr w:type="spellStart"/>
      <w:r>
        <w:rPr>
          <w:rFonts w:ascii="Verdana" w:hAnsi="Verdana"/>
          <w:sz w:val="14"/>
          <w:szCs w:val="14"/>
          <w:lang w:val="en-US"/>
        </w:rPr>
        <w:t>dalies</w:t>
      </w:r>
      <w:proofErr w:type="spellEnd"/>
      <w:r w:rsidRPr="00510991">
        <w:rPr>
          <w:rFonts w:ascii="Verdana" w:hAnsi="Verdana"/>
          <w:sz w:val="14"/>
          <w:szCs w:val="14"/>
          <w:lang w:val="en-US"/>
        </w:rPr>
        <w:t xml:space="preserve"> </w:t>
      </w:r>
      <w:proofErr w:type="spellStart"/>
      <w:r w:rsidRPr="00510991">
        <w:rPr>
          <w:rFonts w:ascii="Verdana" w:hAnsi="Verdana"/>
          <w:sz w:val="14"/>
          <w:szCs w:val="14"/>
          <w:lang w:val="en-US"/>
        </w:rPr>
        <w:t>rizikos</w:t>
      </w:r>
      <w:proofErr w:type="spellEnd"/>
      <w:r w:rsidRPr="00510991">
        <w:rPr>
          <w:rFonts w:ascii="Verdana" w:hAnsi="Verdana"/>
          <w:sz w:val="14"/>
          <w:szCs w:val="14"/>
          <w:lang w:val="en-US"/>
        </w:rPr>
        <w:t xml:space="preserve"> </w:t>
      </w:r>
      <w:proofErr w:type="spellStart"/>
      <w:r w:rsidRPr="00510991">
        <w:rPr>
          <w:rFonts w:ascii="Verdana" w:hAnsi="Verdana"/>
          <w:sz w:val="14"/>
          <w:szCs w:val="14"/>
          <w:lang w:val="en-US"/>
        </w:rPr>
        <w:t>nėra</w:t>
      </w:r>
      <w:proofErr w:type="spellEnd"/>
      <w:r w:rsidRPr="00510991">
        <w:rPr>
          <w:rFonts w:ascii="Verdana" w:hAnsi="Verdana"/>
          <w:sz w:val="14"/>
          <w:szCs w:val="14"/>
          <w:lang w:val="en-US"/>
        </w:rPr>
        <w:t>.</w:t>
      </w:r>
    </w:p>
  </w:footnote>
  <w:footnote w:id="5">
    <w:p w14:paraId="5E958ACB" w14:textId="77777777" w:rsidR="002E33F9" w:rsidRPr="003F110C" w:rsidRDefault="002E33F9" w:rsidP="003F110C">
      <w:pPr>
        <w:pStyle w:val="FootnoteText"/>
        <w:jc w:val="both"/>
        <w:rPr>
          <w:rFonts w:ascii="Verdana" w:hAnsi="Verdana"/>
          <w:sz w:val="14"/>
          <w:szCs w:val="14"/>
        </w:rPr>
      </w:pPr>
      <w:r w:rsidRPr="003F110C">
        <w:rPr>
          <w:rStyle w:val="FootnoteReference"/>
          <w:rFonts w:ascii="Verdana" w:hAnsi="Verdana"/>
          <w:sz w:val="14"/>
          <w:szCs w:val="14"/>
        </w:rPr>
        <w:footnoteRef/>
      </w:r>
      <w:r w:rsidRPr="003F110C">
        <w:rPr>
          <w:rFonts w:ascii="Verdana" w:hAnsi="Verdana"/>
          <w:sz w:val="14"/>
          <w:szCs w:val="14"/>
        </w:rPr>
        <w:t xml:space="preserve"> </w:t>
      </w:r>
      <w:proofErr w:type="spellStart"/>
      <w:r w:rsidRPr="003F110C">
        <w:rPr>
          <w:rFonts w:ascii="Verdana" w:hAnsi="Verdana"/>
          <w:sz w:val="14"/>
          <w:szCs w:val="14"/>
          <w:lang w:val="en-US"/>
        </w:rPr>
        <w:t>Galimas</w:t>
      </w:r>
      <w:proofErr w:type="spellEnd"/>
      <w:r w:rsidRPr="003F110C">
        <w:rPr>
          <w:rFonts w:ascii="Verdana" w:hAnsi="Verdana"/>
          <w:sz w:val="14"/>
          <w:szCs w:val="14"/>
          <w:lang w:val="en-US"/>
        </w:rPr>
        <w:t xml:space="preserve"> </w:t>
      </w:r>
      <w:proofErr w:type="spellStart"/>
      <w:r w:rsidRPr="003F110C">
        <w:rPr>
          <w:rFonts w:ascii="Verdana" w:hAnsi="Verdana"/>
          <w:sz w:val="14"/>
          <w:szCs w:val="14"/>
          <w:lang w:val="en-US"/>
        </w:rPr>
        <w:t>vald</w:t>
      </w:r>
      <w:proofErr w:type="spellEnd"/>
      <w:r w:rsidRPr="003F110C">
        <w:rPr>
          <w:rFonts w:ascii="Verdana" w:hAnsi="Verdana"/>
          <w:sz w:val="14"/>
          <w:szCs w:val="14"/>
        </w:rPr>
        <w:t>žios sektoriaus deficito</w:t>
      </w:r>
      <w:r w:rsidRPr="003F110C">
        <w:rPr>
          <w:rFonts w:ascii="Verdana" w:hAnsi="Verdana"/>
          <w:sz w:val="14"/>
          <w:szCs w:val="14"/>
          <w:lang w:val="en-US"/>
        </w:rPr>
        <w:t xml:space="preserve"> </w:t>
      </w:r>
      <w:proofErr w:type="spellStart"/>
      <w:r w:rsidRPr="003F110C">
        <w:rPr>
          <w:rFonts w:ascii="Verdana" w:hAnsi="Verdana"/>
          <w:sz w:val="14"/>
          <w:szCs w:val="14"/>
          <w:lang w:val="en-US"/>
        </w:rPr>
        <w:t>pokytis</w:t>
      </w:r>
      <w:proofErr w:type="spellEnd"/>
      <w:r w:rsidRPr="003F110C">
        <w:rPr>
          <w:rFonts w:ascii="Verdana" w:hAnsi="Verdana"/>
          <w:sz w:val="14"/>
          <w:szCs w:val="14"/>
          <w:lang w:val="en-US"/>
        </w:rPr>
        <w:t xml:space="preserve"> </w:t>
      </w:r>
      <w:proofErr w:type="spellStart"/>
      <w:r w:rsidRPr="003F110C">
        <w:rPr>
          <w:rFonts w:ascii="Verdana" w:hAnsi="Verdana"/>
          <w:sz w:val="14"/>
          <w:szCs w:val="14"/>
          <w:lang w:val="en-US"/>
        </w:rPr>
        <w:t>pateiktas</w:t>
      </w:r>
      <w:proofErr w:type="spellEnd"/>
      <w:r w:rsidRPr="003F110C">
        <w:rPr>
          <w:rFonts w:ascii="Verdana" w:hAnsi="Verdana"/>
          <w:sz w:val="14"/>
          <w:szCs w:val="14"/>
          <w:lang w:val="en-US"/>
        </w:rPr>
        <w:t xml:space="preserve"> </w:t>
      </w:r>
      <w:proofErr w:type="spellStart"/>
      <w:r w:rsidRPr="003F110C">
        <w:rPr>
          <w:rFonts w:ascii="Verdana" w:hAnsi="Verdana"/>
          <w:sz w:val="14"/>
          <w:szCs w:val="14"/>
          <w:lang w:val="en-US"/>
        </w:rPr>
        <w:t>atsižvelgiant</w:t>
      </w:r>
      <w:proofErr w:type="spellEnd"/>
      <w:r w:rsidRPr="003F110C">
        <w:rPr>
          <w:rFonts w:ascii="Verdana" w:hAnsi="Verdana"/>
          <w:sz w:val="14"/>
          <w:szCs w:val="14"/>
          <w:lang w:val="en-US"/>
        </w:rPr>
        <w:t xml:space="preserve"> į tai, </w:t>
      </w:r>
      <w:proofErr w:type="spellStart"/>
      <w:r w:rsidRPr="003F110C">
        <w:rPr>
          <w:rFonts w:ascii="Verdana" w:hAnsi="Verdana"/>
          <w:sz w:val="14"/>
          <w:szCs w:val="14"/>
          <w:lang w:val="en-US"/>
        </w:rPr>
        <w:t>kad</w:t>
      </w:r>
      <w:proofErr w:type="spellEnd"/>
      <w:r w:rsidRPr="003F110C">
        <w:rPr>
          <w:rFonts w:ascii="Verdana" w:hAnsi="Verdana"/>
          <w:sz w:val="14"/>
          <w:szCs w:val="14"/>
          <w:lang w:val="en-US"/>
        </w:rPr>
        <w:t xml:space="preserve"> </w:t>
      </w:r>
      <w:proofErr w:type="spellStart"/>
      <w:r w:rsidRPr="003F110C">
        <w:rPr>
          <w:rFonts w:ascii="Verdana" w:hAnsi="Verdana"/>
          <w:sz w:val="14"/>
          <w:szCs w:val="14"/>
          <w:lang w:val="en-US"/>
        </w:rPr>
        <w:t>apie</w:t>
      </w:r>
      <w:proofErr w:type="spellEnd"/>
      <w:r w:rsidRPr="003F110C">
        <w:rPr>
          <w:rFonts w:ascii="Verdana" w:hAnsi="Verdana"/>
          <w:sz w:val="14"/>
          <w:szCs w:val="14"/>
          <w:lang w:val="en-US"/>
        </w:rPr>
        <w:t xml:space="preserve"> 100 </w:t>
      </w:r>
      <w:proofErr w:type="spellStart"/>
      <w:r w:rsidRPr="003F110C">
        <w:rPr>
          <w:rFonts w:ascii="Verdana" w:hAnsi="Verdana"/>
          <w:sz w:val="14"/>
          <w:szCs w:val="14"/>
          <w:lang w:val="en-US"/>
        </w:rPr>
        <w:t>mln</w:t>
      </w:r>
      <w:proofErr w:type="spellEnd"/>
      <w:r w:rsidRPr="003F110C">
        <w:rPr>
          <w:rFonts w:ascii="Verdana" w:hAnsi="Verdana"/>
          <w:sz w:val="14"/>
          <w:szCs w:val="14"/>
          <w:lang w:val="en-US"/>
        </w:rPr>
        <w:t xml:space="preserve">. </w:t>
      </w:r>
      <w:proofErr w:type="spellStart"/>
      <w:r w:rsidRPr="003F110C">
        <w:rPr>
          <w:rFonts w:ascii="Verdana" w:hAnsi="Verdana"/>
          <w:sz w:val="14"/>
          <w:szCs w:val="14"/>
          <w:lang w:val="en-US"/>
        </w:rPr>
        <w:t>eurų</w:t>
      </w:r>
      <w:proofErr w:type="spellEnd"/>
      <w:r w:rsidRPr="003F110C">
        <w:rPr>
          <w:rFonts w:ascii="Verdana" w:hAnsi="Verdana"/>
          <w:sz w:val="14"/>
          <w:szCs w:val="14"/>
          <w:lang w:val="en-US"/>
        </w:rPr>
        <w:t xml:space="preserve"> (0,2 % BVP) C</w:t>
      </w:r>
      <w:r>
        <w:rPr>
          <w:rFonts w:ascii="Verdana" w:hAnsi="Verdana"/>
          <w:sz w:val="14"/>
          <w:szCs w:val="14"/>
          <w:lang w:val="en-US"/>
        </w:rPr>
        <w:t>OVID</w:t>
      </w:r>
      <w:r w:rsidRPr="003F110C">
        <w:rPr>
          <w:rFonts w:ascii="Verdana" w:hAnsi="Verdana"/>
          <w:sz w:val="14"/>
          <w:szCs w:val="14"/>
          <w:lang w:val="en-US"/>
        </w:rPr>
        <w:t xml:space="preserve">-19 </w:t>
      </w:r>
      <w:proofErr w:type="spellStart"/>
      <w:r w:rsidRPr="003F110C">
        <w:rPr>
          <w:rFonts w:ascii="Verdana" w:hAnsi="Verdana"/>
          <w:sz w:val="14"/>
          <w:szCs w:val="14"/>
          <w:lang w:val="en-US"/>
        </w:rPr>
        <w:t>plano</w:t>
      </w:r>
      <w:proofErr w:type="spellEnd"/>
      <w:r w:rsidRPr="003F110C">
        <w:rPr>
          <w:rFonts w:ascii="Verdana" w:hAnsi="Verdana"/>
          <w:sz w:val="14"/>
          <w:szCs w:val="14"/>
          <w:lang w:val="en-US"/>
        </w:rPr>
        <w:t xml:space="preserve"> </w:t>
      </w:r>
      <w:proofErr w:type="spellStart"/>
      <w:r w:rsidRPr="003F110C">
        <w:rPr>
          <w:rFonts w:ascii="Verdana" w:hAnsi="Verdana"/>
          <w:sz w:val="14"/>
          <w:szCs w:val="14"/>
          <w:lang w:val="en-US"/>
        </w:rPr>
        <w:t>priemonėms</w:t>
      </w:r>
      <w:proofErr w:type="spellEnd"/>
      <w:r w:rsidRPr="003F110C">
        <w:rPr>
          <w:rFonts w:ascii="Verdana" w:hAnsi="Verdana"/>
          <w:sz w:val="14"/>
          <w:szCs w:val="14"/>
          <w:lang w:val="en-US"/>
        </w:rPr>
        <w:t xml:space="preserve"> 2021 m. </w:t>
      </w:r>
      <w:proofErr w:type="spellStart"/>
      <w:r w:rsidRPr="003F110C">
        <w:rPr>
          <w:rFonts w:ascii="Verdana" w:hAnsi="Verdana"/>
          <w:sz w:val="14"/>
          <w:szCs w:val="14"/>
          <w:lang w:val="en-US"/>
        </w:rPr>
        <w:t>biudžete</w:t>
      </w:r>
      <w:proofErr w:type="spellEnd"/>
      <w:r w:rsidRPr="003F110C">
        <w:rPr>
          <w:rFonts w:ascii="Verdana" w:hAnsi="Verdana"/>
          <w:sz w:val="14"/>
          <w:szCs w:val="14"/>
          <w:lang w:val="en-US"/>
        </w:rPr>
        <w:t xml:space="preserve"> </w:t>
      </w:r>
      <w:proofErr w:type="spellStart"/>
      <w:r w:rsidRPr="003F110C">
        <w:rPr>
          <w:rFonts w:ascii="Verdana" w:hAnsi="Verdana"/>
          <w:sz w:val="14"/>
          <w:szCs w:val="14"/>
          <w:lang w:val="en-US"/>
        </w:rPr>
        <w:t>yra</w:t>
      </w:r>
      <w:proofErr w:type="spellEnd"/>
      <w:r w:rsidRPr="003F110C">
        <w:rPr>
          <w:rFonts w:ascii="Verdana" w:hAnsi="Verdana"/>
          <w:sz w:val="14"/>
          <w:szCs w:val="14"/>
          <w:lang w:val="en-US"/>
        </w:rPr>
        <w:t xml:space="preserve"> </w:t>
      </w:r>
      <w:proofErr w:type="spellStart"/>
      <w:r w:rsidRPr="003F110C">
        <w:rPr>
          <w:rFonts w:ascii="Verdana" w:hAnsi="Verdana"/>
          <w:sz w:val="14"/>
          <w:szCs w:val="14"/>
          <w:lang w:val="en-US"/>
        </w:rPr>
        <w:t>numatyta</w:t>
      </w:r>
      <w:proofErr w:type="spellEnd"/>
      <w:r w:rsidRPr="003F110C">
        <w:rPr>
          <w:rFonts w:ascii="Verdana" w:hAnsi="Verdana"/>
          <w:sz w:val="14"/>
          <w:szCs w:val="14"/>
          <w:lang w:val="en-US"/>
        </w:rPr>
        <w:t xml:space="preserve"> (</w:t>
      </w:r>
      <w:proofErr w:type="spellStart"/>
      <w:r w:rsidRPr="003F110C">
        <w:rPr>
          <w:rFonts w:ascii="Verdana" w:hAnsi="Verdana"/>
          <w:sz w:val="14"/>
          <w:szCs w:val="14"/>
          <w:lang w:val="en-US"/>
        </w:rPr>
        <w:t>plačiau</w:t>
      </w:r>
      <w:proofErr w:type="spellEnd"/>
      <w:r w:rsidRPr="003F110C">
        <w:rPr>
          <w:rFonts w:ascii="Verdana" w:hAnsi="Verdana"/>
          <w:sz w:val="14"/>
          <w:szCs w:val="14"/>
          <w:lang w:val="en-US"/>
        </w:rPr>
        <w:t xml:space="preserve"> </w:t>
      </w:r>
      <w:proofErr w:type="spellStart"/>
      <w:r w:rsidRPr="003F110C">
        <w:rPr>
          <w:rFonts w:ascii="Verdana" w:hAnsi="Verdana"/>
          <w:sz w:val="14"/>
          <w:szCs w:val="14"/>
          <w:lang w:val="en-US"/>
        </w:rPr>
        <w:t>žr</w:t>
      </w:r>
      <w:proofErr w:type="spellEnd"/>
      <w:r w:rsidRPr="003F110C">
        <w:rPr>
          <w:rFonts w:ascii="Verdana" w:hAnsi="Verdana"/>
          <w:sz w:val="14"/>
          <w:szCs w:val="14"/>
          <w:lang w:val="en-US"/>
        </w:rPr>
        <w:t xml:space="preserve">. 2021 </w:t>
      </w:r>
      <w:proofErr w:type="spellStart"/>
      <w:r w:rsidRPr="003F110C">
        <w:rPr>
          <w:rFonts w:ascii="Verdana" w:hAnsi="Verdana"/>
          <w:sz w:val="14"/>
          <w:szCs w:val="14"/>
          <w:lang w:val="en-US"/>
        </w:rPr>
        <w:t>metų</w:t>
      </w:r>
      <w:proofErr w:type="spellEnd"/>
      <w:r w:rsidRPr="003F110C">
        <w:rPr>
          <w:rFonts w:ascii="Verdana" w:hAnsi="Verdana"/>
          <w:sz w:val="14"/>
          <w:szCs w:val="14"/>
          <w:lang w:val="en-US"/>
        </w:rPr>
        <w:t xml:space="preserve"> </w:t>
      </w:r>
      <w:proofErr w:type="spellStart"/>
      <w:r w:rsidRPr="003F110C">
        <w:rPr>
          <w:rFonts w:ascii="Verdana" w:hAnsi="Verdana"/>
          <w:sz w:val="14"/>
          <w:szCs w:val="14"/>
          <w:lang w:val="en-US"/>
        </w:rPr>
        <w:t>Lietuvos</w:t>
      </w:r>
      <w:proofErr w:type="spellEnd"/>
      <w:r w:rsidRPr="003F110C">
        <w:rPr>
          <w:rFonts w:ascii="Verdana" w:hAnsi="Verdana"/>
          <w:sz w:val="14"/>
          <w:szCs w:val="14"/>
          <w:lang w:val="en-US"/>
        </w:rPr>
        <w:t xml:space="preserve"> </w:t>
      </w:r>
      <w:proofErr w:type="spellStart"/>
      <w:r w:rsidRPr="003F110C">
        <w:rPr>
          <w:rFonts w:ascii="Verdana" w:hAnsi="Verdana"/>
          <w:sz w:val="14"/>
          <w:szCs w:val="14"/>
          <w:lang w:val="en-US"/>
        </w:rPr>
        <w:t>biudžeto</w:t>
      </w:r>
      <w:proofErr w:type="spellEnd"/>
      <w:r w:rsidRPr="003F110C">
        <w:rPr>
          <w:rFonts w:ascii="Verdana" w:hAnsi="Verdana"/>
          <w:sz w:val="14"/>
          <w:szCs w:val="14"/>
          <w:lang w:val="en-US"/>
        </w:rPr>
        <w:t xml:space="preserve"> </w:t>
      </w:r>
      <w:proofErr w:type="spellStart"/>
      <w:r w:rsidRPr="003F110C">
        <w:rPr>
          <w:rFonts w:ascii="Verdana" w:hAnsi="Verdana"/>
          <w:sz w:val="14"/>
          <w:szCs w:val="14"/>
          <w:lang w:val="en-US"/>
        </w:rPr>
        <w:t>projekto</w:t>
      </w:r>
      <w:proofErr w:type="spellEnd"/>
      <w:r w:rsidRPr="003F110C">
        <w:rPr>
          <w:rFonts w:ascii="Verdana" w:hAnsi="Verdana"/>
          <w:sz w:val="14"/>
          <w:szCs w:val="14"/>
          <w:lang w:val="en-US"/>
        </w:rPr>
        <w:t xml:space="preserve">, 2020 m. </w:t>
      </w:r>
      <w:proofErr w:type="spellStart"/>
      <w:r w:rsidRPr="003F110C">
        <w:rPr>
          <w:rFonts w:ascii="Verdana" w:hAnsi="Verdana"/>
          <w:sz w:val="14"/>
          <w:szCs w:val="14"/>
          <w:lang w:val="en-US"/>
        </w:rPr>
        <w:t>spalio</w:t>
      </w:r>
      <w:proofErr w:type="spellEnd"/>
      <w:r w:rsidRPr="003F110C">
        <w:rPr>
          <w:rFonts w:ascii="Verdana" w:hAnsi="Verdana"/>
          <w:sz w:val="14"/>
          <w:szCs w:val="14"/>
          <w:lang w:val="en-US"/>
        </w:rPr>
        <w:t xml:space="preserve"> 16 d. </w:t>
      </w:r>
      <w:proofErr w:type="spellStart"/>
      <w:r w:rsidRPr="003F110C">
        <w:rPr>
          <w:rFonts w:ascii="Verdana" w:hAnsi="Verdana"/>
          <w:sz w:val="14"/>
          <w:szCs w:val="14"/>
          <w:lang w:val="en-US"/>
        </w:rPr>
        <w:t>pateikto</w:t>
      </w:r>
      <w:proofErr w:type="spellEnd"/>
      <w:r w:rsidRPr="003F110C">
        <w:rPr>
          <w:rFonts w:ascii="Verdana" w:hAnsi="Verdana"/>
          <w:sz w:val="14"/>
          <w:szCs w:val="14"/>
          <w:lang w:val="en-US"/>
        </w:rPr>
        <w:t xml:space="preserve"> Europos </w:t>
      </w:r>
      <w:proofErr w:type="spellStart"/>
      <w:r w:rsidRPr="003F110C">
        <w:rPr>
          <w:rFonts w:ascii="Verdana" w:hAnsi="Verdana"/>
          <w:sz w:val="14"/>
          <w:szCs w:val="14"/>
          <w:lang w:val="en-US"/>
        </w:rPr>
        <w:t>Komisijai</w:t>
      </w:r>
      <w:proofErr w:type="spellEnd"/>
      <w:r w:rsidRPr="003F110C">
        <w:rPr>
          <w:rFonts w:ascii="Verdana" w:hAnsi="Verdana"/>
          <w:sz w:val="14"/>
          <w:szCs w:val="14"/>
          <w:lang w:val="en-US"/>
        </w:rPr>
        <w:t xml:space="preserve"> </w:t>
      </w:r>
      <w:proofErr w:type="spellStart"/>
      <w:r w:rsidRPr="003F110C">
        <w:rPr>
          <w:rFonts w:ascii="Verdana" w:hAnsi="Verdana"/>
          <w:sz w:val="14"/>
          <w:szCs w:val="14"/>
          <w:lang w:val="en-US"/>
        </w:rPr>
        <w:t>ir</w:t>
      </w:r>
      <w:proofErr w:type="spellEnd"/>
      <w:r w:rsidRPr="003F110C">
        <w:rPr>
          <w:rFonts w:ascii="Verdana" w:hAnsi="Verdana"/>
          <w:sz w:val="14"/>
          <w:szCs w:val="14"/>
          <w:lang w:val="en-US"/>
        </w:rPr>
        <w:t xml:space="preserve"> </w:t>
      </w:r>
      <w:proofErr w:type="spellStart"/>
      <w:r w:rsidRPr="003F110C">
        <w:rPr>
          <w:rFonts w:ascii="Verdana" w:hAnsi="Verdana"/>
          <w:sz w:val="14"/>
          <w:szCs w:val="14"/>
          <w:lang w:val="en-US"/>
        </w:rPr>
        <w:t>Eurogrupei</w:t>
      </w:r>
      <w:proofErr w:type="spellEnd"/>
      <w:r w:rsidR="007368FB">
        <w:rPr>
          <w:rFonts w:ascii="Verdana" w:hAnsi="Verdana"/>
          <w:sz w:val="14"/>
          <w:szCs w:val="14"/>
          <w:lang w:val="en-US"/>
        </w:rPr>
        <w:t>,</w:t>
      </w:r>
      <w:r w:rsidRPr="003F110C">
        <w:rPr>
          <w:rFonts w:ascii="Verdana" w:hAnsi="Verdana"/>
          <w:sz w:val="14"/>
          <w:szCs w:val="14"/>
          <w:lang w:val="en-US"/>
        </w:rPr>
        <w:t xml:space="preserve"> 16 </w:t>
      </w:r>
      <w:proofErr w:type="spellStart"/>
      <w:r w:rsidRPr="003F110C">
        <w:rPr>
          <w:rFonts w:ascii="Verdana" w:hAnsi="Verdana"/>
          <w:sz w:val="14"/>
          <w:szCs w:val="14"/>
          <w:lang w:val="en-US"/>
        </w:rPr>
        <w:t>lentelę</w:t>
      </w:r>
      <w:proofErr w:type="spellEnd"/>
      <w:r w:rsidRPr="003F110C">
        <w:rPr>
          <w:rFonts w:ascii="Verdana" w:hAnsi="Verdana"/>
          <w:sz w:val="14"/>
          <w:szCs w:val="14"/>
          <w:lang w:val="en-US"/>
        </w:rPr>
        <w:t xml:space="preserve">, </w:t>
      </w:r>
      <w:proofErr w:type="spellStart"/>
      <w:r w:rsidRPr="003F110C">
        <w:rPr>
          <w:rFonts w:ascii="Verdana" w:hAnsi="Verdana"/>
          <w:sz w:val="14"/>
          <w:szCs w:val="14"/>
          <w:lang w:val="en-US"/>
        </w:rPr>
        <w:t>nuoroda</w:t>
      </w:r>
      <w:proofErr w:type="spellEnd"/>
      <w:r w:rsidRPr="003F110C">
        <w:rPr>
          <w:rFonts w:ascii="Verdana" w:hAnsi="Verdana"/>
          <w:sz w:val="14"/>
          <w:szCs w:val="14"/>
          <w:lang w:val="en-US"/>
        </w:rPr>
        <w:t xml:space="preserve"> </w:t>
      </w:r>
      <w:hyperlink r:id="rId1" w:history="1">
        <w:proofErr w:type="spellStart"/>
        <w:r w:rsidRPr="003F110C">
          <w:rPr>
            <w:rStyle w:val="Hyperlink"/>
            <w:rFonts w:ascii="Verdana" w:hAnsi="Verdana"/>
            <w:sz w:val="14"/>
            <w:szCs w:val="14"/>
            <w:lang w:val="en-US"/>
          </w:rPr>
          <w:t>čia</w:t>
        </w:r>
        <w:proofErr w:type="spellEnd"/>
      </w:hyperlink>
      <w:r w:rsidRPr="003F110C">
        <w:rPr>
          <w:rFonts w:ascii="Verdana" w:hAnsi="Verdana"/>
          <w:sz w:val="14"/>
          <w:szCs w:val="14"/>
          <w:lang w:val="en-US"/>
        </w:rPr>
        <w:t>).</w:t>
      </w:r>
    </w:p>
  </w:footnote>
  <w:footnote w:id="6">
    <w:p w14:paraId="29FA6676" w14:textId="77777777" w:rsidR="002E33F9" w:rsidRPr="00FD52F9" w:rsidRDefault="002E33F9" w:rsidP="00FD52F9">
      <w:pPr>
        <w:pStyle w:val="FootnoteText"/>
        <w:jc w:val="both"/>
        <w:rPr>
          <w:rFonts w:ascii="Verdana" w:hAnsi="Verdana"/>
          <w:sz w:val="14"/>
          <w:szCs w:val="14"/>
        </w:rPr>
      </w:pPr>
      <w:r w:rsidRPr="00FD52F9">
        <w:rPr>
          <w:rStyle w:val="FootnoteReference"/>
          <w:rFonts w:ascii="Verdana" w:hAnsi="Verdana"/>
          <w:sz w:val="14"/>
          <w:szCs w:val="14"/>
        </w:rPr>
        <w:footnoteRef/>
      </w:r>
      <w:r w:rsidRPr="00FD52F9">
        <w:rPr>
          <w:rFonts w:ascii="Verdana" w:hAnsi="Verdana"/>
          <w:sz w:val="14"/>
          <w:szCs w:val="14"/>
        </w:rPr>
        <w:t xml:space="preserve"> Lietuvos Respublikos valstybės kontrolė. 2019 metų nacionalinio finansinių ataskaitų rinkinio ir valstybės skolos duomenų ir jos valdymo vertinimas, 2020 m. spalio 1 d. (https://www.vkontrole.lt/audito_ataskaitos.aspx?tipas=1). </w:t>
      </w:r>
    </w:p>
  </w:footnote>
  <w:footnote w:id="7">
    <w:p w14:paraId="0639991C" w14:textId="77777777" w:rsidR="002E33F9" w:rsidRDefault="002E33F9" w:rsidP="00FD52F9">
      <w:pPr>
        <w:pStyle w:val="FootnoteText"/>
        <w:jc w:val="both"/>
      </w:pPr>
      <w:r w:rsidRPr="00FD52F9">
        <w:rPr>
          <w:rStyle w:val="FootnoteReference"/>
          <w:rFonts w:ascii="Verdana" w:hAnsi="Verdana"/>
          <w:sz w:val="14"/>
          <w:szCs w:val="14"/>
        </w:rPr>
        <w:footnoteRef/>
      </w:r>
      <w:r w:rsidRPr="00FD52F9">
        <w:rPr>
          <w:rFonts w:ascii="Verdana" w:hAnsi="Verdana"/>
          <w:sz w:val="14"/>
          <w:szCs w:val="14"/>
        </w:rPr>
        <w:t xml:space="preserve"> Lietuvos Respublikos valstybės kontrolė. 2018 metų nacionalinio finansinių ataskaitų rinkinio ir valstybės skolos duomenų ir jos valdymo vertinimas, 2019 m. spalio 1 d. (https://www.vkontrole.lt/audito_ataskaitos.aspx?tipas=1).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6720321"/>
      <w:docPartObj>
        <w:docPartGallery w:val="Page Numbers (Top of Page)"/>
        <w:docPartUnique/>
      </w:docPartObj>
    </w:sdtPr>
    <w:sdtEndPr>
      <w:rPr>
        <w:noProof/>
      </w:rPr>
    </w:sdtEndPr>
    <w:sdtContent>
      <w:p w14:paraId="64E17C27" w14:textId="77777777" w:rsidR="003172E1" w:rsidRDefault="003172E1">
        <w:pPr>
          <w:pStyle w:val="Header"/>
          <w:jc w:val="center"/>
        </w:pPr>
        <w:r>
          <w:fldChar w:fldCharType="begin"/>
        </w:r>
        <w:r>
          <w:instrText xml:space="preserve"> PAGE   \* MERGEFORMAT </w:instrText>
        </w:r>
        <w:r>
          <w:fldChar w:fldCharType="separate"/>
        </w:r>
        <w:r w:rsidR="00043E07">
          <w:rPr>
            <w:noProof/>
          </w:rPr>
          <w:t>5</w:t>
        </w:r>
        <w:r>
          <w:rPr>
            <w:noProof/>
          </w:rPr>
          <w:fldChar w:fldCharType="end"/>
        </w:r>
      </w:p>
    </w:sdtContent>
  </w:sdt>
  <w:p w14:paraId="3964C487" w14:textId="77777777" w:rsidR="003172E1" w:rsidRDefault="003172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42597E"/>
    <w:multiLevelType w:val="hybridMultilevel"/>
    <w:tmpl w:val="9362BF42"/>
    <w:lvl w:ilvl="0" w:tplc="2258FEC0">
      <w:start w:val="1"/>
      <w:numFmt w:val="lowerLetter"/>
      <w:lvlText w:val="%1)"/>
      <w:lvlJc w:val="left"/>
      <w:pPr>
        <w:ind w:left="928"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787C078D"/>
    <w:multiLevelType w:val="hybridMultilevel"/>
    <w:tmpl w:val="A49A54E2"/>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bordersDoNotSurroundHeader/>
  <w:bordersDoNotSurroundFooter/>
  <w:hideSpellingErrors/>
  <w:hideGrammaticalErrors/>
  <w:proofState w:spelling="clean" w:grammar="clean"/>
  <w:defaultTabStop w:val="720"/>
  <w:hyphenationZone w:val="39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6F95"/>
    <w:rsid w:val="00000CB0"/>
    <w:rsid w:val="00002650"/>
    <w:rsid w:val="000060EA"/>
    <w:rsid w:val="00014EE4"/>
    <w:rsid w:val="00033154"/>
    <w:rsid w:val="000344E2"/>
    <w:rsid w:val="00034712"/>
    <w:rsid w:val="00036E0A"/>
    <w:rsid w:val="00042BC6"/>
    <w:rsid w:val="00043E07"/>
    <w:rsid w:val="00046E77"/>
    <w:rsid w:val="00050B0E"/>
    <w:rsid w:val="00066248"/>
    <w:rsid w:val="00067CF5"/>
    <w:rsid w:val="00086009"/>
    <w:rsid w:val="00091629"/>
    <w:rsid w:val="000A43AE"/>
    <w:rsid w:val="000B74EA"/>
    <w:rsid w:val="000C6378"/>
    <w:rsid w:val="000D1806"/>
    <w:rsid w:val="000D1DAB"/>
    <w:rsid w:val="000D6AEB"/>
    <w:rsid w:val="000E09D4"/>
    <w:rsid w:val="000E60E8"/>
    <w:rsid w:val="000E7E67"/>
    <w:rsid w:val="000F15AE"/>
    <w:rsid w:val="000F5AFB"/>
    <w:rsid w:val="001132EC"/>
    <w:rsid w:val="0011738D"/>
    <w:rsid w:val="001221F3"/>
    <w:rsid w:val="001243EA"/>
    <w:rsid w:val="00132BC0"/>
    <w:rsid w:val="00142DFB"/>
    <w:rsid w:val="00145F32"/>
    <w:rsid w:val="00145FDD"/>
    <w:rsid w:val="001462BD"/>
    <w:rsid w:val="00152493"/>
    <w:rsid w:val="00152590"/>
    <w:rsid w:val="00152D50"/>
    <w:rsid w:val="001611A3"/>
    <w:rsid w:val="00175307"/>
    <w:rsid w:val="001778D2"/>
    <w:rsid w:val="00187E18"/>
    <w:rsid w:val="00190F5D"/>
    <w:rsid w:val="00195917"/>
    <w:rsid w:val="001964EC"/>
    <w:rsid w:val="001B2ABE"/>
    <w:rsid w:val="001D3015"/>
    <w:rsid w:val="001D3D01"/>
    <w:rsid w:val="001D7DE2"/>
    <w:rsid w:val="0020132E"/>
    <w:rsid w:val="00205C4C"/>
    <w:rsid w:val="0020653E"/>
    <w:rsid w:val="002164C9"/>
    <w:rsid w:val="002321B5"/>
    <w:rsid w:val="00233B2A"/>
    <w:rsid w:val="002461C0"/>
    <w:rsid w:val="00246873"/>
    <w:rsid w:val="00255AD3"/>
    <w:rsid w:val="00256594"/>
    <w:rsid w:val="002621C4"/>
    <w:rsid w:val="00273716"/>
    <w:rsid w:val="00273767"/>
    <w:rsid w:val="00281982"/>
    <w:rsid w:val="00287CB7"/>
    <w:rsid w:val="0029370F"/>
    <w:rsid w:val="002956C7"/>
    <w:rsid w:val="002B37B1"/>
    <w:rsid w:val="002B7E36"/>
    <w:rsid w:val="002C0F23"/>
    <w:rsid w:val="002C3518"/>
    <w:rsid w:val="002C595E"/>
    <w:rsid w:val="002D11F6"/>
    <w:rsid w:val="002D32B2"/>
    <w:rsid w:val="002E021B"/>
    <w:rsid w:val="002E33F9"/>
    <w:rsid w:val="002F382E"/>
    <w:rsid w:val="0030774E"/>
    <w:rsid w:val="00312A35"/>
    <w:rsid w:val="00314A65"/>
    <w:rsid w:val="00316229"/>
    <w:rsid w:val="003172E1"/>
    <w:rsid w:val="0034144B"/>
    <w:rsid w:val="00342187"/>
    <w:rsid w:val="003424AD"/>
    <w:rsid w:val="00342927"/>
    <w:rsid w:val="00351D85"/>
    <w:rsid w:val="00357B28"/>
    <w:rsid w:val="00361110"/>
    <w:rsid w:val="00365A01"/>
    <w:rsid w:val="003747EA"/>
    <w:rsid w:val="00377B44"/>
    <w:rsid w:val="003810C8"/>
    <w:rsid w:val="0039039A"/>
    <w:rsid w:val="003A314D"/>
    <w:rsid w:val="003A3EBC"/>
    <w:rsid w:val="003A4AEA"/>
    <w:rsid w:val="003A6233"/>
    <w:rsid w:val="003A6C0C"/>
    <w:rsid w:val="003C6EEB"/>
    <w:rsid w:val="003D264F"/>
    <w:rsid w:val="003D437B"/>
    <w:rsid w:val="003D5319"/>
    <w:rsid w:val="003E0E44"/>
    <w:rsid w:val="003F110C"/>
    <w:rsid w:val="004006F1"/>
    <w:rsid w:val="004023F5"/>
    <w:rsid w:val="00410E76"/>
    <w:rsid w:val="00413773"/>
    <w:rsid w:val="00414529"/>
    <w:rsid w:val="00421A84"/>
    <w:rsid w:val="004229D6"/>
    <w:rsid w:val="004355CB"/>
    <w:rsid w:val="0043730F"/>
    <w:rsid w:val="00437FEF"/>
    <w:rsid w:val="00466B7C"/>
    <w:rsid w:val="00477BAD"/>
    <w:rsid w:val="00481926"/>
    <w:rsid w:val="004A69D8"/>
    <w:rsid w:val="004A7B6C"/>
    <w:rsid w:val="004B390C"/>
    <w:rsid w:val="004E01D7"/>
    <w:rsid w:val="004F1380"/>
    <w:rsid w:val="004F14E8"/>
    <w:rsid w:val="004F3DB1"/>
    <w:rsid w:val="004F71DC"/>
    <w:rsid w:val="005037DA"/>
    <w:rsid w:val="0050531E"/>
    <w:rsid w:val="00510991"/>
    <w:rsid w:val="00511A1B"/>
    <w:rsid w:val="00527E64"/>
    <w:rsid w:val="00527FEE"/>
    <w:rsid w:val="00534EBF"/>
    <w:rsid w:val="00535E6A"/>
    <w:rsid w:val="005370B4"/>
    <w:rsid w:val="00545DCA"/>
    <w:rsid w:val="00551A4A"/>
    <w:rsid w:val="00564423"/>
    <w:rsid w:val="005744B6"/>
    <w:rsid w:val="00575FE9"/>
    <w:rsid w:val="00583F8F"/>
    <w:rsid w:val="005900BC"/>
    <w:rsid w:val="005920C0"/>
    <w:rsid w:val="00595A80"/>
    <w:rsid w:val="005976B9"/>
    <w:rsid w:val="005A07CF"/>
    <w:rsid w:val="005A634A"/>
    <w:rsid w:val="005C1F2A"/>
    <w:rsid w:val="005C39E6"/>
    <w:rsid w:val="005C779A"/>
    <w:rsid w:val="005D350B"/>
    <w:rsid w:val="005D396D"/>
    <w:rsid w:val="005F1ABE"/>
    <w:rsid w:val="005F2C26"/>
    <w:rsid w:val="005F643B"/>
    <w:rsid w:val="005F6A2A"/>
    <w:rsid w:val="00606B4A"/>
    <w:rsid w:val="00616EAA"/>
    <w:rsid w:val="006227BA"/>
    <w:rsid w:val="00627EDB"/>
    <w:rsid w:val="00635635"/>
    <w:rsid w:val="00641E2D"/>
    <w:rsid w:val="00642276"/>
    <w:rsid w:val="0064659E"/>
    <w:rsid w:val="006530FF"/>
    <w:rsid w:val="0066083D"/>
    <w:rsid w:val="00662076"/>
    <w:rsid w:val="006632EC"/>
    <w:rsid w:val="00664DBB"/>
    <w:rsid w:val="00683115"/>
    <w:rsid w:val="00683249"/>
    <w:rsid w:val="00683636"/>
    <w:rsid w:val="00683CCC"/>
    <w:rsid w:val="00692F9A"/>
    <w:rsid w:val="006A19E1"/>
    <w:rsid w:val="006A5576"/>
    <w:rsid w:val="006A7090"/>
    <w:rsid w:val="006B1A47"/>
    <w:rsid w:val="006B63C5"/>
    <w:rsid w:val="006B7E3F"/>
    <w:rsid w:val="006C074E"/>
    <w:rsid w:val="006C3311"/>
    <w:rsid w:val="006C75BC"/>
    <w:rsid w:val="006D110F"/>
    <w:rsid w:val="006D1B00"/>
    <w:rsid w:val="006D796F"/>
    <w:rsid w:val="006E1610"/>
    <w:rsid w:val="006E41D9"/>
    <w:rsid w:val="006F13CA"/>
    <w:rsid w:val="006F5DC6"/>
    <w:rsid w:val="006F798E"/>
    <w:rsid w:val="00700FEB"/>
    <w:rsid w:val="0070266A"/>
    <w:rsid w:val="00705792"/>
    <w:rsid w:val="007071BD"/>
    <w:rsid w:val="0071083D"/>
    <w:rsid w:val="00714CB6"/>
    <w:rsid w:val="0071682D"/>
    <w:rsid w:val="00716B6D"/>
    <w:rsid w:val="00716C36"/>
    <w:rsid w:val="007318AA"/>
    <w:rsid w:val="007368FB"/>
    <w:rsid w:val="00737F25"/>
    <w:rsid w:val="0074061D"/>
    <w:rsid w:val="007416EC"/>
    <w:rsid w:val="007473A9"/>
    <w:rsid w:val="00752F19"/>
    <w:rsid w:val="00755AC5"/>
    <w:rsid w:val="0076362B"/>
    <w:rsid w:val="00765C32"/>
    <w:rsid w:val="00780D0D"/>
    <w:rsid w:val="00780FB6"/>
    <w:rsid w:val="0078596A"/>
    <w:rsid w:val="0079420E"/>
    <w:rsid w:val="0079492B"/>
    <w:rsid w:val="007C5EC1"/>
    <w:rsid w:val="007C6C4E"/>
    <w:rsid w:val="007C6E19"/>
    <w:rsid w:val="007D1E70"/>
    <w:rsid w:val="007D4D3B"/>
    <w:rsid w:val="007D5150"/>
    <w:rsid w:val="007D64D3"/>
    <w:rsid w:val="007E29E3"/>
    <w:rsid w:val="007E3194"/>
    <w:rsid w:val="007E6F95"/>
    <w:rsid w:val="007F322A"/>
    <w:rsid w:val="007F4FBA"/>
    <w:rsid w:val="007F5960"/>
    <w:rsid w:val="008009F6"/>
    <w:rsid w:val="00801D9F"/>
    <w:rsid w:val="00815B72"/>
    <w:rsid w:val="0081712B"/>
    <w:rsid w:val="00822012"/>
    <w:rsid w:val="0082302F"/>
    <w:rsid w:val="008241F9"/>
    <w:rsid w:val="0082554A"/>
    <w:rsid w:val="00852A50"/>
    <w:rsid w:val="00854C15"/>
    <w:rsid w:val="00856C60"/>
    <w:rsid w:val="008640F4"/>
    <w:rsid w:val="00864EFC"/>
    <w:rsid w:val="00865557"/>
    <w:rsid w:val="008663D5"/>
    <w:rsid w:val="0086722D"/>
    <w:rsid w:val="0087202C"/>
    <w:rsid w:val="00880B0B"/>
    <w:rsid w:val="00886C9E"/>
    <w:rsid w:val="008871B0"/>
    <w:rsid w:val="0089319B"/>
    <w:rsid w:val="008A516E"/>
    <w:rsid w:val="008B2F3E"/>
    <w:rsid w:val="008C0420"/>
    <w:rsid w:val="008C3509"/>
    <w:rsid w:val="008D3CC7"/>
    <w:rsid w:val="008E2CEE"/>
    <w:rsid w:val="008E6802"/>
    <w:rsid w:val="0090411A"/>
    <w:rsid w:val="00904D9B"/>
    <w:rsid w:val="00904DC4"/>
    <w:rsid w:val="00913C4F"/>
    <w:rsid w:val="00926FB3"/>
    <w:rsid w:val="00933499"/>
    <w:rsid w:val="0093655B"/>
    <w:rsid w:val="00943089"/>
    <w:rsid w:val="0095158A"/>
    <w:rsid w:val="00962005"/>
    <w:rsid w:val="00963DCB"/>
    <w:rsid w:val="00966D3E"/>
    <w:rsid w:val="00967CD8"/>
    <w:rsid w:val="00973A9B"/>
    <w:rsid w:val="00974B17"/>
    <w:rsid w:val="00977792"/>
    <w:rsid w:val="00982B47"/>
    <w:rsid w:val="00983B90"/>
    <w:rsid w:val="00987B3F"/>
    <w:rsid w:val="00994F1E"/>
    <w:rsid w:val="00997EB7"/>
    <w:rsid w:val="009A1162"/>
    <w:rsid w:val="009B0E87"/>
    <w:rsid w:val="009B0FB5"/>
    <w:rsid w:val="009C0EA3"/>
    <w:rsid w:val="009C150F"/>
    <w:rsid w:val="009C164D"/>
    <w:rsid w:val="009C5087"/>
    <w:rsid w:val="009D06D9"/>
    <w:rsid w:val="009D3946"/>
    <w:rsid w:val="009E27AE"/>
    <w:rsid w:val="009E3F4E"/>
    <w:rsid w:val="009E5558"/>
    <w:rsid w:val="009E6145"/>
    <w:rsid w:val="009F089A"/>
    <w:rsid w:val="00A04AAA"/>
    <w:rsid w:val="00A052FE"/>
    <w:rsid w:val="00A10786"/>
    <w:rsid w:val="00A130FE"/>
    <w:rsid w:val="00A13618"/>
    <w:rsid w:val="00A13CD0"/>
    <w:rsid w:val="00A20497"/>
    <w:rsid w:val="00A27554"/>
    <w:rsid w:val="00A33E9B"/>
    <w:rsid w:val="00A361A6"/>
    <w:rsid w:val="00A36F20"/>
    <w:rsid w:val="00A40E59"/>
    <w:rsid w:val="00A44ADE"/>
    <w:rsid w:val="00A477D1"/>
    <w:rsid w:val="00A60BCC"/>
    <w:rsid w:val="00A64954"/>
    <w:rsid w:val="00A82FCB"/>
    <w:rsid w:val="00A862B8"/>
    <w:rsid w:val="00A87ECB"/>
    <w:rsid w:val="00A95008"/>
    <w:rsid w:val="00A95993"/>
    <w:rsid w:val="00AB2E8C"/>
    <w:rsid w:val="00AB5021"/>
    <w:rsid w:val="00AC0EC4"/>
    <w:rsid w:val="00AD17AD"/>
    <w:rsid w:val="00AE088E"/>
    <w:rsid w:val="00AF0768"/>
    <w:rsid w:val="00AF2E66"/>
    <w:rsid w:val="00AF30BA"/>
    <w:rsid w:val="00AF39F5"/>
    <w:rsid w:val="00B114FD"/>
    <w:rsid w:val="00B14567"/>
    <w:rsid w:val="00B30AF7"/>
    <w:rsid w:val="00B36923"/>
    <w:rsid w:val="00B5451C"/>
    <w:rsid w:val="00B60902"/>
    <w:rsid w:val="00B60E44"/>
    <w:rsid w:val="00B71BC4"/>
    <w:rsid w:val="00B83275"/>
    <w:rsid w:val="00B847C7"/>
    <w:rsid w:val="00B905AA"/>
    <w:rsid w:val="00B914B6"/>
    <w:rsid w:val="00BA2C11"/>
    <w:rsid w:val="00BB1BD4"/>
    <w:rsid w:val="00BB39AD"/>
    <w:rsid w:val="00BB60EA"/>
    <w:rsid w:val="00BC0C14"/>
    <w:rsid w:val="00BC2766"/>
    <w:rsid w:val="00BC53C3"/>
    <w:rsid w:val="00BE3F6D"/>
    <w:rsid w:val="00BE6FCA"/>
    <w:rsid w:val="00C07464"/>
    <w:rsid w:val="00C16115"/>
    <w:rsid w:val="00C2282D"/>
    <w:rsid w:val="00C24A3F"/>
    <w:rsid w:val="00C306C8"/>
    <w:rsid w:val="00C346D8"/>
    <w:rsid w:val="00C348E5"/>
    <w:rsid w:val="00C3577C"/>
    <w:rsid w:val="00C42158"/>
    <w:rsid w:val="00C42B53"/>
    <w:rsid w:val="00C4430E"/>
    <w:rsid w:val="00C44319"/>
    <w:rsid w:val="00C445E2"/>
    <w:rsid w:val="00C4490B"/>
    <w:rsid w:val="00C508B6"/>
    <w:rsid w:val="00C54409"/>
    <w:rsid w:val="00C65359"/>
    <w:rsid w:val="00C74BA1"/>
    <w:rsid w:val="00C81C19"/>
    <w:rsid w:val="00C82E38"/>
    <w:rsid w:val="00C87C72"/>
    <w:rsid w:val="00C9149D"/>
    <w:rsid w:val="00C947E7"/>
    <w:rsid w:val="00C97B65"/>
    <w:rsid w:val="00CB331E"/>
    <w:rsid w:val="00CB4E17"/>
    <w:rsid w:val="00CB4E2A"/>
    <w:rsid w:val="00CB631D"/>
    <w:rsid w:val="00CC4D82"/>
    <w:rsid w:val="00CC6F61"/>
    <w:rsid w:val="00CC75A2"/>
    <w:rsid w:val="00CD0A4F"/>
    <w:rsid w:val="00CD5349"/>
    <w:rsid w:val="00CD5397"/>
    <w:rsid w:val="00CE026B"/>
    <w:rsid w:val="00CE7126"/>
    <w:rsid w:val="00CE7A76"/>
    <w:rsid w:val="00CF0D99"/>
    <w:rsid w:val="00CF2D0D"/>
    <w:rsid w:val="00D04235"/>
    <w:rsid w:val="00D2477C"/>
    <w:rsid w:val="00D31DD4"/>
    <w:rsid w:val="00D31F7D"/>
    <w:rsid w:val="00D32B35"/>
    <w:rsid w:val="00D401F2"/>
    <w:rsid w:val="00D4295B"/>
    <w:rsid w:val="00D4321A"/>
    <w:rsid w:val="00D43353"/>
    <w:rsid w:val="00D441E8"/>
    <w:rsid w:val="00D46F94"/>
    <w:rsid w:val="00D51C6D"/>
    <w:rsid w:val="00D554EC"/>
    <w:rsid w:val="00D6082B"/>
    <w:rsid w:val="00D62238"/>
    <w:rsid w:val="00D733B7"/>
    <w:rsid w:val="00D74BF4"/>
    <w:rsid w:val="00D803EF"/>
    <w:rsid w:val="00D80AD1"/>
    <w:rsid w:val="00D94705"/>
    <w:rsid w:val="00D9737E"/>
    <w:rsid w:val="00DB3E44"/>
    <w:rsid w:val="00DD6215"/>
    <w:rsid w:val="00DE2D2A"/>
    <w:rsid w:val="00DF0B80"/>
    <w:rsid w:val="00E00B32"/>
    <w:rsid w:val="00E065EE"/>
    <w:rsid w:val="00E228DC"/>
    <w:rsid w:val="00E27CD4"/>
    <w:rsid w:val="00E322D2"/>
    <w:rsid w:val="00E3541D"/>
    <w:rsid w:val="00E4080C"/>
    <w:rsid w:val="00E4419A"/>
    <w:rsid w:val="00E46429"/>
    <w:rsid w:val="00E609C4"/>
    <w:rsid w:val="00E625F8"/>
    <w:rsid w:val="00E62BE4"/>
    <w:rsid w:val="00E676A1"/>
    <w:rsid w:val="00E74E91"/>
    <w:rsid w:val="00E80731"/>
    <w:rsid w:val="00E85768"/>
    <w:rsid w:val="00E900FC"/>
    <w:rsid w:val="00EA6E3D"/>
    <w:rsid w:val="00EB7BF2"/>
    <w:rsid w:val="00EC30FB"/>
    <w:rsid w:val="00EC474A"/>
    <w:rsid w:val="00EE0940"/>
    <w:rsid w:val="00EE1BB3"/>
    <w:rsid w:val="00EE5FF8"/>
    <w:rsid w:val="00EE786B"/>
    <w:rsid w:val="00EF2D3A"/>
    <w:rsid w:val="00EF37A7"/>
    <w:rsid w:val="00F055D8"/>
    <w:rsid w:val="00F115C7"/>
    <w:rsid w:val="00F21B8B"/>
    <w:rsid w:val="00F2347B"/>
    <w:rsid w:val="00F3449E"/>
    <w:rsid w:val="00F4799B"/>
    <w:rsid w:val="00F5154B"/>
    <w:rsid w:val="00F55E03"/>
    <w:rsid w:val="00F732ED"/>
    <w:rsid w:val="00F73832"/>
    <w:rsid w:val="00F75B4A"/>
    <w:rsid w:val="00F8015A"/>
    <w:rsid w:val="00F83301"/>
    <w:rsid w:val="00F840AC"/>
    <w:rsid w:val="00F85D25"/>
    <w:rsid w:val="00F918B6"/>
    <w:rsid w:val="00FA2312"/>
    <w:rsid w:val="00FA2753"/>
    <w:rsid w:val="00FA27C6"/>
    <w:rsid w:val="00FA5895"/>
    <w:rsid w:val="00FA606C"/>
    <w:rsid w:val="00FB3054"/>
    <w:rsid w:val="00FC0AA0"/>
    <w:rsid w:val="00FC7E8A"/>
    <w:rsid w:val="00FD522D"/>
    <w:rsid w:val="00FD52F9"/>
    <w:rsid w:val="00FE3B85"/>
    <w:rsid w:val="00FE5ACE"/>
    <w:rsid w:val="00FF20AC"/>
    <w:rsid w:val="00FF4E7D"/>
    <w:rsid w:val="00FF662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C39BA1"/>
  <w15:docId w15:val="{80B5A87A-7067-49F1-A2D6-7233C41F8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2B8"/>
    <w:pPr>
      <w:widowControl w:val="0"/>
      <w:autoSpaceDE w:val="0"/>
      <w:autoSpaceDN w:val="0"/>
      <w:adjustRightInd w:val="0"/>
    </w:pPr>
    <w:rPr>
      <w:rFonts w:ascii="Verdana" w:hAnsi="Verdana"/>
      <w:lang w:val="en-US" w:eastAsia="en-US"/>
    </w:rPr>
  </w:style>
  <w:style w:type="paragraph" w:styleId="Heading1">
    <w:name w:val="heading 1"/>
    <w:basedOn w:val="Normal"/>
    <w:next w:val="Normal"/>
    <w:qFormat/>
    <w:rsid w:val="00A862B8"/>
    <w:pPr>
      <w:keepNext/>
      <w:jc w:val="center"/>
      <w:outlineLvl w:val="0"/>
    </w:pPr>
    <w:rPr>
      <w:b/>
      <w:sz w:val="24"/>
      <w:lang w:val="lt-LT"/>
    </w:rPr>
  </w:style>
  <w:style w:type="paragraph" w:styleId="Heading2">
    <w:name w:val="heading 2"/>
    <w:basedOn w:val="Normal"/>
    <w:next w:val="Normal"/>
    <w:qFormat/>
    <w:pPr>
      <w:keepNext/>
      <w:jc w:val="right"/>
      <w:outlineLvl w:val="1"/>
    </w:pPr>
    <w:rPr>
      <w:sz w:val="24"/>
      <w:lang w:val="lt-LT"/>
    </w:rPr>
  </w:style>
  <w:style w:type="paragraph" w:styleId="Heading3">
    <w:name w:val="heading 3"/>
    <w:basedOn w:val="Normal"/>
    <w:next w:val="Normal"/>
    <w:qFormat/>
    <w:pPr>
      <w:keepNext/>
      <w:outlineLvl w:val="2"/>
    </w:pPr>
    <w:rPr>
      <w:sz w:val="24"/>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widowControl/>
      <w:tabs>
        <w:tab w:val="center" w:pos="4153"/>
        <w:tab w:val="right" w:pos="8306"/>
      </w:tabs>
      <w:autoSpaceDE/>
      <w:autoSpaceDN/>
      <w:adjustRightInd/>
    </w:pPr>
    <w:rPr>
      <w:sz w:val="24"/>
      <w:lang w:val="en-GB"/>
    </w:rPr>
  </w:style>
  <w:style w:type="paragraph" w:customStyle="1" w:styleId="tekstas">
    <w:name w:val="tekstas"/>
    <w:basedOn w:val="Normal"/>
    <w:pPr>
      <w:widowControl/>
      <w:autoSpaceDE/>
      <w:autoSpaceDN/>
      <w:adjustRightInd/>
      <w:ind w:firstLine="1298"/>
    </w:pPr>
    <w:rPr>
      <w:sz w:val="24"/>
      <w:lang w:val="lt-LT"/>
    </w:rPr>
  </w:style>
  <w:style w:type="paragraph" w:styleId="Header">
    <w:name w:val="header"/>
    <w:basedOn w:val="Normal"/>
    <w:link w:val="HeaderChar"/>
    <w:uiPriority w:val="99"/>
    <w:pPr>
      <w:tabs>
        <w:tab w:val="center" w:pos="4153"/>
        <w:tab w:val="right" w:pos="8306"/>
      </w:tabs>
    </w:pPr>
  </w:style>
  <w:style w:type="character" w:styleId="Hyperlink">
    <w:name w:val="Hyperlink"/>
    <w:semiHidden/>
    <w:rPr>
      <w:color w:val="0000FF"/>
      <w:u w:val="single"/>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val="en-US" w:eastAsia="en-US"/>
    </w:rPr>
  </w:style>
  <w:style w:type="paragraph" w:styleId="ListParagraph">
    <w:name w:val="List Paragraph"/>
    <w:basedOn w:val="Normal"/>
    <w:uiPriority w:val="34"/>
    <w:qFormat/>
    <w:rsid w:val="00641E2D"/>
    <w:pPr>
      <w:ind w:left="720"/>
      <w:contextualSpacing/>
    </w:pPr>
    <w:rPr>
      <w:rFonts w:ascii="Times New Roman" w:hAnsi="Times New Roman"/>
      <w:lang w:val="lt-LT"/>
    </w:rPr>
  </w:style>
  <w:style w:type="paragraph" w:styleId="FootnoteText">
    <w:name w:val="footnote text"/>
    <w:basedOn w:val="Normal"/>
    <w:link w:val="FootnoteTextChar"/>
    <w:uiPriority w:val="99"/>
    <w:semiHidden/>
    <w:unhideWhenUsed/>
    <w:rsid w:val="00641E2D"/>
    <w:rPr>
      <w:rFonts w:ascii="Times New Roman" w:hAnsi="Times New Roman"/>
      <w:lang w:val="lt-LT"/>
    </w:rPr>
  </w:style>
  <w:style w:type="character" w:customStyle="1" w:styleId="FootnoteTextChar">
    <w:name w:val="Footnote Text Char"/>
    <w:basedOn w:val="DefaultParagraphFont"/>
    <w:link w:val="FootnoteText"/>
    <w:uiPriority w:val="99"/>
    <w:semiHidden/>
    <w:rsid w:val="00641E2D"/>
    <w:rPr>
      <w:lang w:eastAsia="en-US"/>
    </w:rPr>
  </w:style>
  <w:style w:type="character" w:styleId="FootnoteReference">
    <w:name w:val="footnote reference"/>
    <w:uiPriority w:val="99"/>
    <w:semiHidden/>
    <w:unhideWhenUsed/>
    <w:rsid w:val="00641E2D"/>
    <w:rPr>
      <w:vertAlign w:val="superscript"/>
    </w:rPr>
  </w:style>
  <w:style w:type="table" w:styleId="LightGrid-Accent3">
    <w:name w:val="Light Grid Accent 3"/>
    <w:basedOn w:val="TableNormal"/>
    <w:uiPriority w:val="62"/>
    <w:rsid w:val="00641E2D"/>
    <w:rPr>
      <w:lang w:val="en-GB" w:eastAsia="en-GB"/>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CommentReference">
    <w:name w:val="annotation reference"/>
    <w:basedOn w:val="DefaultParagraphFont"/>
    <w:uiPriority w:val="99"/>
    <w:semiHidden/>
    <w:unhideWhenUsed/>
    <w:rsid w:val="00E4419A"/>
    <w:rPr>
      <w:sz w:val="16"/>
      <w:szCs w:val="16"/>
    </w:rPr>
  </w:style>
  <w:style w:type="character" w:customStyle="1" w:styleId="UnresolvedMention1">
    <w:name w:val="Unresolved Mention1"/>
    <w:basedOn w:val="DefaultParagraphFont"/>
    <w:uiPriority w:val="99"/>
    <w:semiHidden/>
    <w:unhideWhenUsed/>
    <w:rsid w:val="006A19E1"/>
    <w:rPr>
      <w:color w:val="605E5C"/>
      <w:shd w:val="clear" w:color="auto" w:fill="E1DFDD"/>
    </w:rPr>
  </w:style>
  <w:style w:type="paragraph" w:styleId="CommentText">
    <w:name w:val="annotation text"/>
    <w:basedOn w:val="Normal"/>
    <w:link w:val="CommentTextChar"/>
    <w:uiPriority w:val="99"/>
    <w:semiHidden/>
    <w:unhideWhenUsed/>
    <w:rsid w:val="00E4419A"/>
  </w:style>
  <w:style w:type="character" w:customStyle="1" w:styleId="CommentTextChar">
    <w:name w:val="Comment Text Char"/>
    <w:basedOn w:val="DefaultParagraphFont"/>
    <w:link w:val="CommentText"/>
    <w:uiPriority w:val="99"/>
    <w:semiHidden/>
    <w:rsid w:val="00E4419A"/>
    <w:rPr>
      <w:rFonts w:ascii="Verdana" w:hAnsi="Verdana"/>
      <w:lang w:val="en-US" w:eastAsia="en-US"/>
    </w:rPr>
  </w:style>
  <w:style w:type="paragraph" w:styleId="CommentSubject">
    <w:name w:val="annotation subject"/>
    <w:basedOn w:val="CommentText"/>
    <w:next w:val="CommentText"/>
    <w:link w:val="CommentSubjectChar"/>
    <w:uiPriority w:val="99"/>
    <w:semiHidden/>
    <w:unhideWhenUsed/>
    <w:rsid w:val="00E4419A"/>
    <w:rPr>
      <w:b/>
      <w:bCs/>
    </w:rPr>
  </w:style>
  <w:style w:type="character" w:customStyle="1" w:styleId="CommentSubjectChar">
    <w:name w:val="Comment Subject Char"/>
    <w:basedOn w:val="CommentTextChar"/>
    <w:link w:val="CommentSubject"/>
    <w:uiPriority w:val="99"/>
    <w:semiHidden/>
    <w:rsid w:val="00E4419A"/>
    <w:rPr>
      <w:rFonts w:ascii="Verdana" w:hAnsi="Verdana"/>
      <w:b/>
      <w:bCs/>
      <w:lang w:val="en-US" w:eastAsia="en-US"/>
    </w:rPr>
  </w:style>
  <w:style w:type="paragraph" w:styleId="Revision">
    <w:name w:val="Revision"/>
    <w:hidden/>
    <w:uiPriority w:val="99"/>
    <w:semiHidden/>
    <w:rsid w:val="00E4419A"/>
    <w:rPr>
      <w:rFonts w:ascii="Verdana" w:hAnsi="Verdana"/>
      <w:lang w:val="en-US" w:eastAsia="en-US"/>
    </w:rPr>
  </w:style>
  <w:style w:type="character" w:customStyle="1" w:styleId="UnresolvedMention2">
    <w:name w:val="Unresolved Mention2"/>
    <w:basedOn w:val="DefaultParagraphFont"/>
    <w:uiPriority w:val="99"/>
    <w:semiHidden/>
    <w:unhideWhenUsed/>
    <w:rsid w:val="00BA2C11"/>
    <w:rPr>
      <w:color w:val="605E5C"/>
      <w:shd w:val="clear" w:color="auto" w:fill="E1DFDD"/>
    </w:rPr>
  </w:style>
  <w:style w:type="paragraph" w:styleId="Caption">
    <w:name w:val="caption"/>
    <w:basedOn w:val="Normal"/>
    <w:next w:val="Normal"/>
    <w:uiPriority w:val="35"/>
    <w:unhideWhenUsed/>
    <w:qFormat/>
    <w:rsid w:val="00904D9B"/>
    <w:pPr>
      <w:spacing w:after="200"/>
    </w:pPr>
    <w:rPr>
      <w:i/>
      <w:iCs/>
      <w:color w:val="1F497D" w:themeColor="text2"/>
      <w:sz w:val="18"/>
      <w:szCs w:val="18"/>
    </w:rPr>
  </w:style>
  <w:style w:type="character" w:customStyle="1" w:styleId="UnresolvedMention3">
    <w:name w:val="Unresolved Mention3"/>
    <w:basedOn w:val="DefaultParagraphFont"/>
    <w:uiPriority w:val="99"/>
    <w:semiHidden/>
    <w:unhideWhenUsed/>
    <w:rsid w:val="003F110C"/>
    <w:rPr>
      <w:color w:val="605E5C"/>
      <w:shd w:val="clear" w:color="auto" w:fill="E1DFDD"/>
    </w:rPr>
  </w:style>
  <w:style w:type="character" w:styleId="FollowedHyperlink">
    <w:name w:val="FollowedHyperlink"/>
    <w:basedOn w:val="DefaultParagraphFont"/>
    <w:uiPriority w:val="99"/>
    <w:semiHidden/>
    <w:unhideWhenUsed/>
    <w:rsid w:val="003F110C"/>
    <w:rPr>
      <w:color w:val="800080" w:themeColor="followedHyperlink"/>
      <w:u w:val="single"/>
    </w:rPr>
  </w:style>
  <w:style w:type="character" w:customStyle="1" w:styleId="HeaderChar">
    <w:name w:val="Header Char"/>
    <w:basedOn w:val="DefaultParagraphFont"/>
    <w:link w:val="Header"/>
    <w:uiPriority w:val="99"/>
    <w:rsid w:val="003172E1"/>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572492">
      <w:bodyDiv w:val="1"/>
      <w:marLeft w:val="0"/>
      <w:marRight w:val="0"/>
      <w:marTop w:val="0"/>
      <w:marBottom w:val="0"/>
      <w:divBdr>
        <w:top w:val="none" w:sz="0" w:space="0" w:color="auto"/>
        <w:left w:val="none" w:sz="0" w:space="0" w:color="auto"/>
        <w:bottom w:val="none" w:sz="0" w:space="0" w:color="auto"/>
        <w:right w:val="none" w:sz="0" w:space="0" w:color="auto"/>
      </w:divBdr>
    </w:div>
    <w:div w:id="635329703">
      <w:bodyDiv w:val="1"/>
      <w:marLeft w:val="0"/>
      <w:marRight w:val="0"/>
      <w:marTop w:val="0"/>
      <w:marBottom w:val="0"/>
      <w:divBdr>
        <w:top w:val="none" w:sz="0" w:space="0" w:color="auto"/>
        <w:left w:val="none" w:sz="0" w:space="0" w:color="auto"/>
        <w:bottom w:val="none" w:sz="0" w:space="0" w:color="auto"/>
        <w:right w:val="none" w:sz="0" w:space="0" w:color="auto"/>
      </w:divBdr>
    </w:div>
    <w:div w:id="777676359">
      <w:bodyDiv w:val="1"/>
      <w:marLeft w:val="0"/>
      <w:marRight w:val="0"/>
      <w:marTop w:val="0"/>
      <w:marBottom w:val="0"/>
      <w:divBdr>
        <w:top w:val="none" w:sz="0" w:space="0" w:color="auto"/>
        <w:left w:val="none" w:sz="0" w:space="0" w:color="auto"/>
        <w:bottom w:val="none" w:sz="0" w:space="0" w:color="auto"/>
        <w:right w:val="none" w:sz="0" w:space="0" w:color="auto"/>
      </w:divBdr>
    </w:div>
    <w:div w:id="1082487299">
      <w:bodyDiv w:val="1"/>
      <w:marLeft w:val="0"/>
      <w:marRight w:val="0"/>
      <w:marTop w:val="0"/>
      <w:marBottom w:val="0"/>
      <w:divBdr>
        <w:top w:val="none" w:sz="0" w:space="0" w:color="auto"/>
        <w:left w:val="none" w:sz="0" w:space="0" w:color="auto"/>
        <w:bottom w:val="none" w:sz="0" w:space="0" w:color="auto"/>
        <w:right w:val="none" w:sz="0" w:space="0" w:color="auto"/>
      </w:divBdr>
    </w:div>
    <w:div w:id="110068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www.lb.lt/lt/asmens-duomenu-apsauga" TargetMode="External"/><Relationship Id="rId1" Type="http://schemas.openxmlformats.org/officeDocument/2006/relationships/hyperlink" Target="mailto:info@lb.l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info/sites/info/files/economy-finance/2021_dbp_lt_lt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A722507847044E8AB6567832A2FEC5" ma:contentTypeVersion="0" ma:contentTypeDescription="Create a new document." ma:contentTypeScope="" ma:versionID="75a653c346d6ac586b802709a18fa11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4428C-47E3-41C4-970F-2594C7C52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5748A2C-B390-4840-99DB-F462F38E02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AA26E4-61C4-40AD-9655-5C224258F478}">
  <ds:schemaRefs>
    <ds:schemaRef ds:uri="http://schemas.microsoft.com/sharepoint/v3/contenttype/forms"/>
  </ds:schemaRefs>
</ds:datastoreItem>
</file>

<file path=customXml/itemProps4.xml><?xml version="1.0" encoding="utf-8"?>
<ds:datastoreItem xmlns:ds="http://schemas.openxmlformats.org/officeDocument/2006/customXml" ds:itemID="{BC8F1CDA-4663-40EA-BF93-AF11E5B053E5}">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ap:Template>
  <ap:TotalTime>17</ap:TotalTime>
  <ap:Pages>5</ap:Pages>
  <ap:Words>11520</ap:Words>
  <ap:Characters>6567</ap:Characters>
  <ap:Application>Microsoft Office Word</ap:Application>
  <ap:DocSecurity>0</ap:DocSecurity>
  <ap:Lines>54</ap:Lines>
  <ap:Paragraphs>36</ap:Paragraphs>
  <ap:ScaleCrop>false</ap:ScaleCrop>
  <ap:HeadingPairs>
    <vt:vector baseType="variant" size="2">
      <vt:variant>
        <vt:lpstr>Title</vt:lpstr>
      </vt:variant>
      <vt:variant>
        <vt:i4>1</vt:i4>
      </vt:variant>
    </vt:vector>
  </ap:HeadingPairs>
  <ap:TitlesOfParts>
    <vt:vector baseType="lpstr" size="1">
      <vt:lpstr/>
    </vt:vector>
  </ap:TitlesOfParts>
  <ap:Company>Lietuvos bankas</ap:Company>
  <ap:LinksUpToDate>false</ap:LinksUpToDate>
  <ap:CharactersWithSpaces>18051</ap:CharactersWithSpaces>
  <ap:SharedDoc>false</ap:SharedDoc>
  <ap:HLinks>
    <vt:vector baseType="variant" size="6">
      <vt:variant>
        <vt:i4>2293769</vt:i4>
      </vt:variant>
      <vt:variant>
        <vt:i4>0</vt:i4>
      </vt:variant>
      <vt:variant>
        <vt:i4>0</vt:i4>
      </vt:variant>
      <vt:variant>
        <vt:i4>5</vt:i4>
      </vt:variant>
      <vt:variant>
        <vt:lpwstr>mailto:info@lb.lt</vt:lpwstr>
      </vt:variant>
      <vt:variant>
        <vt:lpwstr/>
      </vt:variant>
    </vt:vector>
  </ap:HLinks>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Evaldas Bareišis</dc:creator>
  <cp:lastModifiedBy>Gintarė Zelionkaitė</cp:lastModifiedBy>
  <cp:revision>7</cp:revision>
  <cp:lastPrinted>2020-11-06T06:37:00Z</cp:lastPrinted>
  <dcterms:created xsi:type="dcterms:W3CDTF">2020-11-05T14:23:00Z</dcterms:created>
  <dcterms:modified xsi:type="dcterms:W3CDTF">2020-11-06T07:09:00Z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0x010100B0A722507847044E8AB6567832A2FEC5</vt:lpwstr>
  </property>
</Properties>
</file>