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5CD" w:rsidRPr="006555CD" w:rsidRDefault="001C339E" w:rsidP="006555CD">
      <w:pPr>
        <w:ind w:firstLine="1296"/>
        <w:jc w:val="right"/>
      </w:pPr>
      <w:bookmarkStart w:id="0" w:name="_GoBack"/>
      <w:bookmarkEnd w:id="0"/>
      <w:r>
        <w:t>201</w:t>
      </w:r>
      <w:r w:rsidR="00F8068E">
        <w:t>7-11-10</w:t>
      </w:r>
    </w:p>
    <w:p w:rsidR="006555CD" w:rsidRPr="006555CD" w:rsidRDefault="006555CD" w:rsidP="006555CD">
      <w:pPr>
        <w:ind w:firstLine="1296"/>
        <w:jc w:val="center"/>
      </w:pPr>
    </w:p>
    <w:p w:rsidR="006555CD" w:rsidRPr="006555CD" w:rsidRDefault="006555CD" w:rsidP="006555CD">
      <w:pPr>
        <w:jc w:val="center"/>
        <w:rPr>
          <w:b/>
          <w:bCs/>
        </w:rPr>
      </w:pPr>
      <w:r w:rsidRPr="006555CD">
        <w:rPr>
          <w:b/>
        </w:rPr>
        <w:t>PASIŪLYMAS</w:t>
      </w:r>
    </w:p>
    <w:p w:rsidR="0005575A" w:rsidRDefault="0005575A" w:rsidP="0005575A">
      <w:pPr>
        <w:shd w:val="clear" w:color="auto" w:fill="FFFFFF"/>
        <w:suppressAutoHyphens w:val="0"/>
        <w:spacing w:line="253" w:lineRule="atLeast"/>
        <w:jc w:val="center"/>
        <w:rPr>
          <w:sz w:val="22"/>
          <w:szCs w:val="22"/>
          <w:lang w:val="en-US" w:eastAsia="lt-LT"/>
        </w:rPr>
      </w:pPr>
      <w:r>
        <w:rPr>
          <w:b/>
          <w:bCs/>
          <w:lang w:eastAsia="lt-LT"/>
        </w:rPr>
        <w:t>DĖL LIETUVOS RESPUBLIKOS 2018 METŲ VALSTYBĖS BIUDŽETO IR SAVIVALDYBIŲ BIUDŽETŲ FINANSINIŲ RODIKLIŲ PATVIRTINIMO</w:t>
      </w:r>
    </w:p>
    <w:p w:rsidR="0005575A" w:rsidRDefault="0005575A" w:rsidP="0005575A">
      <w:pPr>
        <w:shd w:val="clear" w:color="auto" w:fill="FFFFFF"/>
        <w:suppressAutoHyphens w:val="0"/>
        <w:spacing w:line="253" w:lineRule="atLeast"/>
        <w:jc w:val="center"/>
        <w:rPr>
          <w:sz w:val="22"/>
          <w:szCs w:val="22"/>
          <w:lang w:val="en-US" w:eastAsia="lt-LT"/>
        </w:rPr>
      </w:pPr>
      <w:r>
        <w:rPr>
          <w:b/>
          <w:bCs/>
          <w:lang w:eastAsia="lt-LT"/>
        </w:rPr>
        <w:t>ĮSTATYMO PROJEKTO</w:t>
      </w:r>
    </w:p>
    <w:p w:rsidR="0005575A" w:rsidRDefault="0005575A" w:rsidP="0005575A">
      <w:pPr>
        <w:shd w:val="clear" w:color="auto" w:fill="FFFFFF"/>
        <w:suppressAutoHyphens w:val="0"/>
        <w:spacing w:line="253" w:lineRule="atLeast"/>
        <w:jc w:val="center"/>
        <w:rPr>
          <w:sz w:val="22"/>
          <w:szCs w:val="22"/>
          <w:lang w:val="en-US" w:eastAsia="lt-LT"/>
        </w:rPr>
      </w:pPr>
      <w:r>
        <w:rPr>
          <w:b/>
          <w:bCs/>
          <w:lang w:eastAsia="lt-LT"/>
        </w:rPr>
        <w:t>NR. XIIIP-1227</w:t>
      </w:r>
    </w:p>
    <w:p w:rsidR="006555CD" w:rsidRPr="006555CD" w:rsidRDefault="006555CD" w:rsidP="006555CD">
      <w:pPr>
        <w:jc w:val="center"/>
        <w:rPr>
          <w:b/>
          <w:bCs/>
        </w:rPr>
      </w:pPr>
    </w:p>
    <w:tbl>
      <w:tblPr>
        <w:tblW w:w="10356" w:type="dxa"/>
        <w:tblInd w:w="-325" w:type="dxa"/>
        <w:tblLayout w:type="fixed"/>
        <w:tblLook w:val="0000" w:firstRow="0" w:lastRow="0" w:firstColumn="0" w:lastColumn="0" w:noHBand="0" w:noVBand="0"/>
      </w:tblPr>
      <w:tblGrid>
        <w:gridCol w:w="675"/>
        <w:gridCol w:w="609"/>
        <w:gridCol w:w="850"/>
        <w:gridCol w:w="8222"/>
      </w:tblGrid>
      <w:tr w:rsidR="006555CD" w:rsidRPr="006555CD" w:rsidTr="00580730">
        <w:trPr>
          <w:cantSplit/>
          <w:trHeight w:val="472"/>
        </w:trPr>
        <w:tc>
          <w:tcPr>
            <w:tcW w:w="2134" w:type="dxa"/>
            <w:gridSpan w:val="3"/>
            <w:tcBorders>
              <w:top w:val="single" w:sz="4" w:space="0" w:color="000000"/>
              <w:left w:val="single" w:sz="4" w:space="0" w:color="000000"/>
              <w:bottom w:val="single" w:sz="4" w:space="0" w:color="000000"/>
            </w:tcBorders>
            <w:shd w:val="clear" w:color="auto" w:fill="auto"/>
          </w:tcPr>
          <w:p w:rsidR="006555CD" w:rsidRPr="006555CD" w:rsidRDefault="006555CD" w:rsidP="00580730">
            <w:pPr>
              <w:jc w:val="center"/>
            </w:pPr>
            <w:r w:rsidRPr="006555CD">
              <w:t>Siūloma keisti</w:t>
            </w:r>
          </w:p>
        </w:tc>
        <w:tc>
          <w:tcPr>
            <w:tcW w:w="82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55CD" w:rsidRPr="006555CD" w:rsidRDefault="006555CD" w:rsidP="00580730">
            <w:pPr>
              <w:snapToGrid w:val="0"/>
            </w:pPr>
          </w:p>
          <w:p w:rsidR="006555CD" w:rsidRPr="006555CD" w:rsidRDefault="006555CD" w:rsidP="00580730">
            <w:pPr>
              <w:jc w:val="center"/>
            </w:pPr>
            <w:r w:rsidRPr="006555CD">
              <w:t>Pasiūlymo turinys</w:t>
            </w:r>
          </w:p>
          <w:p w:rsidR="006555CD" w:rsidRPr="006555CD" w:rsidRDefault="006555CD" w:rsidP="00580730">
            <w:pPr>
              <w:jc w:val="center"/>
            </w:pPr>
          </w:p>
          <w:p w:rsidR="006555CD" w:rsidRPr="006555CD" w:rsidRDefault="006555CD" w:rsidP="00580730"/>
        </w:tc>
      </w:tr>
      <w:tr w:rsidR="006555CD" w:rsidRPr="006555CD" w:rsidTr="00580730">
        <w:trPr>
          <w:cantSplit/>
          <w:trHeight w:val="1272"/>
        </w:trPr>
        <w:tc>
          <w:tcPr>
            <w:tcW w:w="675" w:type="dxa"/>
            <w:tcBorders>
              <w:top w:val="single" w:sz="4" w:space="0" w:color="000000"/>
              <w:left w:val="single" w:sz="4" w:space="0" w:color="000000"/>
              <w:bottom w:val="single" w:sz="4" w:space="0" w:color="000000"/>
            </w:tcBorders>
            <w:shd w:val="clear" w:color="auto" w:fill="auto"/>
            <w:textDirection w:val="btLr"/>
          </w:tcPr>
          <w:p w:rsidR="006555CD" w:rsidRPr="006555CD" w:rsidRDefault="006555CD" w:rsidP="00580730">
            <w:r w:rsidRPr="006555CD">
              <w:t>Straipsnis</w:t>
            </w:r>
          </w:p>
        </w:tc>
        <w:tc>
          <w:tcPr>
            <w:tcW w:w="609" w:type="dxa"/>
            <w:tcBorders>
              <w:top w:val="single" w:sz="4" w:space="0" w:color="000000"/>
              <w:left w:val="single" w:sz="4" w:space="0" w:color="000000"/>
              <w:bottom w:val="single" w:sz="4" w:space="0" w:color="000000"/>
            </w:tcBorders>
            <w:shd w:val="clear" w:color="auto" w:fill="auto"/>
            <w:textDirection w:val="btLr"/>
          </w:tcPr>
          <w:p w:rsidR="006555CD" w:rsidRPr="006555CD" w:rsidRDefault="006555CD" w:rsidP="00580730">
            <w:r w:rsidRPr="006555CD">
              <w:t>Straipsnio dalis</w:t>
            </w:r>
          </w:p>
        </w:tc>
        <w:tc>
          <w:tcPr>
            <w:tcW w:w="850" w:type="dxa"/>
            <w:tcBorders>
              <w:top w:val="single" w:sz="4" w:space="0" w:color="000000"/>
              <w:left w:val="single" w:sz="4" w:space="0" w:color="000000"/>
              <w:bottom w:val="single" w:sz="4" w:space="0" w:color="000000"/>
            </w:tcBorders>
            <w:shd w:val="clear" w:color="auto" w:fill="auto"/>
            <w:textDirection w:val="btLr"/>
          </w:tcPr>
          <w:p w:rsidR="006555CD" w:rsidRPr="006555CD" w:rsidRDefault="006555CD" w:rsidP="00580730">
            <w:r w:rsidRPr="006555CD">
              <w:t>Punktas</w:t>
            </w:r>
          </w:p>
        </w:tc>
        <w:tc>
          <w:tcPr>
            <w:tcW w:w="8222" w:type="dxa"/>
            <w:vMerge/>
            <w:tcBorders>
              <w:top w:val="single" w:sz="4" w:space="0" w:color="000000"/>
              <w:left w:val="single" w:sz="4" w:space="0" w:color="000000"/>
              <w:bottom w:val="single" w:sz="4" w:space="0" w:color="000000"/>
              <w:right w:val="single" w:sz="4" w:space="0" w:color="000000"/>
            </w:tcBorders>
            <w:shd w:val="clear" w:color="auto" w:fill="auto"/>
          </w:tcPr>
          <w:p w:rsidR="006555CD" w:rsidRPr="006555CD" w:rsidRDefault="006555CD" w:rsidP="00580730">
            <w:pPr>
              <w:snapToGrid w:val="0"/>
            </w:pPr>
          </w:p>
        </w:tc>
      </w:tr>
      <w:tr w:rsidR="006555CD" w:rsidRPr="006555CD" w:rsidTr="00580730">
        <w:trPr>
          <w:trHeight w:val="841"/>
        </w:trPr>
        <w:tc>
          <w:tcPr>
            <w:tcW w:w="675" w:type="dxa"/>
            <w:tcBorders>
              <w:top w:val="single" w:sz="4" w:space="0" w:color="000000"/>
              <w:left w:val="single" w:sz="4" w:space="0" w:color="000000"/>
              <w:bottom w:val="single" w:sz="4" w:space="0" w:color="000000"/>
            </w:tcBorders>
            <w:shd w:val="clear" w:color="auto" w:fill="auto"/>
          </w:tcPr>
          <w:p w:rsidR="006555CD" w:rsidRPr="006555CD" w:rsidRDefault="006555CD" w:rsidP="00580730">
            <w:pPr>
              <w:pStyle w:val="Pasiulymai"/>
              <w:rPr>
                <w:b/>
              </w:rPr>
            </w:pPr>
          </w:p>
        </w:tc>
        <w:tc>
          <w:tcPr>
            <w:tcW w:w="609" w:type="dxa"/>
            <w:tcBorders>
              <w:top w:val="single" w:sz="4" w:space="0" w:color="000000"/>
              <w:left w:val="single" w:sz="4" w:space="0" w:color="000000"/>
              <w:bottom w:val="single" w:sz="4" w:space="0" w:color="000000"/>
            </w:tcBorders>
            <w:shd w:val="clear" w:color="auto" w:fill="auto"/>
          </w:tcPr>
          <w:p w:rsidR="006555CD" w:rsidRPr="006555CD" w:rsidRDefault="006555CD" w:rsidP="00580730">
            <w:pPr>
              <w:pStyle w:val="Pasiulymai"/>
              <w:snapToGrid w:val="0"/>
              <w:rPr>
                <w:b/>
              </w:rPr>
            </w:pPr>
          </w:p>
        </w:tc>
        <w:tc>
          <w:tcPr>
            <w:tcW w:w="850" w:type="dxa"/>
            <w:tcBorders>
              <w:top w:val="single" w:sz="4" w:space="0" w:color="000000"/>
              <w:left w:val="single" w:sz="4" w:space="0" w:color="000000"/>
              <w:bottom w:val="single" w:sz="4" w:space="0" w:color="000000"/>
            </w:tcBorders>
            <w:shd w:val="clear" w:color="auto" w:fill="auto"/>
          </w:tcPr>
          <w:p w:rsidR="006555CD" w:rsidRPr="006555CD" w:rsidRDefault="006555CD" w:rsidP="00580730">
            <w:pPr>
              <w:pStyle w:val="Pasiulymai"/>
              <w:snapToGrid w:val="0"/>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555CD" w:rsidRDefault="006555CD" w:rsidP="00D254FA">
            <w:pPr>
              <w:pStyle w:val="Paprastasistekstas"/>
              <w:jc w:val="both"/>
              <w:rPr>
                <w:rFonts w:ascii="Times New Roman" w:hAnsi="Times New Roman" w:cs="Times New Roman"/>
              </w:rPr>
            </w:pPr>
            <w:r w:rsidRPr="006555CD">
              <w:rPr>
                <w:rFonts w:ascii="Times New Roman" w:hAnsi="Times New Roman" w:cs="Times New Roman"/>
                <w:b/>
                <w:bCs/>
              </w:rPr>
              <w:t>Argumentai</w:t>
            </w:r>
            <w:r w:rsidRPr="006555CD">
              <w:rPr>
                <w:rFonts w:ascii="Times New Roman" w:hAnsi="Times New Roman" w:cs="Times New Roman"/>
                <w:bCs/>
              </w:rPr>
              <w:t>:</w:t>
            </w:r>
            <w:r w:rsidR="00527F79">
              <w:rPr>
                <w:rFonts w:ascii="Times New Roman" w:hAnsi="Times New Roman" w:cs="Times New Roman"/>
                <w:b/>
                <w:sz w:val="28"/>
                <w:szCs w:val="28"/>
              </w:rPr>
              <w:t xml:space="preserve"> </w:t>
            </w:r>
            <w:r w:rsidR="00527F79" w:rsidRPr="00527F79">
              <w:rPr>
                <w:rFonts w:ascii="Times New Roman" w:hAnsi="Times New Roman" w:cs="Times New Roman"/>
              </w:rPr>
              <w:t xml:space="preserve">Siekiant užtikrinti tinkamą </w:t>
            </w:r>
            <w:r w:rsidR="006E65F6">
              <w:rPr>
                <w:rFonts w:ascii="Times New Roman" w:hAnsi="Times New Roman" w:cs="Times New Roman"/>
              </w:rPr>
              <w:t xml:space="preserve">ir efektyvų </w:t>
            </w:r>
            <w:r w:rsidR="00527F79" w:rsidRPr="00527F79">
              <w:rPr>
                <w:rFonts w:ascii="Times New Roman" w:hAnsi="Times New Roman" w:cs="Times New Roman"/>
              </w:rPr>
              <w:t xml:space="preserve">švietimo paslaugų teikimą mokiniams būtina </w:t>
            </w:r>
            <w:proofErr w:type="spellStart"/>
            <w:r w:rsidR="00BA3123">
              <w:rPr>
                <w:rFonts w:ascii="Times New Roman" w:hAnsi="Times New Roman" w:cs="Times New Roman"/>
              </w:rPr>
              <w:t>priešavarinės</w:t>
            </w:r>
            <w:proofErr w:type="spellEnd"/>
            <w:r w:rsidR="00BA3123">
              <w:rPr>
                <w:rFonts w:ascii="Times New Roman" w:hAnsi="Times New Roman" w:cs="Times New Roman"/>
              </w:rPr>
              <w:t xml:space="preserve"> būklės </w:t>
            </w:r>
            <w:r w:rsidR="00527F79" w:rsidRPr="00527F79">
              <w:rPr>
                <w:rFonts w:ascii="Times New Roman" w:hAnsi="Times New Roman" w:cs="Times New Roman"/>
              </w:rPr>
              <w:t>Kulių gimnazijos pastatų</w:t>
            </w:r>
            <w:r w:rsidR="00527F79">
              <w:rPr>
                <w:rFonts w:ascii="Times New Roman" w:hAnsi="Times New Roman" w:cs="Times New Roman"/>
                <w:b/>
              </w:rPr>
              <w:t xml:space="preserve"> </w:t>
            </w:r>
            <w:r w:rsidR="00BA3123">
              <w:rPr>
                <w:rFonts w:ascii="Times New Roman" w:hAnsi="Times New Roman" w:cs="Times New Roman"/>
              </w:rPr>
              <w:t>renovacija. Gimnazijos pastatų kompleksą sudaro trys tarpusavio sublokuoti korpusai ir sporto salė, statyti 1957-1980 me</w:t>
            </w:r>
            <w:r w:rsidR="009101C9">
              <w:rPr>
                <w:rFonts w:ascii="Times New Roman" w:hAnsi="Times New Roman" w:cs="Times New Roman"/>
              </w:rPr>
              <w:t>tų laikotarpiu, kapitališkai niekada neremontuoti. Esama pastatų būklė netenkina galiojančių statybos techninių bei higienos normų dabartinių reikalavimų, didelis šiluminės energijos suvartojimas, nepatenkinama inžinerinių sistemų būklė. Atsižvelgiant į pastatų nepatenkinamą būklę būtina kuo skubiau renovuoti gimnazijos pastatus atliekant pastatų pagrindinių atitvarų ir inžinerinės įrangos renovaciją, diegiant kompleksinį energijos taupymo priemonių paketą, gerinant techninę-eksploatacinę bei sanitarinę – higieninę patalpų būklę.</w:t>
            </w:r>
          </w:p>
          <w:p w:rsidR="009101C9" w:rsidRPr="00527F79" w:rsidRDefault="00E00535" w:rsidP="00D254FA">
            <w:pPr>
              <w:pStyle w:val="Paprastasistekstas"/>
              <w:jc w:val="both"/>
              <w:rPr>
                <w:rFonts w:ascii="Times New Roman" w:hAnsi="Times New Roman" w:cs="Times New Roman"/>
                <w:bCs/>
              </w:rPr>
            </w:pPr>
            <w:r>
              <w:rPr>
                <w:rFonts w:ascii="Times New Roman" w:hAnsi="Times New Roman" w:cs="Times New Roman"/>
              </w:rPr>
              <w:t xml:space="preserve">Pastaruoju metu Kulių gimnazija pradėjo </w:t>
            </w:r>
            <w:r w:rsidR="00C95021">
              <w:rPr>
                <w:rFonts w:ascii="Times New Roman" w:hAnsi="Times New Roman" w:cs="Times New Roman"/>
              </w:rPr>
              <w:t xml:space="preserve">bendradarbiavimą su </w:t>
            </w:r>
            <w:r>
              <w:rPr>
                <w:rFonts w:ascii="Times New Roman" w:hAnsi="Times New Roman" w:cs="Times New Roman"/>
              </w:rPr>
              <w:t xml:space="preserve">Lietuvos sveikatos mokslų universitetu, </w:t>
            </w:r>
            <w:r w:rsidR="00C95021">
              <w:rPr>
                <w:rFonts w:ascii="Times New Roman" w:hAnsi="Times New Roman" w:cs="Times New Roman"/>
              </w:rPr>
              <w:t>sustiprino chemijos, bi</w:t>
            </w:r>
            <w:r w:rsidR="003A2B1E">
              <w:rPr>
                <w:rFonts w:ascii="Times New Roman" w:hAnsi="Times New Roman" w:cs="Times New Roman"/>
              </w:rPr>
              <w:t xml:space="preserve">ologijos, sveikos gyvensenos, </w:t>
            </w:r>
            <w:r w:rsidR="00C95021">
              <w:rPr>
                <w:rFonts w:ascii="Times New Roman" w:hAnsi="Times New Roman" w:cs="Times New Roman"/>
              </w:rPr>
              <w:t>fizinio aktyvumo lavinimo p</w:t>
            </w:r>
            <w:r w:rsidR="00F8068E">
              <w:rPr>
                <w:rFonts w:ascii="Times New Roman" w:hAnsi="Times New Roman" w:cs="Times New Roman"/>
              </w:rPr>
              <w:t xml:space="preserve">rofilį. </w:t>
            </w:r>
            <w:r w:rsidR="003A2B1E">
              <w:rPr>
                <w:rFonts w:ascii="Times New Roman" w:hAnsi="Times New Roman" w:cs="Times New Roman"/>
              </w:rPr>
              <w:t xml:space="preserve">Gimnazija dirba pagal sustiprintą medicinos mokslų programą, </w:t>
            </w:r>
            <w:r w:rsidR="006E65F6">
              <w:rPr>
                <w:rFonts w:ascii="Times New Roman" w:hAnsi="Times New Roman" w:cs="Times New Roman"/>
              </w:rPr>
              <w:t xml:space="preserve">matomas mokinių skaičiaus augimas. 2016 metais uždarius Plungės r. Nausodžio pagrindinę mokyklą, dalis mokinių perėjo į Kulių gimnaziją. Be to, 20 km. spinduliu daugiau nėra nei vienos ugdymo įstaigos, vykdančios ikimokyklinio, priešmokyklinio, pradinio, pagrindinio ir vidurinio ugdymo programas. Šioje gimnazijoje mokosi vaikai iš 16 aplinkinių kaimų, taip pat, mokytis atvyksta ir mokiniai, kurie prieš tai lankė </w:t>
            </w:r>
            <w:proofErr w:type="spellStart"/>
            <w:r w:rsidR="006E65F6">
              <w:rPr>
                <w:rFonts w:ascii="Times New Roman" w:hAnsi="Times New Roman" w:cs="Times New Roman"/>
              </w:rPr>
              <w:t>Vėžaičių</w:t>
            </w:r>
            <w:proofErr w:type="spellEnd"/>
            <w:r w:rsidR="006E65F6">
              <w:rPr>
                <w:rFonts w:ascii="Times New Roman" w:hAnsi="Times New Roman" w:cs="Times New Roman"/>
              </w:rPr>
              <w:t xml:space="preserve"> pagrindinę mokyklą, esančią Klaipėdos rajono savivaldybėje. </w:t>
            </w:r>
          </w:p>
          <w:p w:rsidR="00527F79" w:rsidRPr="006555CD" w:rsidRDefault="00527F79" w:rsidP="00D254FA">
            <w:pPr>
              <w:pStyle w:val="Paprastasistekstas"/>
              <w:jc w:val="both"/>
              <w:rPr>
                <w:rFonts w:ascii="Times New Roman" w:hAnsi="Times New Roman" w:cs="Times New Roman"/>
              </w:rPr>
            </w:pPr>
          </w:p>
          <w:p w:rsidR="006555CD" w:rsidRPr="006555CD" w:rsidRDefault="006555CD" w:rsidP="00D254FA">
            <w:pPr>
              <w:suppressAutoHyphens w:val="0"/>
              <w:jc w:val="both"/>
              <w:rPr>
                <w:bCs/>
                <w:lang w:eastAsia="lt-LT"/>
              </w:rPr>
            </w:pPr>
            <w:r w:rsidRPr="006555CD">
              <w:rPr>
                <w:b/>
                <w:bCs/>
                <w:lang w:eastAsia="lt-LT"/>
              </w:rPr>
              <w:t>Pasiūlymas:</w:t>
            </w:r>
            <w:r w:rsidRPr="006555CD">
              <w:rPr>
                <w:bCs/>
                <w:lang w:eastAsia="lt-LT"/>
              </w:rPr>
              <w:t xml:space="preserve"> </w:t>
            </w:r>
          </w:p>
          <w:p w:rsidR="006555CD" w:rsidRPr="006555CD" w:rsidRDefault="002D41A5" w:rsidP="003746AA">
            <w:pPr>
              <w:pStyle w:val="dalys"/>
              <w:spacing w:before="0" w:beforeAutospacing="0" w:after="0" w:afterAutospacing="0"/>
              <w:jc w:val="both"/>
            </w:pPr>
            <w:r>
              <w:t xml:space="preserve">Siūloma skirti </w:t>
            </w:r>
            <w:r w:rsidR="003746AA">
              <w:rPr>
                <w:b/>
              </w:rPr>
              <w:t>580</w:t>
            </w:r>
            <w:r w:rsidR="001B33DD" w:rsidRPr="0005575A">
              <w:rPr>
                <w:b/>
              </w:rPr>
              <w:t xml:space="preserve"> </w:t>
            </w:r>
            <w:r w:rsidR="0005575A" w:rsidRPr="0005575A">
              <w:rPr>
                <w:b/>
              </w:rPr>
              <w:t>tūkst</w:t>
            </w:r>
            <w:r w:rsidR="003746AA">
              <w:t>. eurų Plungės rajono Kulių gimnazijos su sporto sale rekonstrukcijai.</w:t>
            </w:r>
          </w:p>
        </w:tc>
      </w:tr>
      <w:tr w:rsidR="006555CD" w:rsidRPr="006555CD" w:rsidTr="00580730">
        <w:trPr>
          <w:trHeight w:val="841"/>
        </w:trPr>
        <w:tc>
          <w:tcPr>
            <w:tcW w:w="1284" w:type="dxa"/>
            <w:gridSpan w:val="2"/>
            <w:tcBorders>
              <w:top w:val="single" w:sz="4" w:space="0" w:color="000000"/>
              <w:left w:val="single" w:sz="4" w:space="0" w:color="000000"/>
              <w:bottom w:val="single" w:sz="4" w:space="0" w:color="000000"/>
            </w:tcBorders>
            <w:shd w:val="clear" w:color="auto" w:fill="auto"/>
          </w:tcPr>
          <w:p w:rsidR="006555CD" w:rsidRPr="006555CD" w:rsidRDefault="006555CD" w:rsidP="00580730">
            <w:pPr>
              <w:pStyle w:val="Pasiulymai"/>
              <w:snapToGrid w:val="0"/>
            </w:pPr>
          </w:p>
        </w:tc>
        <w:tc>
          <w:tcPr>
            <w:tcW w:w="850" w:type="dxa"/>
            <w:tcBorders>
              <w:top w:val="single" w:sz="4" w:space="0" w:color="000000"/>
              <w:left w:val="single" w:sz="4" w:space="0" w:color="000000"/>
              <w:bottom w:val="single" w:sz="4" w:space="0" w:color="000000"/>
            </w:tcBorders>
            <w:shd w:val="clear" w:color="auto" w:fill="auto"/>
          </w:tcPr>
          <w:p w:rsidR="006555CD" w:rsidRPr="006555CD" w:rsidRDefault="006555CD" w:rsidP="00580730">
            <w:pPr>
              <w:pStyle w:val="Pasiulymai"/>
              <w:snapToGrid w:val="0"/>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555CD" w:rsidRPr="006555CD" w:rsidRDefault="006555CD" w:rsidP="00D254FA">
            <w:pPr>
              <w:suppressAutoHyphens w:val="0"/>
              <w:jc w:val="both"/>
              <w:rPr>
                <w:lang w:eastAsia="lt-LT"/>
              </w:rPr>
            </w:pPr>
            <w:r w:rsidRPr="006555CD">
              <w:rPr>
                <w:b/>
                <w:bCs/>
                <w:lang w:eastAsia="lt-LT"/>
              </w:rPr>
              <w:t xml:space="preserve">Lėšų šaltinis: </w:t>
            </w:r>
          </w:p>
          <w:p w:rsidR="00D254FA" w:rsidRPr="00D254FA" w:rsidRDefault="003746AA" w:rsidP="00D254FA">
            <w:pPr>
              <w:suppressAutoHyphens w:val="0"/>
              <w:jc w:val="both"/>
              <w:rPr>
                <w:lang w:eastAsia="lt-LT"/>
              </w:rPr>
            </w:pPr>
            <w:r w:rsidRPr="00F51EF3">
              <w:rPr>
                <w:lang w:eastAsia="lt-LT"/>
              </w:rPr>
              <w:t>Atitinkamai siūloma sumažinti valstybės skolos aptarnavimui skiriamus asignavimus.</w:t>
            </w:r>
          </w:p>
        </w:tc>
      </w:tr>
    </w:tbl>
    <w:p w:rsidR="006555CD" w:rsidRPr="006555CD" w:rsidRDefault="006555CD" w:rsidP="006555CD">
      <w:pPr>
        <w:jc w:val="both"/>
      </w:pPr>
    </w:p>
    <w:p w:rsidR="0005575A" w:rsidRDefault="0005575A" w:rsidP="006555CD">
      <w:pPr>
        <w:jc w:val="both"/>
      </w:pPr>
    </w:p>
    <w:p w:rsidR="0005575A" w:rsidRDefault="0005575A" w:rsidP="006555CD">
      <w:pPr>
        <w:jc w:val="both"/>
      </w:pPr>
    </w:p>
    <w:p w:rsidR="0005575A" w:rsidRPr="0005575A" w:rsidRDefault="006555CD" w:rsidP="006555CD">
      <w:pPr>
        <w:jc w:val="both"/>
      </w:pPr>
      <w:r w:rsidRPr="006555CD">
        <w:t>Teikia</w:t>
      </w:r>
    </w:p>
    <w:p w:rsidR="00D254FA" w:rsidRDefault="006555CD" w:rsidP="00D254FA">
      <w:pPr>
        <w:jc w:val="both"/>
      </w:pPr>
      <w:r w:rsidRPr="006555CD">
        <w:t xml:space="preserve">Seimo nariai: </w:t>
      </w:r>
    </w:p>
    <w:p w:rsidR="00D254FA" w:rsidRDefault="00D254FA" w:rsidP="00D254FA">
      <w:pPr>
        <w:jc w:val="both"/>
      </w:pPr>
    </w:p>
    <w:p w:rsidR="006555CD" w:rsidRPr="006555CD" w:rsidRDefault="00D254FA" w:rsidP="00D254FA">
      <w:pPr>
        <w:jc w:val="both"/>
      </w:pPr>
      <w:r>
        <w:t>Jonas Varkalys</w:t>
      </w:r>
    </w:p>
    <w:p w:rsidR="006555CD" w:rsidRPr="006555CD" w:rsidRDefault="006555CD" w:rsidP="006555CD">
      <w:pPr>
        <w:jc w:val="both"/>
      </w:pPr>
    </w:p>
    <w:p w:rsidR="00B9731C" w:rsidRPr="006555CD" w:rsidRDefault="00B9731C"/>
    <w:sectPr w:rsidR="00B9731C" w:rsidRPr="006555CD" w:rsidSect="003358AC">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CD"/>
    <w:rsid w:val="0005575A"/>
    <w:rsid w:val="001B33DD"/>
    <w:rsid w:val="001C339E"/>
    <w:rsid w:val="002D41A5"/>
    <w:rsid w:val="003746AA"/>
    <w:rsid w:val="003A2B1E"/>
    <w:rsid w:val="00410CA1"/>
    <w:rsid w:val="004322D5"/>
    <w:rsid w:val="00527F79"/>
    <w:rsid w:val="005C7CEB"/>
    <w:rsid w:val="006555CD"/>
    <w:rsid w:val="006E65F6"/>
    <w:rsid w:val="00713E57"/>
    <w:rsid w:val="00724849"/>
    <w:rsid w:val="00757E81"/>
    <w:rsid w:val="009101C9"/>
    <w:rsid w:val="009351C2"/>
    <w:rsid w:val="009B0885"/>
    <w:rsid w:val="009F5484"/>
    <w:rsid w:val="00B9731C"/>
    <w:rsid w:val="00BA3123"/>
    <w:rsid w:val="00BC72A9"/>
    <w:rsid w:val="00C90ED7"/>
    <w:rsid w:val="00C95021"/>
    <w:rsid w:val="00D254FA"/>
    <w:rsid w:val="00E00535"/>
    <w:rsid w:val="00F11210"/>
    <w:rsid w:val="00F80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9AEBE-755F-44D2-8545-9D652C85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555CD"/>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prastasistekstasDiagrama">
    <w:name w:val="Paprastasis tekstas Diagrama"/>
    <w:link w:val="Paprastasistekstas"/>
    <w:uiPriority w:val="99"/>
    <w:semiHidden/>
    <w:rsid w:val="006555CD"/>
    <w:rPr>
      <w:sz w:val="24"/>
      <w:szCs w:val="24"/>
    </w:rPr>
  </w:style>
  <w:style w:type="paragraph" w:customStyle="1" w:styleId="Pasiulymai">
    <w:name w:val="Pasiulymai"/>
    <w:basedOn w:val="prastasis"/>
    <w:rsid w:val="006555CD"/>
    <w:pPr>
      <w:jc w:val="both"/>
    </w:pPr>
    <w:rPr>
      <w:bCs/>
    </w:rPr>
  </w:style>
  <w:style w:type="paragraph" w:styleId="Sraopastraipa">
    <w:name w:val="List Paragraph"/>
    <w:basedOn w:val="prastasis"/>
    <w:uiPriority w:val="34"/>
    <w:qFormat/>
    <w:rsid w:val="006555CD"/>
    <w:pPr>
      <w:suppressAutoHyphens w:val="0"/>
      <w:spacing w:before="100" w:beforeAutospacing="1" w:after="100" w:afterAutospacing="1"/>
    </w:pPr>
    <w:rPr>
      <w:lang w:eastAsia="lt-LT"/>
    </w:rPr>
  </w:style>
  <w:style w:type="paragraph" w:customStyle="1" w:styleId="dalys">
    <w:name w:val="dalys"/>
    <w:basedOn w:val="prastasis"/>
    <w:rsid w:val="006555CD"/>
    <w:pPr>
      <w:suppressAutoHyphens w:val="0"/>
      <w:spacing w:before="100" w:beforeAutospacing="1" w:after="100" w:afterAutospacing="1"/>
    </w:pPr>
    <w:rPr>
      <w:lang w:eastAsia="lt-LT"/>
    </w:rPr>
  </w:style>
  <w:style w:type="paragraph" w:styleId="Paprastasistekstas">
    <w:name w:val="Plain Text"/>
    <w:basedOn w:val="prastasis"/>
    <w:link w:val="PaprastasistekstasDiagrama"/>
    <w:uiPriority w:val="99"/>
    <w:semiHidden/>
    <w:unhideWhenUsed/>
    <w:rsid w:val="006555CD"/>
    <w:pPr>
      <w:suppressAutoHyphens w:val="0"/>
    </w:pPr>
    <w:rPr>
      <w:rFonts w:asciiTheme="minorHAnsi" w:eastAsiaTheme="minorHAnsi" w:hAnsiTheme="minorHAnsi" w:cstheme="minorBidi"/>
      <w:lang w:eastAsia="en-US"/>
    </w:rPr>
  </w:style>
  <w:style w:type="character" w:customStyle="1" w:styleId="PaprastasistekstasDiagrama1">
    <w:name w:val="Paprastasis tekstas Diagrama1"/>
    <w:basedOn w:val="Numatytasispastraiposriftas"/>
    <w:uiPriority w:val="99"/>
    <w:semiHidden/>
    <w:rsid w:val="006555CD"/>
    <w:rPr>
      <w:rFonts w:ascii="Consolas" w:eastAsia="Times New Roman" w:hAnsi="Consolas" w:cs="Times New Roman"/>
      <w:sz w:val="21"/>
      <w:szCs w:val="21"/>
      <w:lang w:eastAsia="ar-SA"/>
    </w:rPr>
  </w:style>
  <w:style w:type="character" w:customStyle="1" w:styleId="textexposedshow">
    <w:name w:val="text_exposed_show"/>
    <w:basedOn w:val="Numatytasispastraiposriftas"/>
    <w:rsid w:val="00E0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15780">
      <w:bodyDiv w:val="1"/>
      <w:marLeft w:val="0"/>
      <w:marRight w:val="0"/>
      <w:marTop w:val="0"/>
      <w:marBottom w:val="0"/>
      <w:divBdr>
        <w:top w:val="none" w:sz="0" w:space="0" w:color="auto"/>
        <w:left w:val="none" w:sz="0" w:space="0" w:color="auto"/>
        <w:bottom w:val="none" w:sz="0" w:space="0" w:color="auto"/>
        <w:right w:val="none" w:sz="0" w:space="0" w:color="auto"/>
      </w:divBdr>
    </w:div>
    <w:div w:id="15376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1295</Words>
  <Characters>739</Characters>
  <Application>Microsoft Office Word</Application>
  <DocSecurity>4</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BAUŠYTĖ Jolita</dc:creator>
  <cp:lastModifiedBy>„Windows“ vartotojas</cp:lastModifiedBy>
  <cp:revision>2</cp:revision>
  <dcterms:created xsi:type="dcterms:W3CDTF">2017-11-10T06:48:00Z</dcterms:created>
  <dcterms:modified xsi:type="dcterms:W3CDTF">2017-11-10T06:48:00Z</dcterms:modified>
</cp:coreProperties>
</file>