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46A" w:rsidRPr="00F60AE7" w:rsidRDefault="002E3140" w:rsidP="002D70E4">
      <w:pPr>
        <w:pStyle w:val="Heading1"/>
        <w:rPr>
          <w:lang w:val="lt-LT"/>
        </w:rPr>
      </w:pPr>
      <w:bookmarkStart w:id="0" w:name="_GoBack"/>
      <w:bookmarkEnd w:id="0"/>
      <w:r w:rsidRPr="00F60AE7">
        <w:rPr>
          <w:noProof/>
          <w:lang w:val="lt-LT" w:eastAsia="lt-LT"/>
        </w:rPr>
        <w:drawing>
          <wp:anchor distT="0" distB="0" distL="114300" distR="114300" simplePos="0" relativeHeight="251657728" behindDoc="0" locked="0" layoutInCell="0" allowOverlap="1" wp14:anchorId="3571EE11" wp14:editId="3571EE12">
            <wp:simplePos x="0" y="0"/>
            <wp:positionH relativeFrom="page">
              <wp:posOffset>3776980</wp:posOffset>
            </wp:positionH>
            <wp:positionV relativeFrom="page">
              <wp:posOffset>720090</wp:posOffset>
            </wp:positionV>
            <wp:extent cx="543560" cy="595630"/>
            <wp:effectExtent l="0" t="0" r="889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560" cy="595630"/>
                    </a:xfrm>
                    <a:prstGeom prst="rect">
                      <a:avLst/>
                    </a:prstGeom>
                    <a:noFill/>
                    <a:ln>
                      <a:noFill/>
                    </a:ln>
                  </pic:spPr>
                </pic:pic>
              </a:graphicData>
            </a:graphic>
            <wp14:sizeRelH relativeFrom="page">
              <wp14:pctWidth>0</wp14:pctWidth>
            </wp14:sizeRelH>
            <wp14:sizeRelV relativeFrom="page">
              <wp14:pctHeight>0</wp14:pctHeight>
            </wp14:sizeRelV>
          </wp:anchor>
        </w:drawing>
      </w:r>
      <w:r w:rsidR="0066746A" w:rsidRPr="00F60AE7">
        <w:rPr>
          <w:lang w:val="lt-LT"/>
        </w:rPr>
        <w:t>VALSTYBINĖ KAINŲ IR ENERGETIKOS KONTROLĖS KOMISIJA</w:t>
      </w:r>
    </w:p>
    <w:p w:rsidR="002A39F3" w:rsidRPr="00F60AE7" w:rsidRDefault="002A39F3" w:rsidP="002A39F3">
      <w:pPr>
        <w:pStyle w:val="Title"/>
        <w:spacing w:before="0"/>
        <w:rPr>
          <w:sz w:val="16"/>
          <w:szCs w:val="16"/>
          <w:lang w:val="lt-LT"/>
        </w:rPr>
      </w:pPr>
    </w:p>
    <w:p w:rsidR="002E731E" w:rsidRPr="00F60AE7" w:rsidRDefault="00A1040D" w:rsidP="002E731E">
      <w:pPr>
        <w:pBdr>
          <w:bottom w:val="single" w:sz="4" w:space="1" w:color="auto"/>
        </w:pBdr>
        <w:jc w:val="center"/>
        <w:rPr>
          <w:b/>
          <w:color w:val="000000"/>
          <w:sz w:val="18"/>
          <w:lang w:val="lt-LT"/>
        </w:rPr>
      </w:pPr>
      <w:r w:rsidRPr="00F60AE7">
        <w:rPr>
          <w:color w:val="auto"/>
          <w:sz w:val="18"/>
          <w:lang w:val="lt-LT"/>
        </w:rPr>
        <w:t>B</w:t>
      </w:r>
      <w:r w:rsidR="0066746A" w:rsidRPr="00F60AE7">
        <w:rPr>
          <w:color w:val="auto"/>
          <w:sz w:val="18"/>
          <w:lang w:val="lt-LT"/>
        </w:rPr>
        <w:t>iudžetinė įstaiga</w:t>
      </w:r>
      <w:r w:rsidR="002E731E" w:rsidRPr="00F60AE7">
        <w:rPr>
          <w:color w:val="auto"/>
          <w:sz w:val="18"/>
          <w:lang w:val="lt-LT"/>
        </w:rPr>
        <w:t xml:space="preserve">, </w:t>
      </w:r>
      <w:r w:rsidR="006F20B2" w:rsidRPr="00F60AE7">
        <w:rPr>
          <w:color w:val="000000"/>
          <w:sz w:val="18"/>
          <w:lang w:val="lt-LT"/>
        </w:rPr>
        <w:t>Verkių g. 25C</w:t>
      </w:r>
      <w:r w:rsidR="002E3140" w:rsidRPr="00F60AE7">
        <w:rPr>
          <w:color w:val="000000"/>
          <w:sz w:val="18"/>
          <w:lang w:val="lt-LT"/>
        </w:rPr>
        <w:t>-1</w:t>
      </w:r>
      <w:r w:rsidR="0066746A" w:rsidRPr="00F60AE7">
        <w:rPr>
          <w:color w:val="000000"/>
          <w:sz w:val="18"/>
          <w:lang w:val="lt-LT"/>
        </w:rPr>
        <w:t xml:space="preserve">, </w:t>
      </w:r>
      <w:r w:rsidR="006F20B2" w:rsidRPr="00F60AE7">
        <w:rPr>
          <w:color w:val="000000"/>
          <w:sz w:val="18"/>
          <w:lang w:val="lt-LT"/>
        </w:rPr>
        <w:t>LT</w:t>
      </w:r>
      <w:r w:rsidR="00460A02" w:rsidRPr="00F60AE7">
        <w:rPr>
          <w:color w:val="000000"/>
          <w:sz w:val="18"/>
          <w:lang w:val="lt-LT"/>
        </w:rPr>
        <w:t>-</w:t>
      </w:r>
      <w:r w:rsidR="006F20B2" w:rsidRPr="00F60AE7">
        <w:rPr>
          <w:color w:val="000000"/>
          <w:sz w:val="18"/>
          <w:lang w:val="lt-LT"/>
        </w:rPr>
        <w:t xml:space="preserve">08223 </w:t>
      </w:r>
      <w:r w:rsidR="0066746A" w:rsidRPr="00F60AE7">
        <w:rPr>
          <w:color w:val="000000"/>
          <w:sz w:val="18"/>
          <w:lang w:val="lt-LT"/>
        </w:rPr>
        <w:t>Vilnius</w:t>
      </w:r>
      <w:r w:rsidR="002E731E" w:rsidRPr="00F60AE7">
        <w:rPr>
          <w:color w:val="000000"/>
          <w:sz w:val="18"/>
          <w:lang w:val="lt-LT"/>
        </w:rPr>
        <w:t>, tel. (8 5) 213 51</w:t>
      </w:r>
      <w:r w:rsidR="00311140" w:rsidRPr="00F60AE7">
        <w:rPr>
          <w:color w:val="000000"/>
          <w:sz w:val="18"/>
          <w:lang w:val="lt-LT"/>
        </w:rPr>
        <w:t>66</w:t>
      </w:r>
      <w:r w:rsidR="002E731E" w:rsidRPr="00F60AE7">
        <w:rPr>
          <w:color w:val="000000"/>
          <w:sz w:val="18"/>
          <w:lang w:val="lt-LT"/>
        </w:rPr>
        <w:t>, faks. (8 5) 213 52</w:t>
      </w:r>
      <w:r w:rsidR="00311140" w:rsidRPr="00F60AE7">
        <w:rPr>
          <w:color w:val="000000"/>
          <w:sz w:val="18"/>
          <w:lang w:val="lt-LT"/>
        </w:rPr>
        <w:t>70</w:t>
      </w:r>
      <w:r w:rsidR="002E731E" w:rsidRPr="00F60AE7">
        <w:rPr>
          <w:color w:val="000000"/>
          <w:sz w:val="18"/>
          <w:lang w:val="lt-LT"/>
        </w:rPr>
        <w:t>, e</w:t>
      </w:r>
      <w:r w:rsidR="0066746A" w:rsidRPr="00F60AE7">
        <w:rPr>
          <w:color w:val="000000"/>
          <w:sz w:val="18"/>
          <w:lang w:val="lt-LT"/>
        </w:rPr>
        <w:t xml:space="preserve">l. p. </w:t>
      </w:r>
      <w:hyperlink r:id="rId12" w:history="1">
        <w:r w:rsidR="001E02A9" w:rsidRPr="00F60AE7">
          <w:rPr>
            <w:rStyle w:val="Hyperlink"/>
            <w:color w:val="auto"/>
            <w:sz w:val="18"/>
            <w:u w:val="none"/>
            <w:lang w:val="lt-LT"/>
          </w:rPr>
          <w:t>rastine@regula.lt</w:t>
        </w:r>
      </w:hyperlink>
    </w:p>
    <w:p w:rsidR="0066746A" w:rsidRPr="00F60AE7" w:rsidRDefault="002E731E">
      <w:pPr>
        <w:pBdr>
          <w:bottom w:val="single" w:sz="4" w:space="1" w:color="auto"/>
        </w:pBdr>
        <w:jc w:val="center"/>
        <w:rPr>
          <w:b/>
          <w:caps/>
          <w:color w:val="000000"/>
          <w:lang w:val="lt-LT"/>
        </w:rPr>
      </w:pPr>
      <w:r w:rsidRPr="00F60AE7">
        <w:rPr>
          <w:color w:val="000000"/>
          <w:sz w:val="18"/>
          <w:lang w:val="lt-LT"/>
        </w:rPr>
        <w:t>Duomenys kaupiami ir saugomi Juridinių asmenų registre, kodas 188706554</w:t>
      </w:r>
    </w:p>
    <w:p w:rsidR="0066746A" w:rsidRPr="00F60AE7" w:rsidRDefault="0066746A">
      <w:pPr>
        <w:rPr>
          <w:caps/>
          <w:color w:val="000000"/>
          <w:lang w:val="lt-LT"/>
        </w:rPr>
      </w:pPr>
    </w:p>
    <w:tbl>
      <w:tblPr>
        <w:tblW w:w="0" w:type="auto"/>
        <w:tblInd w:w="6" w:type="dxa"/>
        <w:tblLayout w:type="fixed"/>
        <w:tblCellMar>
          <w:left w:w="14" w:type="dxa"/>
          <w:right w:w="14" w:type="dxa"/>
        </w:tblCellMar>
        <w:tblLook w:val="0000" w:firstRow="0" w:lastRow="0" w:firstColumn="0" w:lastColumn="0" w:noHBand="0" w:noVBand="0"/>
      </w:tblPr>
      <w:tblGrid>
        <w:gridCol w:w="4643"/>
        <w:gridCol w:w="427"/>
        <w:gridCol w:w="1559"/>
        <w:gridCol w:w="2658"/>
        <w:gridCol w:w="360"/>
      </w:tblGrid>
      <w:tr w:rsidR="0066746A" w:rsidRPr="00F60AE7" w:rsidTr="00FF5CE4">
        <w:trPr>
          <w:cantSplit/>
        </w:trPr>
        <w:tc>
          <w:tcPr>
            <w:tcW w:w="4643" w:type="dxa"/>
            <w:vMerge w:val="restart"/>
          </w:tcPr>
          <w:p w:rsidR="0066746A" w:rsidRPr="00F60AE7" w:rsidRDefault="00241310">
            <w:pPr>
              <w:jc w:val="left"/>
              <w:rPr>
                <w:b/>
                <w:color w:val="000000"/>
                <w:lang w:val="lt-LT"/>
              </w:rPr>
            </w:pPr>
            <w:r w:rsidRPr="00F60AE7">
              <w:rPr>
                <w:color w:val="000000"/>
                <w:lang w:val="lt-LT"/>
              </w:rPr>
              <w:t>Pagal adresatų sąrašą</w:t>
            </w:r>
          </w:p>
          <w:p w:rsidR="0066746A" w:rsidRPr="00F60AE7" w:rsidRDefault="0066746A" w:rsidP="00020DE0">
            <w:pPr>
              <w:jc w:val="left"/>
              <w:rPr>
                <w:b/>
                <w:color w:val="000000"/>
                <w:lang w:val="lt-LT"/>
              </w:rPr>
            </w:pPr>
          </w:p>
        </w:tc>
        <w:tc>
          <w:tcPr>
            <w:tcW w:w="427" w:type="dxa"/>
          </w:tcPr>
          <w:p w:rsidR="0066746A" w:rsidRPr="00F60AE7" w:rsidRDefault="0066746A">
            <w:pPr>
              <w:jc w:val="left"/>
              <w:rPr>
                <w:b/>
                <w:color w:val="000000"/>
                <w:lang w:val="lt-LT"/>
              </w:rPr>
            </w:pPr>
          </w:p>
        </w:tc>
        <w:tc>
          <w:tcPr>
            <w:tcW w:w="1559" w:type="dxa"/>
          </w:tcPr>
          <w:p w:rsidR="0066746A" w:rsidRPr="00F60AE7" w:rsidRDefault="0066746A" w:rsidP="00A605D5">
            <w:pPr>
              <w:jc w:val="left"/>
              <w:rPr>
                <w:b/>
                <w:color w:val="000000"/>
                <w:lang w:val="lt-LT"/>
              </w:rPr>
            </w:pPr>
          </w:p>
        </w:tc>
        <w:tc>
          <w:tcPr>
            <w:tcW w:w="3018" w:type="dxa"/>
            <w:gridSpan w:val="2"/>
          </w:tcPr>
          <w:p w:rsidR="0066746A" w:rsidRPr="00F60AE7" w:rsidRDefault="0066746A" w:rsidP="00EF18DD">
            <w:pPr>
              <w:jc w:val="left"/>
              <w:rPr>
                <w:b/>
                <w:color w:val="000000"/>
                <w:lang w:val="lt-LT"/>
              </w:rPr>
            </w:pPr>
            <w:r w:rsidRPr="00F60AE7">
              <w:rPr>
                <w:color w:val="000000"/>
                <w:lang w:val="lt-LT"/>
              </w:rPr>
              <w:t>Nr.</w:t>
            </w:r>
            <w:r w:rsidR="00020DE0" w:rsidRPr="00F60AE7">
              <w:rPr>
                <w:color w:val="000000"/>
                <w:lang w:val="lt-LT"/>
              </w:rPr>
              <w:t xml:space="preserve"> </w:t>
            </w:r>
          </w:p>
        </w:tc>
      </w:tr>
      <w:tr w:rsidR="0066746A" w:rsidRPr="00F60AE7" w:rsidTr="00FF5CE4">
        <w:trPr>
          <w:cantSplit/>
        </w:trPr>
        <w:tc>
          <w:tcPr>
            <w:tcW w:w="4643" w:type="dxa"/>
            <w:vMerge/>
          </w:tcPr>
          <w:p w:rsidR="0066746A" w:rsidRPr="00F60AE7" w:rsidRDefault="0066746A">
            <w:pPr>
              <w:jc w:val="left"/>
              <w:rPr>
                <w:b/>
                <w:color w:val="000000"/>
                <w:lang w:val="lt-LT"/>
              </w:rPr>
            </w:pPr>
          </w:p>
        </w:tc>
        <w:tc>
          <w:tcPr>
            <w:tcW w:w="427" w:type="dxa"/>
          </w:tcPr>
          <w:p w:rsidR="0066746A" w:rsidRPr="00F60AE7" w:rsidRDefault="0066746A">
            <w:pPr>
              <w:jc w:val="left"/>
              <w:rPr>
                <w:b/>
                <w:color w:val="000000"/>
                <w:lang w:val="lt-LT"/>
              </w:rPr>
            </w:pPr>
          </w:p>
        </w:tc>
        <w:tc>
          <w:tcPr>
            <w:tcW w:w="1559" w:type="dxa"/>
          </w:tcPr>
          <w:p w:rsidR="0066746A" w:rsidRPr="00F60AE7" w:rsidRDefault="0066746A" w:rsidP="00806F9E">
            <w:pPr>
              <w:jc w:val="left"/>
              <w:rPr>
                <w:b/>
                <w:color w:val="000000"/>
                <w:lang w:val="lt-LT"/>
              </w:rPr>
            </w:pPr>
          </w:p>
        </w:tc>
        <w:tc>
          <w:tcPr>
            <w:tcW w:w="3018" w:type="dxa"/>
            <w:gridSpan w:val="2"/>
          </w:tcPr>
          <w:p w:rsidR="0066746A" w:rsidRPr="00F60AE7" w:rsidRDefault="0066746A" w:rsidP="00690F15">
            <w:pPr>
              <w:jc w:val="left"/>
              <w:rPr>
                <w:b/>
                <w:color w:val="000000"/>
                <w:lang w:val="lt-LT"/>
              </w:rPr>
            </w:pPr>
          </w:p>
        </w:tc>
      </w:tr>
      <w:tr w:rsidR="0066746A" w:rsidRPr="00F60AE7" w:rsidTr="00FF5CE4">
        <w:trPr>
          <w:cantSplit/>
        </w:trPr>
        <w:tc>
          <w:tcPr>
            <w:tcW w:w="4643" w:type="dxa"/>
          </w:tcPr>
          <w:p w:rsidR="0066746A" w:rsidRPr="00F60AE7" w:rsidRDefault="0066746A">
            <w:pPr>
              <w:jc w:val="left"/>
              <w:rPr>
                <w:b/>
                <w:color w:val="000000"/>
                <w:lang w:val="lt-LT"/>
              </w:rPr>
            </w:pPr>
          </w:p>
        </w:tc>
        <w:tc>
          <w:tcPr>
            <w:tcW w:w="427" w:type="dxa"/>
          </w:tcPr>
          <w:p w:rsidR="0066746A" w:rsidRPr="00F60AE7" w:rsidRDefault="0066746A">
            <w:pPr>
              <w:jc w:val="left"/>
              <w:rPr>
                <w:b/>
                <w:color w:val="000000"/>
                <w:lang w:val="lt-LT"/>
              </w:rPr>
            </w:pPr>
          </w:p>
        </w:tc>
        <w:tc>
          <w:tcPr>
            <w:tcW w:w="1559" w:type="dxa"/>
          </w:tcPr>
          <w:p w:rsidR="0066746A" w:rsidRPr="00F60AE7" w:rsidRDefault="0066746A">
            <w:pPr>
              <w:jc w:val="left"/>
              <w:rPr>
                <w:b/>
                <w:color w:val="000000"/>
                <w:lang w:val="lt-LT"/>
              </w:rPr>
            </w:pPr>
          </w:p>
        </w:tc>
        <w:tc>
          <w:tcPr>
            <w:tcW w:w="3018" w:type="dxa"/>
            <w:gridSpan w:val="2"/>
          </w:tcPr>
          <w:p w:rsidR="0066746A" w:rsidRPr="00F60AE7" w:rsidRDefault="0066746A">
            <w:pPr>
              <w:jc w:val="left"/>
              <w:rPr>
                <w:b/>
                <w:color w:val="000000"/>
                <w:lang w:val="lt-LT"/>
              </w:rPr>
            </w:pPr>
          </w:p>
        </w:tc>
      </w:tr>
      <w:tr w:rsidR="00020DE0" w:rsidRPr="00F60AE7" w:rsidTr="00FF5CE4">
        <w:trPr>
          <w:cantSplit/>
        </w:trPr>
        <w:tc>
          <w:tcPr>
            <w:tcW w:w="4643" w:type="dxa"/>
          </w:tcPr>
          <w:p w:rsidR="00020DE0" w:rsidRPr="00F60AE7" w:rsidRDefault="00020DE0">
            <w:pPr>
              <w:jc w:val="left"/>
              <w:rPr>
                <w:b/>
                <w:color w:val="000000"/>
                <w:lang w:val="lt-LT"/>
              </w:rPr>
            </w:pPr>
          </w:p>
        </w:tc>
        <w:tc>
          <w:tcPr>
            <w:tcW w:w="427" w:type="dxa"/>
          </w:tcPr>
          <w:p w:rsidR="00020DE0" w:rsidRPr="00F60AE7" w:rsidRDefault="00020DE0">
            <w:pPr>
              <w:jc w:val="left"/>
              <w:rPr>
                <w:b/>
                <w:color w:val="000000"/>
                <w:lang w:val="lt-LT"/>
              </w:rPr>
            </w:pPr>
          </w:p>
        </w:tc>
        <w:tc>
          <w:tcPr>
            <w:tcW w:w="1559" w:type="dxa"/>
          </w:tcPr>
          <w:p w:rsidR="00020DE0" w:rsidRPr="00F60AE7" w:rsidRDefault="00020DE0">
            <w:pPr>
              <w:jc w:val="left"/>
              <w:rPr>
                <w:b/>
                <w:color w:val="000000"/>
                <w:lang w:val="lt-LT"/>
              </w:rPr>
            </w:pPr>
          </w:p>
        </w:tc>
        <w:tc>
          <w:tcPr>
            <w:tcW w:w="3018" w:type="dxa"/>
            <w:gridSpan w:val="2"/>
          </w:tcPr>
          <w:p w:rsidR="00020DE0" w:rsidRPr="00F60AE7" w:rsidRDefault="00020DE0">
            <w:pPr>
              <w:jc w:val="left"/>
              <w:rPr>
                <w:b/>
                <w:color w:val="000000"/>
                <w:lang w:val="lt-LT"/>
              </w:rPr>
            </w:pPr>
          </w:p>
        </w:tc>
      </w:tr>
      <w:tr w:rsidR="0066746A" w:rsidRPr="00F60AE7" w:rsidTr="00FF5CE4">
        <w:trPr>
          <w:cantSplit/>
        </w:trPr>
        <w:tc>
          <w:tcPr>
            <w:tcW w:w="9647" w:type="dxa"/>
            <w:gridSpan w:val="5"/>
          </w:tcPr>
          <w:p w:rsidR="0066746A" w:rsidRPr="00F60AE7" w:rsidRDefault="0066746A" w:rsidP="00690F15">
            <w:pPr>
              <w:pStyle w:val="Heading1"/>
              <w:jc w:val="both"/>
              <w:rPr>
                <w:b w:val="0"/>
                <w:lang w:val="lt-LT"/>
              </w:rPr>
            </w:pPr>
          </w:p>
        </w:tc>
      </w:tr>
      <w:tr w:rsidR="00690F15" w:rsidRPr="00F60AE7" w:rsidTr="00690F15">
        <w:tblPrEx>
          <w:tblLook w:val="04A0" w:firstRow="1" w:lastRow="0" w:firstColumn="1" w:lastColumn="0" w:noHBand="0" w:noVBand="1"/>
        </w:tblPrEx>
        <w:trPr>
          <w:gridAfter w:val="1"/>
          <w:wAfter w:w="360" w:type="dxa"/>
          <w:cantSplit/>
        </w:trPr>
        <w:tc>
          <w:tcPr>
            <w:tcW w:w="9287" w:type="dxa"/>
            <w:gridSpan w:val="4"/>
          </w:tcPr>
          <w:p w:rsidR="00690F15" w:rsidRPr="00F60AE7" w:rsidRDefault="00690F15" w:rsidP="00094A31">
            <w:pPr>
              <w:pStyle w:val="Title"/>
              <w:jc w:val="both"/>
              <w:rPr>
                <w:lang w:val="lt-LT"/>
              </w:rPr>
            </w:pPr>
            <w:r w:rsidRPr="00F60AE7">
              <w:rPr>
                <w:lang w:val="lt-LT"/>
              </w:rPr>
              <w:t xml:space="preserve">DĖl </w:t>
            </w:r>
            <w:r w:rsidR="00094A31" w:rsidRPr="00F60AE7">
              <w:rPr>
                <w:lang w:val="lt-LT"/>
              </w:rPr>
              <w:t xml:space="preserve">ELEKTROS ENERGIJĄ GAMINANČIŲ VARTOTOJŲ NAUDOJIMOSI ELEKTROS TINKLAIS PASLAUGŲ KAINOS SKAIČIAVIMO METODIKOS </w:t>
            </w:r>
            <w:r w:rsidR="00863615">
              <w:rPr>
                <w:lang w:val="lt-LT"/>
              </w:rPr>
              <w:t>pakeitimo</w:t>
            </w:r>
          </w:p>
          <w:p w:rsidR="00690F15" w:rsidRPr="00F60AE7" w:rsidRDefault="00690F15">
            <w:pPr>
              <w:rPr>
                <w:b/>
                <w:color w:val="000000"/>
                <w:lang w:val="lt-LT"/>
              </w:rPr>
            </w:pPr>
          </w:p>
        </w:tc>
      </w:tr>
    </w:tbl>
    <w:p w:rsidR="00094A31" w:rsidRPr="001548D8" w:rsidRDefault="00205084" w:rsidP="001548D8">
      <w:pPr>
        <w:spacing w:line="276" w:lineRule="auto"/>
        <w:ind w:firstLine="720"/>
        <w:rPr>
          <w:lang w:val="lt-LT"/>
        </w:rPr>
      </w:pPr>
      <w:r>
        <w:rPr>
          <w:lang w:val="lt-LT"/>
        </w:rPr>
        <w:t>Valstybinė kainų ir energetikos kontrolės komisija (toliau – Komisija), a</w:t>
      </w:r>
      <w:r w:rsidR="00235E38" w:rsidRPr="001548D8">
        <w:rPr>
          <w:lang w:val="lt-LT"/>
        </w:rPr>
        <w:t xml:space="preserve">tsižvelgdama tai, kad Lietuvos Respublikos Seimas </w:t>
      </w:r>
      <w:r w:rsidR="000F7C3C" w:rsidRPr="001548D8">
        <w:rPr>
          <w:lang w:val="lt-LT"/>
        </w:rPr>
        <w:t xml:space="preserve">2018 m. balandžio 12 d. pritarė Lietuvos Respublikos </w:t>
      </w:r>
      <w:r>
        <w:rPr>
          <w:lang w:val="lt-LT"/>
        </w:rPr>
        <w:t>a</w:t>
      </w:r>
      <w:r w:rsidR="000F7C3C" w:rsidRPr="001548D8">
        <w:rPr>
          <w:lang w:val="lt-LT"/>
        </w:rPr>
        <w:t xml:space="preserve">tsinaujinančių išteklių energetikos įstatymo </w:t>
      </w:r>
      <w:r>
        <w:rPr>
          <w:lang w:val="lt-LT"/>
        </w:rPr>
        <w:t xml:space="preserve">(toliau – Įstatymas) </w:t>
      </w:r>
      <w:r w:rsidR="000F7C3C" w:rsidRPr="001548D8">
        <w:rPr>
          <w:lang w:val="lt-LT"/>
        </w:rPr>
        <w:t>Nr. XI-1375 20 straipsnio pakeitimo ir Įstatymo papildymo 20</w:t>
      </w:r>
      <w:r w:rsidR="000F7C3C" w:rsidRPr="001548D8">
        <w:rPr>
          <w:vertAlign w:val="superscript"/>
          <w:lang w:val="lt-LT"/>
        </w:rPr>
        <w:t>1</w:t>
      </w:r>
      <w:r w:rsidR="000F7C3C" w:rsidRPr="001548D8">
        <w:rPr>
          <w:lang w:val="lt-LT"/>
        </w:rPr>
        <w:t xml:space="preserve"> straipsniu įstatymo projektui Nr. XIIIP-1777(3) (toliau – Įstatymo pakeitimai) bei</w:t>
      </w:r>
      <w:r w:rsidR="00094A31" w:rsidRPr="001548D8">
        <w:rPr>
          <w:lang w:val="lt-LT"/>
        </w:rPr>
        <w:t xml:space="preserve"> vadovaudamasi Lietuvos Respublikos elektros energetikos įstatymo 9 straipsnio 3 dalies 19 punktu, 67 straipsnio 1</w:t>
      </w:r>
      <w:r w:rsidR="00235E38" w:rsidRPr="001548D8">
        <w:rPr>
          <w:lang w:val="lt-LT"/>
        </w:rPr>
        <w:t>3</w:t>
      </w:r>
      <w:r w:rsidR="00094A31" w:rsidRPr="001548D8">
        <w:rPr>
          <w:lang w:val="lt-LT"/>
        </w:rPr>
        <w:t xml:space="preserve"> dalimi, kuria </w:t>
      </w:r>
      <w:r>
        <w:rPr>
          <w:lang w:val="lt-LT"/>
        </w:rPr>
        <w:t>Komisijos</w:t>
      </w:r>
      <w:r w:rsidR="00094A31" w:rsidRPr="001548D8">
        <w:rPr>
          <w:lang w:val="lt-LT"/>
        </w:rPr>
        <w:t xml:space="preserve"> kompetencijai priskirta tvirtinti </w:t>
      </w:r>
      <w:r w:rsidR="00681E2A" w:rsidRPr="001548D8">
        <w:rPr>
          <w:lang w:val="lt-LT"/>
        </w:rPr>
        <w:t>e</w:t>
      </w:r>
      <w:r w:rsidR="00094A31" w:rsidRPr="001548D8">
        <w:rPr>
          <w:lang w:val="lt-LT"/>
        </w:rPr>
        <w:t xml:space="preserve">lektros energiją gaminančių vartotojų </w:t>
      </w:r>
      <w:r w:rsidR="00E7707C" w:rsidRPr="001548D8">
        <w:rPr>
          <w:lang w:val="lt-LT"/>
        </w:rPr>
        <w:t xml:space="preserve">(toliau – Gaminantis vartotojas) </w:t>
      </w:r>
      <w:r w:rsidR="00094A31" w:rsidRPr="001548D8">
        <w:rPr>
          <w:lang w:val="lt-LT"/>
        </w:rPr>
        <w:t xml:space="preserve">naudojimosi elektros tinklais paslaugų kainos </w:t>
      </w:r>
      <w:r w:rsidR="00F60AE7" w:rsidRPr="001548D8">
        <w:rPr>
          <w:lang w:val="lt-LT"/>
        </w:rPr>
        <w:t xml:space="preserve">(toliau – Paslaugų kaina) </w:t>
      </w:r>
      <w:r w:rsidR="00094A31" w:rsidRPr="001548D8">
        <w:rPr>
          <w:lang w:val="lt-LT"/>
        </w:rPr>
        <w:t>skaičiavimo metodiką</w:t>
      </w:r>
      <w:r w:rsidR="00A73DA2" w:rsidRPr="001548D8">
        <w:rPr>
          <w:lang w:val="lt-LT"/>
        </w:rPr>
        <w:t xml:space="preserve">, </w:t>
      </w:r>
      <w:r w:rsidR="00C026B0">
        <w:rPr>
          <w:lang w:val="lt-LT"/>
        </w:rPr>
        <w:t xml:space="preserve">Komisija </w:t>
      </w:r>
      <w:r w:rsidR="00A73DA2" w:rsidRPr="001548D8">
        <w:rPr>
          <w:lang w:val="lt-LT"/>
        </w:rPr>
        <w:t xml:space="preserve">parengė ir teikia viešajai konsultacijai </w:t>
      </w:r>
      <w:r w:rsidR="00786101" w:rsidRPr="001548D8">
        <w:rPr>
          <w:lang w:val="lt-LT"/>
        </w:rPr>
        <w:t xml:space="preserve">Elektros energiją gaminančių vartotojų naudojimosi elektros tinklais paslaugų kainos skaičiavimo metodikos </w:t>
      </w:r>
      <w:r w:rsidR="00D31439">
        <w:rPr>
          <w:lang w:val="lt-LT"/>
        </w:rPr>
        <w:t xml:space="preserve">pakeitimo </w:t>
      </w:r>
      <w:r w:rsidR="00786101" w:rsidRPr="001548D8">
        <w:rPr>
          <w:lang w:val="lt-LT"/>
        </w:rPr>
        <w:t>projektą (toliau – Projektas).</w:t>
      </w:r>
    </w:p>
    <w:p w:rsidR="00857C04" w:rsidRPr="001548D8" w:rsidRDefault="000F7C3C" w:rsidP="001548D8">
      <w:pPr>
        <w:tabs>
          <w:tab w:val="left" w:pos="993"/>
        </w:tabs>
        <w:spacing w:line="276" w:lineRule="auto"/>
        <w:ind w:firstLine="720"/>
        <w:rPr>
          <w:lang w:val="lt-LT"/>
        </w:rPr>
      </w:pPr>
      <w:r w:rsidRPr="001548D8">
        <w:rPr>
          <w:lang w:val="lt-LT"/>
        </w:rPr>
        <w:t>Atsižvelgiant į Įstatymo pakeitimus</w:t>
      </w:r>
      <w:r w:rsidR="00C026B0">
        <w:rPr>
          <w:lang w:val="lt-LT"/>
        </w:rPr>
        <w:t>,</w:t>
      </w:r>
      <w:r w:rsidRPr="001548D8">
        <w:rPr>
          <w:lang w:val="lt-LT"/>
        </w:rPr>
        <w:t xml:space="preserve"> Projekt</w:t>
      </w:r>
      <w:r w:rsidR="00E605E2" w:rsidRPr="001548D8">
        <w:rPr>
          <w:lang w:val="lt-LT"/>
        </w:rPr>
        <w:t>e</w:t>
      </w:r>
      <w:r w:rsidRPr="001548D8">
        <w:rPr>
          <w:lang w:val="lt-LT"/>
        </w:rPr>
        <w:t xml:space="preserve"> </w:t>
      </w:r>
      <w:r w:rsidR="00857C04" w:rsidRPr="001548D8">
        <w:rPr>
          <w:lang w:val="lt-LT"/>
        </w:rPr>
        <w:t xml:space="preserve">Gaminantiems vartotojams </w:t>
      </w:r>
      <w:r w:rsidRPr="001548D8">
        <w:rPr>
          <w:lang w:val="lt-LT"/>
        </w:rPr>
        <w:t>įtvirtinami keturi</w:t>
      </w:r>
      <w:r w:rsidR="00857C04" w:rsidRPr="001548D8">
        <w:rPr>
          <w:lang w:val="lt-LT"/>
        </w:rPr>
        <w:t xml:space="preserve"> skirtingi atsiskaitymo už naudojimąsi elektros tinklais būdai</w:t>
      </w:r>
      <w:r w:rsidR="00F60AE7" w:rsidRPr="001548D8">
        <w:rPr>
          <w:lang w:val="lt-LT"/>
        </w:rPr>
        <w:t>, t. y. bus nustatoma</w:t>
      </w:r>
      <w:r w:rsidR="00857C04" w:rsidRPr="001548D8">
        <w:rPr>
          <w:lang w:val="lt-LT"/>
        </w:rPr>
        <w:t>:</w:t>
      </w:r>
    </w:p>
    <w:p w:rsidR="00786101" w:rsidRPr="001548D8" w:rsidRDefault="00F60AE7" w:rsidP="001548D8">
      <w:pPr>
        <w:pStyle w:val="ListParagraph"/>
        <w:numPr>
          <w:ilvl w:val="0"/>
          <w:numId w:val="3"/>
        </w:numPr>
        <w:tabs>
          <w:tab w:val="left" w:pos="993"/>
        </w:tabs>
        <w:spacing w:line="276" w:lineRule="auto"/>
        <w:ind w:left="0" w:firstLine="720"/>
        <w:rPr>
          <w:lang w:val="lt-LT"/>
        </w:rPr>
      </w:pPr>
      <w:r w:rsidRPr="001548D8">
        <w:rPr>
          <w:b/>
          <w:lang w:val="lt-LT"/>
        </w:rPr>
        <w:t>Vienanarė Paslaugų kaina, kai mokama už 1 kWh</w:t>
      </w:r>
      <w:r w:rsidRPr="001548D8">
        <w:rPr>
          <w:lang w:val="lt-LT"/>
        </w:rPr>
        <w:t xml:space="preserve"> atgauto iš elektros tinklų elektros energijos kiekio, kurį prieš tai Gaminantis vartotojas buvo pagaminęs ir patiekęs į skirs</w:t>
      </w:r>
      <w:r w:rsidR="00205084">
        <w:rPr>
          <w:lang w:val="lt-LT"/>
        </w:rPr>
        <w:t>tomuosius tinklus.</w:t>
      </w:r>
    </w:p>
    <w:p w:rsidR="00F60AE7" w:rsidRPr="001548D8" w:rsidRDefault="00F60AE7" w:rsidP="001548D8">
      <w:pPr>
        <w:pStyle w:val="ListParagraph"/>
        <w:numPr>
          <w:ilvl w:val="0"/>
          <w:numId w:val="3"/>
        </w:numPr>
        <w:tabs>
          <w:tab w:val="left" w:pos="993"/>
        </w:tabs>
        <w:spacing w:line="276" w:lineRule="auto"/>
        <w:ind w:left="0" w:firstLine="720"/>
        <w:rPr>
          <w:lang w:val="lt-LT"/>
        </w:rPr>
      </w:pPr>
      <w:r w:rsidRPr="001548D8">
        <w:rPr>
          <w:b/>
          <w:lang w:val="lt-LT"/>
        </w:rPr>
        <w:t>Vienanarė Paslaugų kaina, kai mokama už 1 kW</w:t>
      </w:r>
      <w:r w:rsidRPr="001548D8">
        <w:rPr>
          <w:lang w:val="lt-LT"/>
        </w:rPr>
        <w:t xml:space="preserve"> Gaminančio vartotoj</w:t>
      </w:r>
      <w:r w:rsidR="00205084">
        <w:rPr>
          <w:lang w:val="lt-LT"/>
        </w:rPr>
        <w:t>o elektrinės įrengtosios galios.</w:t>
      </w:r>
    </w:p>
    <w:p w:rsidR="00F60AE7" w:rsidRPr="001548D8" w:rsidRDefault="00F60AE7" w:rsidP="001548D8">
      <w:pPr>
        <w:pStyle w:val="ListParagraph"/>
        <w:numPr>
          <w:ilvl w:val="0"/>
          <w:numId w:val="3"/>
        </w:numPr>
        <w:tabs>
          <w:tab w:val="left" w:pos="993"/>
        </w:tabs>
        <w:spacing w:line="276" w:lineRule="auto"/>
        <w:ind w:left="0" w:firstLine="720"/>
        <w:rPr>
          <w:lang w:val="lt-LT"/>
        </w:rPr>
      </w:pPr>
      <w:r w:rsidRPr="001548D8">
        <w:rPr>
          <w:b/>
          <w:lang w:val="lt-LT"/>
        </w:rPr>
        <w:t>Dvinarė Paslaugų kaina, kai mokama už 1 kWh</w:t>
      </w:r>
      <w:r w:rsidRPr="001548D8">
        <w:rPr>
          <w:lang w:val="lt-LT"/>
        </w:rPr>
        <w:t xml:space="preserve"> atgauto iš elektros tinklų elektros energijos kiekio, kurį prieš tai Gaminantis vartotojas buvo pagaminęs ir patiekęs į skirstomuosius tinklus</w:t>
      </w:r>
      <w:r w:rsidR="00205084">
        <w:rPr>
          <w:lang w:val="lt-LT"/>
        </w:rPr>
        <w:t>,</w:t>
      </w:r>
      <w:r w:rsidR="002D7E9A" w:rsidRPr="001548D8">
        <w:rPr>
          <w:lang w:val="lt-LT"/>
        </w:rPr>
        <w:t xml:space="preserve"> </w:t>
      </w:r>
      <w:r w:rsidR="002D7E9A" w:rsidRPr="001548D8">
        <w:rPr>
          <w:b/>
          <w:lang w:val="lt-LT"/>
        </w:rPr>
        <w:t>ir už 1 kW</w:t>
      </w:r>
      <w:r w:rsidR="002D7E9A" w:rsidRPr="001548D8">
        <w:rPr>
          <w:lang w:val="lt-LT"/>
        </w:rPr>
        <w:t xml:space="preserve"> Gaminančio vartotoj</w:t>
      </w:r>
      <w:r w:rsidR="00205084">
        <w:rPr>
          <w:lang w:val="lt-LT"/>
        </w:rPr>
        <w:t>o elektrinės įrengtosios galios.</w:t>
      </w:r>
    </w:p>
    <w:p w:rsidR="00391F88" w:rsidRPr="001548D8" w:rsidRDefault="00391F88" w:rsidP="001548D8">
      <w:pPr>
        <w:pStyle w:val="ListParagraph"/>
        <w:tabs>
          <w:tab w:val="left" w:pos="993"/>
        </w:tabs>
        <w:spacing w:line="276" w:lineRule="auto"/>
        <w:ind w:left="0" w:firstLine="720"/>
        <w:rPr>
          <w:lang w:val="lt-LT"/>
        </w:rPr>
      </w:pPr>
      <w:r w:rsidRPr="001548D8">
        <w:rPr>
          <w:lang w:val="lt-LT"/>
        </w:rPr>
        <w:t>Projekte numatyta, jog Komisija, nustatydama dvinarę Paslaugų kainą</w:t>
      </w:r>
      <w:r w:rsidR="00205084">
        <w:rPr>
          <w:lang w:val="lt-LT"/>
        </w:rPr>
        <w:t>,</w:t>
      </w:r>
      <w:r w:rsidRPr="001548D8">
        <w:rPr>
          <w:lang w:val="lt-LT"/>
        </w:rPr>
        <w:t xml:space="preserve"> skirstomųjų tinklų operatoriaus </w:t>
      </w:r>
      <w:r w:rsidR="00C64773">
        <w:rPr>
          <w:lang w:val="lt-LT"/>
        </w:rPr>
        <w:t xml:space="preserve">(toliau – STO) </w:t>
      </w:r>
      <w:r w:rsidRPr="001548D8">
        <w:rPr>
          <w:lang w:val="lt-LT"/>
        </w:rPr>
        <w:t>patiriamus kaštus bei gaunamą naudą tarp Paslaugų kainos dedamųjų paskirsto per pusę, t. y</w:t>
      </w:r>
      <w:r w:rsidR="00205084">
        <w:rPr>
          <w:lang w:val="lt-LT"/>
        </w:rPr>
        <w:t>.</w:t>
      </w:r>
      <w:r w:rsidRPr="001548D8">
        <w:rPr>
          <w:lang w:val="lt-LT"/>
        </w:rPr>
        <w:t xml:space="preserve"> taikydama 0,5 koeficientą. Kaštų ir naudos paskirstymo principas pasirinktas, atsižvelgiant į elektros sektoriuje taikomą praktiką, jog pastoviajai dedamajai </w:t>
      </w:r>
      <w:r w:rsidR="006E70D6" w:rsidRPr="001548D8">
        <w:rPr>
          <w:lang w:val="lt-LT"/>
        </w:rPr>
        <w:t>priskiriama</w:t>
      </w:r>
      <w:r w:rsidRPr="001548D8">
        <w:rPr>
          <w:lang w:val="lt-LT"/>
        </w:rPr>
        <w:t xml:space="preserve"> </w:t>
      </w:r>
      <w:r w:rsidR="006E70D6" w:rsidRPr="001548D8">
        <w:rPr>
          <w:lang w:val="lt-LT"/>
        </w:rPr>
        <w:t>ne daugiau kaip 50 proc.</w:t>
      </w:r>
      <w:r w:rsidR="006E70D6" w:rsidRPr="001548D8">
        <w:rPr>
          <w:rStyle w:val="FootnoteReference"/>
          <w:lang w:val="lt-LT"/>
        </w:rPr>
        <w:footnoteReference w:id="1"/>
      </w:r>
      <w:r w:rsidR="006E70D6" w:rsidRPr="001548D8">
        <w:rPr>
          <w:lang w:val="lt-LT"/>
        </w:rPr>
        <w:t xml:space="preserve"> kaštų.</w:t>
      </w:r>
    </w:p>
    <w:p w:rsidR="002D7E9A" w:rsidRPr="001548D8" w:rsidRDefault="00205084" w:rsidP="001548D8">
      <w:pPr>
        <w:pStyle w:val="ListParagraph"/>
        <w:numPr>
          <w:ilvl w:val="0"/>
          <w:numId w:val="3"/>
        </w:numPr>
        <w:tabs>
          <w:tab w:val="left" w:pos="993"/>
        </w:tabs>
        <w:spacing w:line="276" w:lineRule="auto"/>
        <w:ind w:left="0" w:firstLine="720"/>
        <w:rPr>
          <w:lang w:val="lt-LT"/>
        </w:rPr>
      </w:pPr>
      <w:r>
        <w:rPr>
          <w:b/>
          <w:lang w:val="lt-LT"/>
        </w:rPr>
        <w:t>P</w:t>
      </w:r>
      <w:r w:rsidR="002D7E9A" w:rsidRPr="001548D8">
        <w:rPr>
          <w:b/>
          <w:lang w:val="lt-LT"/>
        </w:rPr>
        <w:t>rocentas elektros energijos kiekio</w:t>
      </w:r>
      <w:r w:rsidR="002D7E9A" w:rsidRPr="001548D8">
        <w:rPr>
          <w:lang w:val="lt-LT"/>
        </w:rPr>
        <w:t>, Gaminančio vartotojo patiekto kaupimo laikotarpiu į elektros tinklus, kuriuo Gaminantis vartotojas atsiskaito už naudojimąsi elektros tinklais.</w:t>
      </w:r>
    </w:p>
    <w:p w:rsidR="006E70D6" w:rsidRPr="001548D8" w:rsidRDefault="00C026B0" w:rsidP="001548D8">
      <w:pPr>
        <w:tabs>
          <w:tab w:val="left" w:pos="993"/>
        </w:tabs>
        <w:spacing w:line="276" w:lineRule="auto"/>
        <w:ind w:firstLine="720"/>
        <w:rPr>
          <w:lang w:val="lt-LT"/>
        </w:rPr>
      </w:pPr>
      <w:r>
        <w:rPr>
          <w:lang w:val="lt-LT"/>
        </w:rPr>
        <w:lastRenderedPageBreak/>
        <w:t>Pagal</w:t>
      </w:r>
      <w:r w:rsidR="00486CC1" w:rsidRPr="001548D8">
        <w:rPr>
          <w:lang w:val="lt-LT"/>
        </w:rPr>
        <w:t xml:space="preserve"> Projektu </w:t>
      </w:r>
      <w:r>
        <w:rPr>
          <w:lang w:val="lt-LT"/>
        </w:rPr>
        <w:t xml:space="preserve">pateikiamą skaičiavimo principą, </w:t>
      </w:r>
      <w:r w:rsidR="00486CC1" w:rsidRPr="001548D8">
        <w:rPr>
          <w:lang w:val="lt-LT"/>
        </w:rPr>
        <w:t xml:space="preserve">skirtingi procentiniai dydžiai nustatomi Gaminantiems vartotojams, kurių elektros įrenginiai prijungti prie vidutinės įtampos skirstomojo tinklo, ir Gaminantiems vartotojams, kurių elektros energijos įrenginiai prijungti prie žemosios įtampos skirstomojo tinklo. Abiem atvejais procentinis dydis nustatomas </w:t>
      </w:r>
      <w:r>
        <w:rPr>
          <w:lang w:val="lt-LT"/>
        </w:rPr>
        <w:t xml:space="preserve">pagal </w:t>
      </w:r>
      <w:r w:rsidR="00486CC1" w:rsidRPr="001548D8">
        <w:rPr>
          <w:lang w:val="lt-LT"/>
        </w:rPr>
        <w:t>princip</w:t>
      </w:r>
      <w:r>
        <w:rPr>
          <w:lang w:val="lt-LT"/>
        </w:rPr>
        <w:t>ą</w:t>
      </w:r>
      <w:r w:rsidR="00486CC1" w:rsidRPr="001548D8">
        <w:rPr>
          <w:lang w:val="lt-LT"/>
        </w:rPr>
        <w:t xml:space="preserve">, jog Gaminančio vartotojo pagamintos ir patiektos į tinklus elektros energijos kiekio dalies, kurią Gaminantis vartotojas panaudoja kaip atsiskaitymo priemonę už pasinaudojimą elektros tinklais, vertė turi būti </w:t>
      </w:r>
      <w:r w:rsidR="00C64773">
        <w:rPr>
          <w:lang w:val="lt-LT"/>
        </w:rPr>
        <w:t xml:space="preserve">lygi STO </w:t>
      </w:r>
      <w:r w:rsidR="00F407B8" w:rsidRPr="001548D8">
        <w:rPr>
          <w:lang w:val="lt-LT"/>
        </w:rPr>
        <w:t xml:space="preserve">kaštams, </w:t>
      </w:r>
      <w:r w:rsidR="00C64773">
        <w:rPr>
          <w:lang w:val="lt-LT"/>
        </w:rPr>
        <w:t>kurie patiriami</w:t>
      </w:r>
      <w:r w:rsidR="00F407B8" w:rsidRPr="001548D8">
        <w:rPr>
          <w:lang w:val="lt-LT"/>
        </w:rPr>
        <w:t xml:space="preserve"> Gaminančiam vartotojui</w:t>
      </w:r>
      <w:r w:rsidR="00C64773">
        <w:rPr>
          <w:lang w:val="lt-LT"/>
        </w:rPr>
        <w:t xml:space="preserve"> naudojantis elektros tinklais, kai susigrąžinamas likęs elektros energijos kiekis</w:t>
      </w:r>
      <w:r w:rsidR="00F407B8" w:rsidRPr="001548D8">
        <w:rPr>
          <w:lang w:val="lt-LT"/>
        </w:rPr>
        <w:t>.</w:t>
      </w:r>
    </w:p>
    <w:p w:rsidR="00F407B8" w:rsidRPr="001548D8" w:rsidRDefault="00C026B0" w:rsidP="001548D8">
      <w:pPr>
        <w:tabs>
          <w:tab w:val="left" w:pos="993"/>
        </w:tabs>
        <w:spacing w:line="276" w:lineRule="auto"/>
        <w:ind w:firstLine="720"/>
        <w:rPr>
          <w:lang w:val="lt-LT"/>
        </w:rPr>
      </w:pPr>
      <w:r>
        <w:rPr>
          <w:lang w:val="lt-LT"/>
        </w:rPr>
        <w:t>Atitinkamai</w:t>
      </w:r>
      <w:r w:rsidR="00C64773">
        <w:rPr>
          <w:lang w:val="lt-LT"/>
        </w:rPr>
        <w:t xml:space="preserve"> </w:t>
      </w:r>
      <w:r w:rsidR="00F407B8" w:rsidRPr="001548D8">
        <w:rPr>
          <w:lang w:val="lt-LT"/>
        </w:rPr>
        <w:t>Projekto 21 punkte numatyta, jog Gaminantiems vartotojams, kurių įrenginiai prijungti prie vidutinės įtampos tinklų, procentas elektros energijos kiekio, Gaminančio vartotojo patiekto kaupimo laikotarpiu į elektros tinklus, kuriuo Gaminantis vartotojas atsiskaito už naudojimąsi elektros tinklais, nustatomas pagal formulę:</w:t>
      </w:r>
    </w:p>
    <w:p w:rsidR="00F407B8" w:rsidRPr="001548D8" w:rsidRDefault="00F407B8" w:rsidP="001548D8">
      <w:pPr>
        <w:tabs>
          <w:tab w:val="left" w:pos="993"/>
        </w:tabs>
        <w:spacing w:line="276" w:lineRule="auto"/>
        <w:ind w:firstLine="720"/>
        <w:rPr>
          <w:lang w:val="lt-LT"/>
        </w:rPr>
      </w:pPr>
    </w:p>
    <w:p w:rsidR="00F407B8" w:rsidRPr="001548D8" w:rsidRDefault="001A26DF" w:rsidP="001548D8">
      <w:pPr>
        <w:tabs>
          <w:tab w:val="left" w:pos="993"/>
        </w:tabs>
        <w:spacing w:line="276" w:lineRule="auto"/>
        <w:ind w:firstLine="720"/>
      </w:pPr>
      <m:oMathPara>
        <m:oMath>
          <m:sSub>
            <m:sSubPr>
              <m:ctrlPr>
                <w:rPr>
                  <w:rFonts w:ascii="Cambria Math" w:hAnsi="Cambria Math"/>
                  <w:i/>
                </w:rPr>
              </m:ctrlPr>
            </m:sSubPr>
            <m:e>
              <m:r>
                <w:rPr>
                  <w:rFonts w:ascii="Cambria Math" w:hAnsi="Cambria Math"/>
                </w:rPr>
                <m:t>ak</m:t>
              </m:r>
            </m:e>
            <m:sub>
              <m:r>
                <w:rPr>
                  <w:rFonts w:ascii="Cambria Math" w:hAnsi="Cambria Math"/>
                </w:rPr>
                <m:t>vi</m:t>
              </m:r>
            </m:sub>
          </m:sSub>
          <m:r>
            <w:rPr>
              <w:rFonts w:ascii="Cambria Math" w:hAnsi="Cambria Math"/>
            </w:rPr>
            <m:t>*</m:t>
          </m:r>
          <m:sSub>
            <m:sSubPr>
              <m:ctrlPr>
                <w:rPr>
                  <w:rFonts w:ascii="Cambria Math" w:hAnsi="Cambria Math"/>
                  <w:i/>
                </w:rPr>
              </m:ctrlPr>
            </m:sSubPr>
            <m:e>
              <m:r>
                <w:rPr>
                  <w:rFonts w:ascii="Cambria Math" w:hAnsi="Cambria Math"/>
                </w:rPr>
                <m:t>NP</m:t>
              </m:r>
            </m:e>
            <m:sub>
              <m:r>
                <w:rPr>
                  <w:rFonts w:ascii="Cambria Math" w:hAnsi="Cambria Math"/>
                </w:rPr>
                <m:t>vi</m:t>
              </m:r>
            </m:sub>
          </m:sSub>
          <m:r>
            <w:rPr>
              <w:rFonts w:ascii="Cambria Math" w:hAnsi="Cambria Math"/>
            </w:rPr>
            <m:t>*Q=</m:t>
          </m:r>
          <m:sSub>
            <m:sSubPr>
              <m:ctrlPr>
                <w:rPr>
                  <w:rFonts w:ascii="Cambria Math" w:hAnsi="Cambria Math"/>
                  <w:i/>
                </w:rPr>
              </m:ctrlPr>
            </m:sSubPr>
            <m:e>
              <m:r>
                <w:rPr>
                  <w:rFonts w:ascii="Cambria Math" w:hAnsi="Cambria Math"/>
                </w:rPr>
                <m:t>nk</m:t>
              </m:r>
            </m:e>
            <m:sub>
              <m:r>
                <w:rPr>
                  <w:rFonts w:ascii="Cambria Math" w:hAnsi="Cambria Math"/>
                </w:rPr>
                <m:t>vi</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1-NP</m:t>
                  </m:r>
                </m:e>
                <m:sub>
                  <m:r>
                    <w:rPr>
                      <w:rFonts w:ascii="Cambria Math" w:hAnsi="Cambria Math"/>
                    </w:rPr>
                    <m:t>vi</m:t>
                  </m:r>
                </m:sub>
              </m:sSub>
            </m:e>
          </m:d>
          <m:r>
            <w:rPr>
              <w:rFonts w:ascii="Cambria Math" w:hAnsi="Cambria Math"/>
            </w:rPr>
            <m:t>*Q</m:t>
          </m:r>
        </m:oMath>
      </m:oMathPara>
    </w:p>
    <w:p w:rsidR="00F407B8" w:rsidRPr="001548D8" w:rsidRDefault="00F407B8" w:rsidP="001548D8">
      <w:pPr>
        <w:tabs>
          <w:tab w:val="left" w:pos="993"/>
        </w:tabs>
        <w:spacing w:line="276" w:lineRule="auto"/>
        <w:rPr>
          <w:lang w:val="lt-LT"/>
        </w:rPr>
      </w:pPr>
    </w:p>
    <w:p w:rsidR="00F407B8" w:rsidRPr="001548D8" w:rsidRDefault="00F407B8" w:rsidP="001548D8">
      <w:pPr>
        <w:tabs>
          <w:tab w:val="left" w:pos="993"/>
        </w:tabs>
        <w:spacing w:line="276" w:lineRule="auto"/>
        <w:ind w:firstLine="720"/>
        <w:rPr>
          <w:lang w:val="lt-LT"/>
        </w:rPr>
      </w:pPr>
      <w:r w:rsidRPr="001548D8">
        <w:rPr>
          <w:lang w:val="lt-LT"/>
        </w:rPr>
        <w:t>čia:</w:t>
      </w:r>
    </w:p>
    <w:p w:rsidR="00F407B8" w:rsidRPr="001548D8" w:rsidRDefault="00F407B8" w:rsidP="001548D8">
      <w:pPr>
        <w:tabs>
          <w:tab w:val="left" w:pos="993"/>
        </w:tabs>
        <w:spacing w:line="276" w:lineRule="auto"/>
        <w:ind w:firstLine="720"/>
        <w:rPr>
          <w:lang w:val="lt-LT"/>
        </w:rPr>
      </w:pPr>
      <w:r w:rsidRPr="001548D8">
        <w:rPr>
          <w:lang w:val="lt-LT"/>
        </w:rPr>
        <w:t>NP</w:t>
      </w:r>
      <w:r w:rsidRPr="001548D8">
        <w:rPr>
          <w:vertAlign w:val="subscript"/>
          <w:lang w:val="lt-LT"/>
        </w:rPr>
        <w:t>vi</w:t>
      </w:r>
      <w:r w:rsidRPr="001548D8">
        <w:rPr>
          <w:lang w:val="lt-LT"/>
        </w:rPr>
        <w:t xml:space="preserve"> – procentas elektros energijos kiekio, Gaminančio vartotojo patiekto kaupimo laikotarpiu į elektros tinklus, kuriuo Gaminantis vartotojas atsiskaito už naudojimąsi elektros tinklais vidutinėje</w:t>
      </w:r>
      <w:r w:rsidR="00C026B0">
        <w:rPr>
          <w:lang w:val="lt-LT"/>
        </w:rPr>
        <w:t xml:space="preserve"> įtampoje</w:t>
      </w:r>
      <w:r w:rsidRPr="001548D8">
        <w:rPr>
          <w:lang w:val="lt-LT"/>
        </w:rPr>
        <w:t>, proc.;</w:t>
      </w:r>
    </w:p>
    <w:p w:rsidR="00F407B8" w:rsidRPr="001548D8" w:rsidRDefault="00F407B8" w:rsidP="001548D8">
      <w:pPr>
        <w:tabs>
          <w:tab w:val="left" w:pos="993"/>
        </w:tabs>
        <w:spacing w:line="276" w:lineRule="auto"/>
        <w:ind w:firstLine="720"/>
        <w:rPr>
          <w:lang w:val="lt-LT"/>
        </w:rPr>
      </w:pPr>
      <w:r w:rsidRPr="001548D8">
        <w:rPr>
          <w:lang w:val="lt-LT"/>
        </w:rPr>
        <w:t xml:space="preserve">Q – Gaminančio vartotojo elektros energijos kiekis, kaupimo laikotarpiu patiektas į STO valdomus </w:t>
      </w:r>
      <w:r w:rsidR="00C026B0">
        <w:rPr>
          <w:lang w:val="lt-LT"/>
        </w:rPr>
        <w:t>skirstomuosius tinklus</w:t>
      </w:r>
      <w:r w:rsidRPr="001548D8">
        <w:rPr>
          <w:lang w:val="lt-LT"/>
        </w:rPr>
        <w:t>;</w:t>
      </w:r>
    </w:p>
    <w:p w:rsidR="00F407B8" w:rsidRPr="001548D8" w:rsidRDefault="00F407B8" w:rsidP="001548D8">
      <w:pPr>
        <w:tabs>
          <w:tab w:val="left" w:pos="993"/>
        </w:tabs>
        <w:spacing w:line="276" w:lineRule="auto"/>
        <w:ind w:firstLine="720"/>
        <w:rPr>
          <w:lang w:val="lt-LT"/>
        </w:rPr>
      </w:pPr>
      <w:r w:rsidRPr="001548D8">
        <w:rPr>
          <w:lang w:val="lt-LT"/>
        </w:rPr>
        <w:t>nk</w:t>
      </w:r>
      <w:r w:rsidRPr="001548D8">
        <w:rPr>
          <w:vertAlign w:val="subscript"/>
          <w:lang w:val="lt-LT"/>
        </w:rPr>
        <w:t>vi</w:t>
      </w:r>
      <w:r w:rsidRPr="001548D8">
        <w:rPr>
          <w:lang w:val="lt-LT"/>
        </w:rPr>
        <w:t xml:space="preserve"> – kaštai</w:t>
      </w:r>
      <w:r w:rsidR="00C026B0">
        <w:rPr>
          <w:lang w:val="lt-LT"/>
        </w:rPr>
        <w:t>,</w:t>
      </w:r>
      <w:r w:rsidRPr="001548D8">
        <w:rPr>
          <w:lang w:val="lt-LT"/>
        </w:rPr>
        <w:t xml:space="preserve"> patiriami, persiunčiant elektros energiją Gaminančiam vartotojui, kurie apskaičiuojami kaip STO mokamos perdavimo paslaugos energijos kainos dedamosios ir STO skirstymo vidutinės įtampos tinklais kainos suma, Eur/kWh;</w:t>
      </w:r>
    </w:p>
    <w:p w:rsidR="00F407B8" w:rsidRPr="001548D8" w:rsidRDefault="00F407B8" w:rsidP="001548D8">
      <w:pPr>
        <w:tabs>
          <w:tab w:val="left" w:pos="993"/>
        </w:tabs>
        <w:spacing w:line="276" w:lineRule="auto"/>
        <w:ind w:firstLine="720"/>
        <w:rPr>
          <w:lang w:val="lt-LT"/>
        </w:rPr>
      </w:pPr>
      <w:r w:rsidRPr="001548D8">
        <w:rPr>
          <w:lang w:val="lt-LT"/>
        </w:rPr>
        <w:t>ak</w:t>
      </w:r>
      <w:r w:rsidRPr="001548D8">
        <w:rPr>
          <w:vertAlign w:val="subscript"/>
          <w:lang w:val="lt-LT"/>
        </w:rPr>
        <w:t>vi</w:t>
      </w:r>
      <w:r w:rsidRPr="001548D8">
        <w:rPr>
          <w:lang w:val="lt-LT"/>
        </w:rPr>
        <w:t xml:space="preserve"> – elektros energijos vertė gaunama STO, kuri apskaičiuojama kaip elektros energijos </w:t>
      </w:r>
      <w:r w:rsidR="00944D4C" w:rsidRPr="001548D8">
        <w:rPr>
          <w:lang w:val="lt-LT"/>
        </w:rPr>
        <w:t>r</w:t>
      </w:r>
      <w:r w:rsidRPr="001548D8">
        <w:rPr>
          <w:lang w:val="lt-LT"/>
        </w:rPr>
        <w:t>inkos kainos</w:t>
      </w:r>
      <w:r w:rsidR="00944D4C" w:rsidRPr="001548D8">
        <w:rPr>
          <w:lang w:val="lt-LT"/>
        </w:rPr>
        <w:t>, nustatytos Komisijos ateinantiems kalendoriniams metams,</w:t>
      </w:r>
      <w:r w:rsidRPr="001548D8">
        <w:rPr>
          <w:lang w:val="lt-LT"/>
        </w:rPr>
        <w:t xml:space="preserve"> ir STO mokamos perdavimo paslaugos energijos kainos dedamosios suma, Eur/kWh.</w:t>
      </w:r>
    </w:p>
    <w:p w:rsidR="00F407B8" w:rsidRPr="001548D8" w:rsidRDefault="00F407B8" w:rsidP="001548D8">
      <w:pPr>
        <w:tabs>
          <w:tab w:val="left" w:pos="993"/>
        </w:tabs>
        <w:spacing w:line="276" w:lineRule="auto"/>
        <w:ind w:firstLine="720"/>
        <w:rPr>
          <w:lang w:val="lt-LT"/>
        </w:rPr>
      </w:pPr>
      <w:r w:rsidRPr="001548D8">
        <w:rPr>
          <w:lang w:val="lt-LT"/>
        </w:rPr>
        <w:t>Atlik</w:t>
      </w:r>
      <w:r w:rsidR="00205084">
        <w:rPr>
          <w:lang w:val="lt-LT"/>
        </w:rPr>
        <w:t>ę</w:t>
      </w:r>
      <w:r w:rsidRPr="001548D8">
        <w:rPr>
          <w:lang w:val="lt-LT"/>
        </w:rPr>
        <w:t xml:space="preserve"> matematinius veiksmus gauname, jog:</w:t>
      </w:r>
    </w:p>
    <w:p w:rsidR="00F407B8" w:rsidRPr="001548D8" w:rsidRDefault="00F407B8" w:rsidP="001548D8">
      <w:pPr>
        <w:tabs>
          <w:tab w:val="left" w:pos="993"/>
        </w:tabs>
        <w:spacing w:line="276" w:lineRule="auto"/>
        <w:ind w:firstLine="720"/>
        <w:rPr>
          <w:lang w:val="lt-LT"/>
        </w:rPr>
      </w:pPr>
    </w:p>
    <w:p w:rsidR="00F407B8" w:rsidRPr="00C64773" w:rsidRDefault="001A26DF" w:rsidP="001548D8">
      <w:pPr>
        <w:tabs>
          <w:tab w:val="left" w:pos="993"/>
        </w:tabs>
        <w:spacing w:line="276" w:lineRule="auto"/>
        <w:ind w:firstLine="720"/>
      </w:pPr>
      <m:oMathPara>
        <m:oMath>
          <m:sSub>
            <m:sSubPr>
              <m:ctrlPr>
                <w:rPr>
                  <w:rFonts w:ascii="Cambria Math" w:hAnsi="Cambria Math"/>
                  <w:i/>
                </w:rPr>
              </m:ctrlPr>
            </m:sSubPr>
            <m:e>
              <m:r>
                <w:rPr>
                  <w:rFonts w:ascii="Cambria Math" w:hAnsi="Cambria Math"/>
                </w:rPr>
                <m:t>NP</m:t>
              </m:r>
            </m:e>
            <m:sub>
              <m:r>
                <w:rPr>
                  <w:rFonts w:ascii="Cambria Math" w:hAnsi="Cambria Math"/>
                </w:rPr>
                <m:t>vi</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nk</m:t>
                  </m:r>
                </m:e>
                <m:sub>
                  <m:r>
                    <w:rPr>
                      <w:rFonts w:ascii="Cambria Math" w:hAnsi="Cambria Math"/>
                    </w:rPr>
                    <m:t>vi</m:t>
                  </m:r>
                </m:sub>
              </m:sSub>
            </m:num>
            <m:den>
              <m:sSub>
                <m:sSubPr>
                  <m:ctrlPr>
                    <w:rPr>
                      <w:rFonts w:ascii="Cambria Math" w:hAnsi="Cambria Math"/>
                      <w:i/>
                    </w:rPr>
                  </m:ctrlPr>
                </m:sSubPr>
                <m:e>
                  <m:r>
                    <w:rPr>
                      <w:rFonts w:ascii="Cambria Math" w:hAnsi="Cambria Math"/>
                    </w:rPr>
                    <m:t>nk</m:t>
                  </m:r>
                </m:e>
                <m:sub>
                  <m:r>
                    <w:rPr>
                      <w:rFonts w:ascii="Cambria Math" w:hAnsi="Cambria Math"/>
                    </w:rPr>
                    <m:t>vi</m:t>
                  </m:r>
                </m:sub>
              </m:sSub>
              <m:r>
                <w:rPr>
                  <w:rFonts w:ascii="Cambria Math" w:hAnsi="Cambria Math"/>
                </w:rPr>
                <m:t>+</m:t>
              </m:r>
              <m:sSub>
                <m:sSubPr>
                  <m:ctrlPr>
                    <w:rPr>
                      <w:rFonts w:ascii="Cambria Math" w:hAnsi="Cambria Math"/>
                      <w:i/>
                    </w:rPr>
                  </m:ctrlPr>
                </m:sSubPr>
                <m:e>
                  <m:r>
                    <w:rPr>
                      <w:rFonts w:ascii="Cambria Math" w:hAnsi="Cambria Math"/>
                    </w:rPr>
                    <m:t>ak</m:t>
                  </m:r>
                </m:e>
                <m:sub>
                  <m:r>
                    <w:rPr>
                      <w:rFonts w:ascii="Cambria Math" w:hAnsi="Cambria Math"/>
                    </w:rPr>
                    <m:t>vi</m:t>
                  </m:r>
                </m:sub>
              </m:sSub>
            </m:den>
          </m:f>
          <m:r>
            <w:rPr>
              <w:rFonts w:ascii="Cambria Math" w:hAnsi="Cambria Math"/>
            </w:rPr>
            <m:t>*100 proc.</m:t>
          </m:r>
        </m:oMath>
      </m:oMathPara>
    </w:p>
    <w:p w:rsidR="00C64773" w:rsidRPr="001548D8" w:rsidRDefault="00C64773" w:rsidP="001548D8">
      <w:pPr>
        <w:tabs>
          <w:tab w:val="left" w:pos="993"/>
        </w:tabs>
        <w:spacing w:line="276" w:lineRule="auto"/>
        <w:ind w:firstLine="720"/>
        <w:rPr>
          <w:lang w:val="lt-LT"/>
        </w:rPr>
      </w:pPr>
    </w:p>
    <w:p w:rsidR="00944D4C" w:rsidRPr="001548D8" w:rsidRDefault="00944D4C" w:rsidP="001548D8">
      <w:pPr>
        <w:tabs>
          <w:tab w:val="left" w:pos="993"/>
        </w:tabs>
        <w:spacing w:line="276" w:lineRule="auto"/>
        <w:ind w:firstLine="720"/>
        <w:rPr>
          <w:lang w:val="lt-LT"/>
        </w:rPr>
      </w:pPr>
      <w:r w:rsidRPr="001548D8">
        <w:rPr>
          <w:lang w:val="lt-LT"/>
        </w:rPr>
        <w:t xml:space="preserve">Tai reiškia, kad </w:t>
      </w:r>
      <w:r w:rsidR="001548D8" w:rsidRPr="001548D8">
        <w:rPr>
          <w:lang w:val="lt-LT"/>
        </w:rPr>
        <w:t xml:space="preserve">apskaičiuotas </w:t>
      </w:r>
      <w:r w:rsidR="001548D8" w:rsidRPr="001548D8">
        <w:rPr>
          <w:i/>
          <w:lang w:val="lt-LT"/>
        </w:rPr>
        <w:t>NP</w:t>
      </w:r>
      <w:r w:rsidR="001548D8" w:rsidRPr="001548D8">
        <w:rPr>
          <w:i/>
          <w:vertAlign w:val="subscript"/>
          <w:lang w:val="lt-LT"/>
        </w:rPr>
        <w:t>vi</w:t>
      </w:r>
      <w:r w:rsidRPr="001548D8">
        <w:rPr>
          <w:lang w:val="lt-LT"/>
        </w:rPr>
        <w:t xml:space="preserve"> proc</w:t>
      </w:r>
      <w:r w:rsidR="001548D8" w:rsidRPr="001548D8">
        <w:rPr>
          <w:lang w:val="lt-LT"/>
        </w:rPr>
        <w:t>.</w:t>
      </w:r>
      <w:r w:rsidRPr="001548D8">
        <w:rPr>
          <w:lang w:val="lt-LT"/>
        </w:rPr>
        <w:t xml:space="preserve"> Gaminančio vartotojo kaupimo laikotarpiu pagamintos ir į elektros tinklus patiektos elektros energijos kaip apmokėjimo priemonė atitenka </w:t>
      </w:r>
      <w:r w:rsidR="00C64773">
        <w:rPr>
          <w:lang w:val="lt-LT"/>
        </w:rPr>
        <w:t>STO</w:t>
      </w:r>
      <w:r w:rsidRPr="001548D8">
        <w:rPr>
          <w:lang w:val="lt-LT"/>
        </w:rPr>
        <w:t>, o lik</w:t>
      </w:r>
      <w:r w:rsidR="00C026B0">
        <w:rPr>
          <w:lang w:val="lt-LT"/>
        </w:rPr>
        <w:t>usi</w:t>
      </w:r>
      <w:r w:rsidRPr="001548D8">
        <w:rPr>
          <w:lang w:val="lt-LT"/>
        </w:rPr>
        <w:t xml:space="preserve"> </w:t>
      </w:r>
      <w:r w:rsidR="001548D8" w:rsidRPr="001548D8">
        <w:rPr>
          <w:i/>
          <w:lang w:val="lt-LT"/>
        </w:rPr>
        <w:t>(1-NP</w:t>
      </w:r>
      <w:r w:rsidR="001548D8" w:rsidRPr="001548D8">
        <w:rPr>
          <w:i/>
          <w:vertAlign w:val="subscript"/>
          <w:lang w:val="lt-LT"/>
        </w:rPr>
        <w:t>vi</w:t>
      </w:r>
      <w:r w:rsidR="001548D8" w:rsidRPr="001548D8">
        <w:rPr>
          <w:i/>
          <w:lang w:val="lt-LT"/>
        </w:rPr>
        <w:t>)</w:t>
      </w:r>
      <w:r w:rsidRPr="001548D8">
        <w:rPr>
          <w:lang w:val="lt-LT"/>
        </w:rPr>
        <w:t xml:space="preserve"> proc</w:t>
      </w:r>
      <w:r w:rsidR="001548D8" w:rsidRPr="001548D8">
        <w:rPr>
          <w:lang w:val="lt-LT"/>
        </w:rPr>
        <w:t>.</w:t>
      </w:r>
      <w:r w:rsidRPr="001548D8">
        <w:rPr>
          <w:lang w:val="lt-LT"/>
        </w:rPr>
        <w:t xml:space="preserve"> </w:t>
      </w:r>
      <w:r w:rsidR="00C026B0">
        <w:rPr>
          <w:lang w:val="lt-LT"/>
        </w:rPr>
        <w:t xml:space="preserve">dalis </w:t>
      </w:r>
      <w:r w:rsidR="00AA4922" w:rsidRPr="001548D8">
        <w:rPr>
          <w:lang w:val="lt-LT"/>
        </w:rPr>
        <w:t xml:space="preserve">kaupimo laikotarpiu Gaminančio vartotojo pagamintos ir į elektros tinklus patiektos </w:t>
      </w:r>
      <w:r w:rsidRPr="001548D8">
        <w:rPr>
          <w:lang w:val="lt-LT"/>
        </w:rPr>
        <w:t>elektros energijos</w:t>
      </w:r>
      <w:r w:rsidR="00AA4922" w:rsidRPr="001548D8">
        <w:rPr>
          <w:lang w:val="lt-LT"/>
        </w:rPr>
        <w:t xml:space="preserve"> Gaminančiam vartotojui sugrąžinama neapmokestinant.</w:t>
      </w:r>
    </w:p>
    <w:p w:rsidR="002D7E9A" w:rsidRPr="00863615" w:rsidRDefault="002D7E9A" w:rsidP="001548D8">
      <w:pPr>
        <w:tabs>
          <w:tab w:val="left" w:pos="993"/>
        </w:tabs>
        <w:spacing w:line="276" w:lineRule="auto"/>
        <w:ind w:firstLine="720"/>
        <w:rPr>
          <w:lang w:val="lt-LT"/>
        </w:rPr>
      </w:pPr>
      <w:r w:rsidRPr="001548D8">
        <w:rPr>
          <w:lang w:val="lt-LT"/>
        </w:rPr>
        <w:t xml:space="preserve">Taip pat </w:t>
      </w:r>
      <w:r w:rsidRPr="00863615">
        <w:rPr>
          <w:lang w:val="lt-LT"/>
        </w:rPr>
        <w:t xml:space="preserve">Projekte numatyta, jog Paslaugų kainos </w:t>
      </w:r>
      <w:r w:rsidR="006E70D6" w:rsidRPr="00863615">
        <w:rPr>
          <w:lang w:val="lt-LT"/>
        </w:rPr>
        <w:t xml:space="preserve">nustatomos vieneriems kalendoriniams metams ir jų galiojimas sutampa su persiuntimo paslaugos kainų galiojimo terminais, o procentinis dydis nustatomas </w:t>
      </w:r>
      <w:r w:rsidR="003F4955" w:rsidRPr="00863615">
        <w:rPr>
          <w:lang w:val="lt-LT"/>
        </w:rPr>
        <w:t xml:space="preserve">vieneriems metamas ir galioja </w:t>
      </w:r>
      <w:r w:rsidR="006E70D6" w:rsidRPr="00863615">
        <w:rPr>
          <w:lang w:val="lt-LT"/>
        </w:rPr>
        <w:t>kaupimo laikotarpiui, kuris remiantis Įstatymo pakeitimais trunka nuo einamųjų metų balandžio 1 dienos iki kitų metų kovo 31 dienos.</w:t>
      </w:r>
    </w:p>
    <w:p w:rsidR="00071CF7" w:rsidRPr="00863615" w:rsidRDefault="00071CF7" w:rsidP="001548D8">
      <w:pPr>
        <w:tabs>
          <w:tab w:val="left" w:pos="993"/>
        </w:tabs>
        <w:spacing w:line="276" w:lineRule="auto"/>
        <w:ind w:firstLine="720"/>
        <w:rPr>
          <w:lang w:val="lt-LT"/>
        </w:rPr>
      </w:pPr>
      <w:r w:rsidRPr="00863615">
        <w:rPr>
          <w:lang w:val="lt-LT"/>
        </w:rPr>
        <w:t xml:space="preserve">Atsižvelgiant į Įstatymo pakeitimus, atitinkamai patikslinta ir Paslaugų kainų nustatymo tvarka </w:t>
      </w:r>
      <w:r w:rsidR="00C64773" w:rsidRPr="00863615">
        <w:rPr>
          <w:lang w:val="lt-LT"/>
        </w:rPr>
        <w:t>STO</w:t>
      </w:r>
      <w:r w:rsidRPr="00863615">
        <w:rPr>
          <w:lang w:val="lt-LT"/>
        </w:rPr>
        <w:t>, prie kurių valdomų skirstomųjų tinklų šiuo metu nėra prijungtų ir ateinančiais kalendoriniais metais neplanuojama prijungti Gaminančių vartotojų.</w:t>
      </w:r>
      <w:r w:rsidR="00E72358" w:rsidRPr="00863615">
        <w:rPr>
          <w:lang w:val="lt-LT"/>
        </w:rPr>
        <w:t xml:space="preserve"> </w:t>
      </w:r>
      <w:r w:rsidR="00415949" w:rsidRPr="00863615">
        <w:rPr>
          <w:lang w:val="lt-LT"/>
        </w:rPr>
        <w:t>Projekte n</w:t>
      </w:r>
      <w:r w:rsidR="00E1770C" w:rsidRPr="00863615">
        <w:rPr>
          <w:lang w:val="lt-LT"/>
        </w:rPr>
        <w:t xml:space="preserve">umatyta, jog </w:t>
      </w:r>
      <w:r w:rsidR="009D7CD1" w:rsidRPr="00863615">
        <w:rPr>
          <w:lang w:val="lt-LT"/>
        </w:rPr>
        <w:t xml:space="preserve">STO, prie kurių valdomų skirstomųjų tinklų šiuo metu nėra prijungtų ir ateinančiais kalendoriniais metais neplanuojama prijungti Gaminančių vartotojų, vienanarė Paslaugų kaina, kai mokama už 1 kW </w:t>
      </w:r>
      <w:r w:rsidR="009D7CD1" w:rsidRPr="00863615">
        <w:rPr>
          <w:lang w:val="lt-LT"/>
        </w:rPr>
        <w:lastRenderedPageBreak/>
        <w:t>Gaminančio vartotojo elektrinės įrengtosios galios, nustatoma atsižvelgiant į santykį tarp šiam STO apskaičiuoto</w:t>
      </w:r>
      <w:r w:rsidR="00863615" w:rsidRPr="00863615">
        <w:rPr>
          <w:lang w:val="lt-LT"/>
        </w:rPr>
        <w:t>s</w:t>
      </w:r>
      <w:r w:rsidR="009D7CD1" w:rsidRPr="00863615">
        <w:rPr>
          <w:lang w:val="lt-LT"/>
        </w:rPr>
        <w:t xml:space="preserve"> persiuntimo kainos ir didžiausiam STO nustatytos Paslaugų kainos, kai mokama už 1 kWh atgauto iš elektros tinklų energijos kiekio, kurį Gaminantis vartotojas prieš tai buvo pagaminęs ir patiekęs į skirstomuosius tinklus, bei į </w:t>
      </w:r>
      <w:r w:rsidR="007C50BC" w:rsidRPr="00863615">
        <w:rPr>
          <w:lang w:val="lt-LT"/>
        </w:rPr>
        <w:t>didžiausiam STO nustatytą Paslaugų kainą, kai mokama už 1 kW Gaminančio vartotojo elektrinės įrengtos</w:t>
      </w:r>
      <w:r w:rsidR="00415949" w:rsidRPr="00863615">
        <w:rPr>
          <w:lang w:val="lt-LT"/>
        </w:rPr>
        <w:t>ios galios. Dvinarės Paslaugų kainos STO, prie kurių valdomų skirstomųjų tinklų šiuo metu nėra prijungtų ir ateinančiais kalendoriniais metais neplanuojama prijungti Gaminančių vartotojų, apskaičiuojam</w:t>
      </w:r>
      <w:r w:rsidR="00863615" w:rsidRPr="00863615">
        <w:rPr>
          <w:lang w:val="lt-LT"/>
        </w:rPr>
        <w:t>a</w:t>
      </w:r>
      <w:r w:rsidR="00415949" w:rsidRPr="00863615">
        <w:rPr>
          <w:lang w:val="lt-LT"/>
        </w:rPr>
        <w:t>s vienanares Paslaugų kainas padauginant iš 0,5.</w:t>
      </w:r>
    </w:p>
    <w:p w:rsidR="00094A31" w:rsidRDefault="00094A31" w:rsidP="001548D8">
      <w:pPr>
        <w:tabs>
          <w:tab w:val="left" w:pos="993"/>
        </w:tabs>
        <w:spacing w:line="276" w:lineRule="auto"/>
        <w:ind w:firstLine="720"/>
        <w:rPr>
          <w:lang w:val="lt-LT"/>
        </w:rPr>
      </w:pPr>
      <w:r w:rsidRPr="00863615">
        <w:rPr>
          <w:lang w:val="lt-LT"/>
        </w:rPr>
        <w:t>Projektas paskelbtas</w:t>
      </w:r>
      <w:r w:rsidRPr="001548D8">
        <w:rPr>
          <w:lang w:val="lt-LT"/>
        </w:rPr>
        <w:t xml:space="preserve"> Lietuvos Respublikos Seimo teisės aktų informacinėje sistemoje ir Komisijos interneto svetainėje www.regula.lt. Vadovaudamasi Viešojo konsultavimosi dėl energetikos veiklą reglamentuojančių teisės aktų projektų taisyklių, patvirtintų Komisijos </w:t>
      </w:r>
      <w:r w:rsidR="00C64773">
        <w:rPr>
          <w:lang w:val="lt-LT"/>
        </w:rPr>
        <w:br/>
      </w:r>
      <w:r w:rsidRPr="001548D8">
        <w:rPr>
          <w:lang w:val="lt-LT"/>
        </w:rPr>
        <w:t xml:space="preserve">2011 m. spalio 28 d. nutarimu Nr. O3-350 „Dėl Viešojo konsultavimosi dėl energetikos veiklą reglamentuojančių teisės aktų projektų taisyklių patvirtinimo“, 13 punktu </w:t>
      </w:r>
      <w:r w:rsidR="00857C04" w:rsidRPr="001548D8">
        <w:rPr>
          <w:lang w:val="lt-LT"/>
        </w:rPr>
        <w:t xml:space="preserve">bei atsižvelgdama į tai, kad Įstatymo pakeitimais numatyta, jog Komisija iki 2018 m. balandžio 30 d. patvirtina įgyvendinamuosius teisės aktus, </w:t>
      </w:r>
      <w:r w:rsidRPr="001548D8">
        <w:rPr>
          <w:lang w:val="lt-LT"/>
        </w:rPr>
        <w:t xml:space="preserve">Komisija prašo savo pastabas ir pasiūlymus </w:t>
      </w:r>
      <w:r w:rsidR="00857C04" w:rsidRPr="001548D8">
        <w:rPr>
          <w:lang w:val="lt-LT"/>
        </w:rPr>
        <w:t xml:space="preserve">Projektui </w:t>
      </w:r>
      <w:r w:rsidRPr="001548D8">
        <w:rPr>
          <w:lang w:val="lt-LT"/>
        </w:rPr>
        <w:t xml:space="preserve">pateikti </w:t>
      </w:r>
      <w:r w:rsidR="00857C04" w:rsidRPr="001548D8">
        <w:rPr>
          <w:lang w:val="lt-LT"/>
        </w:rPr>
        <w:t xml:space="preserve">iki 2018 m. balandžio 19 d. </w:t>
      </w:r>
      <w:r w:rsidRPr="001548D8">
        <w:rPr>
          <w:lang w:val="lt-LT"/>
        </w:rPr>
        <w:t xml:space="preserve">(Verkių g. 25C-1, Vilnius, LT-08223), faksu (8 5 213 5270), elektroniniu paštu rastine@regula.lt arba per Seimo teisės aktų informacinę sistemą. Projektą parengė Lina Milkevičiūtė, Dujų ir elektros departamento </w:t>
      </w:r>
      <w:r w:rsidR="00235E38" w:rsidRPr="001548D8">
        <w:rPr>
          <w:lang w:val="lt-LT"/>
        </w:rPr>
        <w:t>Elektros skyriaus</w:t>
      </w:r>
      <w:r w:rsidRPr="001548D8">
        <w:rPr>
          <w:lang w:val="lt-LT"/>
        </w:rPr>
        <w:t xml:space="preserve"> </w:t>
      </w:r>
      <w:r w:rsidR="00235E38" w:rsidRPr="001548D8">
        <w:rPr>
          <w:lang w:val="lt-LT"/>
        </w:rPr>
        <w:t>patarėja</w:t>
      </w:r>
      <w:r w:rsidRPr="001548D8">
        <w:rPr>
          <w:lang w:val="lt-LT"/>
        </w:rPr>
        <w:t xml:space="preserve">, tel. (8 5) 213 </w:t>
      </w:r>
      <w:r w:rsidR="00235E38" w:rsidRPr="001548D8">
        <w:rPr>
          <w:lang w:val="lt-LT"/>
        </w:rPr>
        <w:t>5241</w:t>
      </w:r>
      <w:r w:rsidRPr="001548D8">
        <w:rPr>
          <w:lang w:val="lt-LT"/>
        </w:rPr>
        <w:t xml:space="preserve">, el. p. </w:t>
      </w:r>
      <w:r w:rsidR="00C026B0" w:rsidRPr="00C026B0">
        <w:rPr>
          <w:lang w:val="lt-LT"/>
        </w:rPr>
        <w:t>lina.milkeviciute@regula.lt</w:t>
      </w:r>
      <w:r w:rsidRPr="001548D8">
        <w:rPr>
          <w:lang w:val="lt-LT"/>
        </w:rPr>
        <w:t>.</w:t>
      </w:r>
    </w:p>
    <w:p w:rsidR="00C026B0" w:rsidRDefault="00C026B0" w:rsidP="001548D8">
      <w:pPr>
        <w:tabs>
          <w:tab w:val="left" w:pos="993"/>
        </w:tabs>
        <w:spacing w:line="276" w:lineRule="auto"/>
        <w:ind w:firstLine="720"/>
        <w:rPr>
          <w:lang w:val="lt-LT"/>
        </w:rPr>
      </w:pPr>
      <w:r w:rsidRPr="00C026B0">
        <w:rPr>
          <w:lang w:val="lt-LT"/>
        </w:rPr>
        <w:t xml:space="preserve">Taip pat informuojame, kad atsižvelgiant į trumpus Įstatymo pakeitimų įgyvendinimo terminus ir atitinkamai trumpą viešosios konsultacijos </w:t>
      </w:r>
      <w:r w:rsidRPr="00863615">
        <w:rPr>
          <w:lang w:val="lt-LT"/>
        </w:rPr>
        <w:t xml:space="preserve">terminą, 2018 m. balandžio 17 d. </w:t>
      </w:r>
      <w:r w:rsidR="00863615" w:rsidRPr="00863615">
        <w:rPr>
          <w:lang w:val="lt-LT"/>
        </w:rPr>
        <w:t>13.30</w:t>
      </w:r>
      <w:r w:rsidRPr="00863615">
        <w:rPr>
          <w:lang w:val="lt-LT"/>
        </w:rPr>
        <w:t xml:space="preserve"> val</w:t>
      </w:r>
      <w:r w:rsidR="00636FF9">
        <w:rPr>
          <w:lang w:val="lt-LT"/>
        </w:rPr>
        <w:t>.</w:t>
      </w:r>
      <w:r w:rsidRPr="00863615">
        <w:rPr>
          <w:lang w:val="lt-LT"/>
        </w:rPr>
        <w:t xml:space="preserve"> visus suinteresuotus asmenis kviečiame į viešąjį svarstymą, kurio</w:t>
      </w:r>
      <w:r w:rsidRPr="00C026B0">
        <w:rPr>
          <w:lang w:val="lt-LT"/>
        </w:rPr>
        <w:t xml:space="preserve"> metu bus pristatomi numatomi Projekto pakeitimai.</w:t>
      </w:r>
    </w:p>
    <w:p w:rsidR="00071CF7" w:rsidRPr="001548D8" w:rsidRDefault="00071CF7" w:rsidP="001548D8">
      <w:pPr>
        <w:tabs>
          <w:tab w:val="left" w:pos="993"/>
        </w:tabs>
        <w:spacing w:line="276" w:lineRule="auto"/>
        <w:ind w:firstLine="720"/>
        <w:rPr>
          <w:lang w:val="lt-LT"/>
        </w:rPr>
      </w:pPr>
      <w:r>
        <w:rPr>
          <w:lang w:val="lt-LT"/>
        </w:rPr>
        <w:t xml:space="preserve">PRIDEDAMA. </w:t>
      </w:r>
      <w:r w:rsidRPr="00071CF7">
        <w:rPr>
          <w:lang w:val="lt-LT"/>
        </w:rPr>
        <w:t xml:space="preserve">Nutarimo </w:t>
      </w:r>
      <w:r>
        <w:rPr>
          <w:lang w:val="lt-LT"/>
        </w:rPr>
        <w:t>„</w:t>
      </w:r>
      <w:r w:rsidRPr="00071CF7">
        <w:rPr>
          <w:lang w:val="lt-LT"/>
        </w:rPr>
        <w:t xml:space="preserve">Dėl Elektros energiją gaminančių vartotojų naudojimosi elektros tinklais paslaugų kainos skaičiavimo metodikos </w:t>
      </w:r>
      <w:r w:rsidR="00723DB8">
        <w:rPr>
          <w:lang w:val="lt-LT"/>
        </w:rPr>
        <w:t>pakeitimo</w:t>
      </w:r>
      <w:r w:rsidRPr="00071CF7">
        <w:rPr>
          <w:lang w:val="lt-LT"/>
        </w:rPr>
        <w:t xml:space="preserve">“ </w:t>
      </w:r>
      <w:r>
        <w:rPr>
          <w:lang w:val="lt-LT"/>
        </w:rPr>
        <w:t>projektas</w:t>
      </w:r>
      <w:r w:rsidR="00C64773">
        <w:rPr>
          <w:lang w:val="lt-LT"/>
        </w:rPr>
        <w:t>, 11 lapų</w:t>
      </w:r>
      <w:r>
        <w:rPr>
          <w:lang w:val="lt-LT"/>
        </w:rPr>
        <w:t>.</w:t>
      </w:r>
    </w:p>
    <w:p w:rsidR="00690F15" w:rsidRPr="00F60AE7" w:rsidRDefault="00690F15" w:rsidP="00690F15">
      <w:pPr>
        <w:rPr>
          <w:color w:val="000000"/>
          <w:lang w:val="lt-LT"/>
        </w:rPr>
      </w:pPr>
    </w:p>
    <w:p w:rsidR="00690F15" w:rsidRPr="00F60AE7" w:rsidRDefault="00690F15" w:rsidP="00690F15">
      <w:pPr>
        <w:rPr>
          <w:color w:val="000000"/>
          <w:lang w:val="lt-LT"/>
        </w:rPr>
      </w:pPr>
    </w:p>
    <w:p w:rsidR="00690F15" w:rsidRPr="00F60AE7" w:rsidRDefault="008D6B73" w:rsidP="000F7C3C">
      <w:pPr>
        <w:rPr>
          <w:b/>
          <w:color w:val="000000"/>
          <w:lang w:val="lt-LT"/>
        </w:rPr>
      </w:pPr>
      <w:r w:rsidRPr="00F60AE7">
        <w:rPr>
          <w:color w:val="000000"/>
          <w:lang w:val="lt-LT"/>
        </w:rPr>
        <w:t xml:space="preserve">Komisijos </w:t>
      </w:r>
      <w:r w:rsidR="000F7C3C" w:rsidRPr="00F60AE7">
        <w:rPr>
          <w:color w:val="000000"/>
          <w:lang w:val="lt-LT"/>
        </w:rPr>
        <w:t>pirmininkė</w:t>
      </w:r>
      <w:r w:rsidR="000F7C3C" w:rsidRPr="00F60AE7">
        <w:rPr>
          <w:color w:val="000000"/>
          <w:lang w:val="lt-LT"/>
        </w:rPr>
        <w:tab/>
      </w:r>
      <w:r w:rsidR="000F7C3C" w:rsidRPr="00F60AE7">
        <w:rPr>
          <w:color w:val="000000"/>
          <w:lang w:val="lt-LT"/>
        </w:rPr>
        <w:tab/>
      </w:r>
      <w:r w:rsidR="000F7C3C" w:rsidRPr="00F60AE7">
        <w:rPr>
          <w:color w:val="000000"/>
          <w:lang w:val="lt-LT"/>
        </w:rPr>
        <w:tab/>
      </w:r>
      <w:r w:rsidR="000F7C3C" w:rsidRPr="00F60AE7">
        <w:rPr>
          <w:color w:val="000000"/>
          <w:lang w:val="lt-LT"/>
        </w:rPr>
        <w:tab/>
      </w:r>
      <w:r w:rsidR="000F7C3C" w:rsidRPr="00F60AE7">
        <w:rPr>
          <w:color w:val="000000"/>
          <w:lang w:val="lt-LT"/>
        </w:rPr>
        <w:tab/>
      </w:r>
      <w:r w:rsidR="000F7C3C" w:rsidRPr="00F60AE7">
        <w:rPr>
          <w:color w:val="000000"/>
          <w:lang w:val="lt-LT"/>
        </w:rPr>
        <w:tab/>
      </w:r>
      <w:r w:rsidR="000F7C3C" w:rsidRPr="00F60AE7">
        <w:rPr>
          <w:color w:val="000000"/>
          <w:lang w:val="lt-LT"/>
        </w:rPr>
        <w:tab/>
      </w:r>
      <w:r w:rsidR="000F7C3C" w:rsidRPr="00F60AE7">
        <w:rPr>
          <w:color w:val="000000"/>
          <w:lang w:val="lt-LT"/>
        </w:rPr>
        <w:tab/>
      </w:r>
      <w:r w:rsidR="000F7C3C" w:rsidRPr="00F60AE7">
        <w:rPr>
          <w:color w:val="000000"/>
          <w:lang w:val="lt-LT"/>
        </w:rPr>
        <w:tab/>
        <w:t xml:space="preserve">         Inga Žilienė</w:t>
      </w:r>
    </w:p>
    <w:p w:rsidR="001548D8" w:rsidRDefault="001548D8">
      <w:pPr>
        <w:rPr>
          <w:color w:val="000000"/>
          <w:lang w:val="lt-LT"/>
        </w:rPr>
      </w:pPr>
    </w:p>
    <w:p w:rsidR="001548D8" w:rsidRDefault="001548D8">
      <w:pPr>
        <w:rPr>
          <w:color w:val="000000"/>
          <w:lang w:val="lt-LT"/>
        </w:rPr>
      </w:pPr>
    </w:p>
    <w:p w:rsidR="001548D8" w:rsidRDefault="001548D8">
      <w:pPr>
        <w:rPr>
          <w:color w:val="000000"/>
          <w:lang w:val="lt-LT"/>
        </w:rPr>
      </w:pPr>
    </w:p>
    <w:p w:rsidR="001548D8" w:rsidRDefault="001548D8">
      <w:pPr>
        <w:rPr>
          <w:color w:val="000000"/>
          <w:lang w:val="lt-LT"/>
        </w:rPr>
      </w:pPr>
    </w:p>
    <w:p w:rsidR="001548D8" w:rsidRDefault="001548D8">
      <w:pPr>
        <w:rPr>
          <w:color w:val="000000"/>
          <w:lang w:val="lt-LT"/>
        </w:rPr>
      </w:pPr>
    </w:p>
    <w:p w:rsidR="001548D8" w:rsidRDefault="001548D8">
      <w:pPr>
        <w:rPr>
          <w:color w:val="000000"/>
          <w:lang w:val="lt-LT"/>
        </w:rPr>
      </w:pPr>
    </w:p>
    <w:p w:rsidR="001548D8" w:rsidRDefault="001548D8">
      <w:pPr>
        <w:rPr>
          <w:color w:val="000000"/>
          <w:lang w:val="lt-LT"/>
        </w:rPr>
      </w:pPr>
    </w:p>
    <w:p w:rsidR="001548D8" w:rsidRDefault="001548D8">
      <w:pPr>
        <w:rPr>
          <w:color w:val="000000"/>
          <w:lang w:val="lt-LT"/>
        </w:rPr>
      </w:pPr>
    </w:p>
    <w:p w:rsidR="001548D8" w:rsidRDefault="001548D8">
      <w:pPr>
        <w:rPr>
          <w:color w:val="000000"/>
          <w:lang w:val="lt-LT"/>
        </w:rPr>
      </w:pPr>
    </w:p>
    <w:p w:rsidR="001548D8" w:rsidRDefault="001548D8">
      <w:pPr>
        <w:rPr>
          <w:color w:val="000000"/>
          <w:lang w:val="lt-LT"/>
        </w:rPr>
      </w:pPr>
    </w:p>
    <w:p w:rsidR="001548D8" w:rsidRDefault="001548D8">
      <w:pPr>
        <w:rPr>
          <w:color w:val="000000"/>
          <w:lang w:val="lt-LT"/>
        </w:rPr>
      </w:pPr>
    </w:p>
    <w:p w:rsidR="001548D8" w:rsidRDefault="001548D8">
      <w:pPr>
        <w:rPr>
          <w:color w:val="000000"/>
          <w:lang w:val="lt-LT"/>
        </w:rPr>
      </w:pPr>
    </w:p>
    <w:p w:rsidR="001548D8" w:rsidRDefault="001548D8">
      <w:pPr>
        <w:rPr>
          <w:color w:val="000000"/>
          <w:lang w:val="lt-LT"/>
        </w:rPr>
      </w:pPr>
    </w:p>
    <w:p w:rsidR="001548D8" w:rsidRDefault="001548D8">
      <w:pPr>
        <w:rPr>
          <w:color w:val="000000"/>
          <w:lang w:val="lt-LT"/>
        </w:rPr>
      </w:pPr>
    </w:p>
    <w:p w:rsidR="001548D8" w:rsidRDefault="001548D8">
      <w:pPr>
        <w:rPr>
          <w:color w:val="000000"/>
          <w:lang w:val="lt-LT"/>
        </w:rPr>
      </w:pPr>
    </w:p>
    <w:p w:rsidR="001548D8" w:rsidRDefault="001548D8">
      <w:pPr>
        <w:rPr>
          <w:color w:val="000000"/>
          <w:lang w:val="lt-LT"/>
        </w:rPr>
      </w:pPr>
    </w:p>
    <w:p w:rsidR="00A55D6B" w:rsidRPr="00F60AE7" w:rsidRDefault="000F7C3C">
      <w:pPr>
        <w:rPr>
          <w:b/>
          <w:color w:val="000000"/>
          <w:lang w:val="lt-LT"/>
        </w:rPr>
      </w:pPr>
      <w:r w:rsidRPr="00F60AE7">
        <w:rPr>
          <w:noProof/>
          <w:lang w:val="lt-LT" w:eastAsia="lt-LT"/>
        </w:rPr>
        <w:drawing>
          <wp:anchor distT="0" distB="0" distL="114300" distR="114300" simplePos="0" relativeHeight="251658752" behindDoc="1" locked="0" layoutInCell="1" allowOverlap="1" wp14:anchorId="5D0EF515" wp14:editId="5F33ADC9">
            <wp:simplePos x="0" y="0"/>
            <wp:positionH relativeFrom="column">
              <wp:posOffset>4644390</wp:posOffset>
            </wp:positionH>
            <wp:positionV relativeFrom="paragraph">
              <wp:posOffset>3810</wp:posOffset>
            </wp:positionV>
            <wp:extent cx="1480820" cy="638175"/>
            <wp:effectExtent l="0" t="0" r="5080" b="9525"/>
            <wp:wrapSquare wrapText="bothSides"/>
            <wp:docPr id="3" name="Picture 3" descr="C:\Users\i.cerepokiene\Desktop\iso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erepokiene\Desktop\iso_bi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082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404C" w:rsidRPr="00F60AE7">
        <w:rPr>
          <w:color w:val="000000"/>
          <w:lang w:val="lt-LT"/>
        </w:rPr>
        <w:t>L</w:t>
      </w:r>
      <w:r w:rsidR="0066746A" w:rsidRPr="00F60AE7">
        <w:rPr>
          <w:color w:val="000000"/>
          <w:lang w:val="lt-LT"/>
        </w:rPr>
        <w:t xml:space="preserve">. </w:t>
      </w:r>
      <w:r w:rsidR="0041404C" w:rsidRPr="00F60AE7">
        <w:rPr>
          <w:color w:val="000000"/>
          <w:lang w:val="lt-LT"/>
        </w:rPr>
        <w:t>Milkevičiūtė</w:t>
      </w:r>
      <w:r w:rsidR="0066746A" w:rsidRPr="00F60AE7">
        <w:rPr>
          <w:color w:val="000000"/>
          <w:lang w:val="lt-LT"/>
        </w:rPr>
        <w:t>, tel.</w:t>
      </w:r>
      <w:r w:rsidR="008F706D" w:rsidRPr="00F60AE7">
        <w:rPr>
          <w:color w:val="000000"/>
          <w:lang w:val="lt-LT"/>
        </w:rPr>
        <w:t xml:space="preserve"> (8 5)</w:t>
      </w:r>
      <w:r w:rsidR="0066746A" w:rsidRPr="00F60AE7">
        <w:rPr>
          <w:color w:val="000000"/>
          <w:lang w:val="lt-LT"/>
        </w:rPr>
        <w:t xml:space="preserve"> </w:t>
      </w:r>
      <w:r w:rsidR="0041404C" w:rsidRPr="00F60AE7">
        <w:rPr>
          <w:color w:val="000000"/>
          <w:lang w:val="lt-LT"/>
        </w:rPr>
        <w:t>213</w:t>
      </w:r>
      <w:r w:rsidR="0066746A" w:rsidRPr="00F60AE7">
        <w:rPr>
          <w:color w:val="000000"/>
          <w:lang w:val="lt-LT"/>
        </w:rPr>
        <w:t xml:space="preserve"> </w:t>
      </w:r>
      <w:r w:rsidR="004D317A">
        <w:rPr>
          <w:color w:val="000000"/>
          <w:lang w:val="lt-LT"/>
        </w:rPr>
        <w:t>5241</w:t>
      </w:r>
      <w:r w:rsidR="00020DE0" w:rsidRPr="00F60AE7">
        <w:rPr>
          <w:color w:val="000000"/>
          <w:lang w:val="lt-LT"/>
        </w:rPr>
        <w:t xml:space="preserve">, el. p. </w:t>
      </w:r>
      <w:r w:rsidR="0041404C" w:rsidRPr="00F60AE7">
        <w:rPr>
          <w:color w:val="000000"/>
          <w:lang w:val="lt-LT"/>
        </w:rPr>
        <w:t>lina</w:t>
      </w:r>
      <w:r w:rsidR="002C2AC0" w:rsidRPr="00F60AE7">
        <w:rPr>
          <w:color w:val="000000"/>
          <w:lang w:val="lt-LT"/>
        </w:rPr>
        <w:t>.</w:t>
      </w:r>
      <w:r w:rsidR="0041404C" w:rsidRPr="00F60AE7">
        <w:rPr>
          <w:color w:val="000000"/>
          <w:lang w:val="lt-LT"/>
        </w:rPr>
        <w:t>milkeviciute</w:t>
      </w:r>
      <w:r w:rsidR="002C2AC0" w:rsidRPr="00F60AE7">
        <w:rPr>
          <w:color w:val="000000"/>
          <w:lang w:val="lt-LT"/>
        </w:rPr>
        <w:t>@regula.lt</w:t>
      </w:r>
    </w:p>
    <w:p w:rsidR="00AD019A" w:rsidRPr="00F60AE7" w:rsidRDefault="00AD019A">
      <w:pPr>
        <w:rPr>
          <w:b/>
          <w:color w:val="000000"/>
          <w:lang w:val="lt-LT"/>
        </w:rPr>
      </w:pPr>
      <w:r w:rsidRPr="00F60AE7">
        <w:rPr>
          <w:b/>
          <w:color w:val="000000"/>
          <w:lang w:val="lt-LT"/>
        </w:rPr>
        <w:br w:type="page"/>
      </w:r>
    </w:p>
    <w:p w:rsidR="00AD019A" w:rsidRPr="00F60AE7" w:rsidRDefault="00AD019A" w:rsidP="00AD019A">
      <w:pPr>
        <w:jc w:val="center"/>
        <w:rPr>
          <w:b/>
          <w:color w:val="000000"/>
          <w:lang w:val="lt-LT"/>
        </w:rPr>
      </w:pPr>
      <w:r w:rsidRPr="00F60AE7">
        <w:rPr>
          <w:b/>
          <w:color w:val="000000"/>
          <w:lang w:val="lt-LT"/>
        </w:rPr>
        <w:lastRenderedPageBreak/>
        <w:t>VALSTYBINĖS KAINŲ IR ENERGETIKOS KONTROLĖS KOMISIJOS</w:t>
      </w:r>
    </w:p>
    <w:p w:rsidR="00AD019A" w:rsidRPr="00F60AE7" w:rsidRDefault="000F7C3C" w:rsidP="00AD019A">
      <w:pPr>
        <w:jc w:val="center"/>
        <w:rPr>
          <w:b/>
          <w:color w:val="000000"/>
          <w:lang w:val="lt-LT"/>
        </w:rPr>
      </w:pPr>
      <w:r w:rsidRPr="00F60AE7">
        <w:rPr>
          <w:b/>
          <w:color w:val="000000"/>
          <w:lang w:val="lt-LT"/>
        </w:rPr>
        <w:t>2018</w:t>
      </w:r>
      <w:r w:rsidR="00AD019A" w:rsidRPr="00F60AE7">
        <w:rPr>
          <w:b/>
          <w:color w:val="000000"/>
          <w:lang w:val="lt-LT"/>
        </w:rPr>
        <w:t xml:space="preserve">-04-       RAŠTO NR. </w:t>
      </w:r>
      <w:r w:rsidRPr="00F60AE7">
        <w:rPr>
          <w:b/>
          <w:color w:val="000000"/>
          <w:lang w:val="lt-LT"/>
        </w:rPr>
        <w:t xml:space="preserve">     </w:t>
      </w:r>
      <w:r w:rsidR="00AD019A" w:rsidRPr="00F60AE7">
        <w:rPr>
          <w:b/>
          <w:color w:val="000000"/>
          <w:lang w:val="lt-LT"/>
        </w:rPr>
        <w:t xml:space="preserve">       ADRESATŲ SĄRAŠAS</w:t>
      </w:r>
    </w:p>
    <w:p w:rsidR="00AD019A" w:rsidRPr="00F60AE7" w:rsidRDefault="00AD019A" w:rsidP="00AD019A">
      <w:pPr>
        <w:rPr>
          <w:color w:val="000000"/>
          <w:lang w:val="lt-LT"/>
        </w:rPr>
      </w:pPr>
    </w:p>
    <w:p w:rsidR="00AD019A" w:rsidRPr="00F60AE7" w:rsidRDefault="00AD019A" w:rsidP="00AD019A">
      <w:pPr>
        <w:rPr>
          <w:color w:val="000000"/>
          <w:lang w:val="lt-LT"/>
        </w:rPr>
      </w:pPr>
      <w:r w:rsidRPr="00F60AE7">
        <w:rPr>
          <w:color w:val="000000"/>
          <w:lang w:val="lt-LT"/>
        </w:rPr>
        <w:t>1.</w:t>
      </w:r>
      <w:r w:rsidR="000F7C3C" w:rsidRPr="00F60AE7">
        <w:rPr>
          <w:color w:val="000000"/>
          <w:lang w:val="lt-LT"/>
        </w:rPr>
        <w:t xml:space="preserve"> </w:t>
      </w:r>
      <w:r w:rsidRPr="00F60AE7">
        <w:rPr>
          <w:color w:val="000000"/>
          <w:lang w:val="lt-LT"/>
        </w:rPr>
        <w:t>Lietuvos Resp</w:t>
      </w:r>
      <w:r w:rsidR="00B852C4" w:rsidRPr="00F60AE7">
        <w:rPr>
          <w:color w:val="000000"/>
          <w:lang w:val="lt-LT"/>
        </w:rPr>
        <w:t>ublikos energetikos ministerija;</w:t>
      </w:r>
    </w:p>
    <w:p w:rsidR="00AD019A" w:rsidRPr="00F60AE7" w:rsidRDefault="00AD019A" w:rsidP="00AD019A">
      <w:pPr>
        <w:rPr>
          <w:color w:val="000000"/>
          <w:lang w:val="lt-LT"/>
        </w:rPr>
      </w:pPr>
      <w:r w:rsidRPr="00F60AE7">
        <w:rPr>
          <w:color w:val="000000"/>
          <w:lang w:val="lt-LT"/>
        </w:rPr>
        <w:t>2.</w:t>
      </w:r>
      <w:r w:rsidR="000F7C3C" w:rsidRPr="00F60AE7">
        <w:rPr>
          <w:color w:val="000000"/>
          <w:lang w:val="lt-LT"/>
        </w:rPr>
        <w:t xml:space="preserve"> </w:t>
      </w:r>
      <w:r w:rsidRPr="00F60AE7">
        <w:rPr>
          <w:color w:val="000000"/>
          <w:lang w:val="lt-LT"/>
        </w:rPr>
        <w:t>Valstybinė var</w:t>
      </w:r>
      <w:r w:rsidR="00B852C4" w:rsidRPr="00F60AE7">
        <w:rPr>
          <w:color w:val="000000"/>
          <w:lang w:val="lt-LT"/>
        </w:rPr>
        <w:t>totojų teisių apsaugos tarnyba;</w:t>
      </w:r>
    </w:p>
    <w:p w:rsidR="00AD019A" w:rsidRPr="00F60AE7" w:rsidRDefault="00AD019A" w:rsidP="00AD019A">
      <w:pPr>
        <w:rPr>
          <w:color w:val="000000"/>
          <w:lang w:val="lt-LT"/>
        </w:rPr>
      </w:pPr>
      <w:r w:rsidRPr="00F60AE7">
        <w:rPr>
          <w:color w:val="000000"/>
          <w:lang w:val="lt-LT"/>
        </w:rPr>
        <w:t>3.</w:t>
      </w:r>
      <w:r w:rsidR="000F7C3C" w:rsidRPr="00F60AE7">
        <w:rPr>
          <w:color w:val="000000"/>
          <w:lang w:val="lt-LT"/>
        </w:rPr>
        <w:t xml:space="preserve"> </w:t>
      </w:r>
      <w:r w:rsidRPr="00F60AE7">
        <w:rPr>
          <w:color w:val="000000"/>
          <w:lang w:val="lt-LT"/>
        </w:rPr>
        <w:t>Lietuvos atsinaujinančių ište</w:t>
      </w:r>
      <w:r w:rsidR="00B852C4" w:rsidRPr="00F60AE7">
        <w:rPr>
          <w:color w:val="000000"/>
          <w:lang w:val="lt-LT"/>
        </w:rPr>
        <w:t>klių energetikos konfederacija;</w:t>
      </w:r>
    </w:p>
    <w:p w:rsidR="00643848" w:rsidRPr="00F60AE7" w:rsidRDefault="000F7C3C" w:rsidP="00AD019A">
      <w:pPr>
        <w:rPr>
          <w:color w:val="000000"/>
          <w:lang w:val="lt-LT"/>
        </w:rPr>
      </w:pPr>
      <w:r w:rsidRPr="00F60AE7">
        <w:rPr>
          <w:color w:val="000000"/>
          <w:lang w:val="lt-LT"/>
        </w:rPr>
        <w:t>4. Saulės elektrinių savininkų asociacija;</w:t>
      </w:r>
    </w:p>
    <w:p w:rsidR="000F7C3C" w:rsidRPr="00F60AE7" w:rsidRDefault="000F7C3C" w:rsidP="00AD019A">
      <w:pPr>
        <w:rPr>
          <w:color w:val="000000"/>
          <w:lang w:val="lt-LT"/>
        </w:rPr>
      </w:pPr>
      <w:r w:rsidRPr="00F60AE7">
        <w:rPr>
          <w:color w:val="000000"/>
          <w:lang w:val="lt-LT"/>
        </w:rPr>
        <w:t>5. Lietuvos saulės energetikos asociacija;</w:t>
      </w:r>
    </w:p>
    <w:p w:rsidR="00AD019A" w:rsidRPr="00F60AE7" w:rsidRDefault="000F7C3C" w:rsidP="00AD019A">
      <w:pPr>
        <w:rPr>
          <w:color w:val="000000"/>
          <w:lang w:val="lt-LT"/>
        </w:rPr>
      </w:pPr>
      <w:r w:rsidRPr="00F60AE7">
        <w:rPr>
          <w:color w:val="000000"/>
          <w:lang w:val="lt-LT"/>
        </w:rPr>
        <w:t>6</w:t>
      </w:r>
      <w:r w:rsidR="00AD019A" w:rsidRPr="00F60AE7">
        <w:rPr>
          <w:color w:val="000000"/>
          <w:lang w:val="lt-LT"/>
        </w:rPr>
        <w:t>.</w:t>
      </w:r>
      <w:r w:rsidRPr="00F60AE7">
        <w:rPr>
          <w:color w:val="000000"/>
          <w:lang w:val="lt-LT"/>
        </w:rPr>
        <w:t xml:space="preserve"> </w:t>
      </w:r>
      <w:r w:rsidR="00AD019A" w:rsidRPr="00F60AE7">
        <w:rPr>
          <w:color w:val="000000"/>
          <w:lang w:val="lt-LT"/>
        </w:rPr>
        <w:t>AB „Energijos skirstymo operatorius“</w:t>
      </w:r>
      <w:r w:rsidR="00B852C4" w:rsidRPr="00F60AE7">
        <w:rPr>
          <w:color w:val="000000"/>
          <w:lang w:val="lt-LT"/>
        </w:rPr>
        <w:t>;</w:t>
      </w:r>
    </w:p>
    <w:p w:rsidR="00AD019A" w:rsidRPr="00F60AE7" w:rsidRDefault="000F7C3C" w:rsidP="00AD019A">
      <w:pPr>
        <w:rPr>
          <w:color w:val="000000"/>
          <w:lang w:val="lt-LT"/>
        </w:rPr>
      </w:pPr>
      <w:r w:rsidRPr="00F60AE7">
        <w:rPr>
          <w:color w:val="000000"/>
          <w:lang w:val="lt-LT"/>
        </w:rPr>
        <w:t>7</w:t>
      </w:r>
      <w:r w:rsidR="00AD019A" w:rsidRPr="00F60AE7">
        <w:rPr>
          <w:color w:val="000000"/>
          <w:lang w:val="lt-LT"/>
        </w:rPr>
        <w:t>.</w:t>
      </w:r>
      <w:r w:rsidRPr="00F60AE7">
        <w:rPr>
          <w:color w:val="000000"/>
          <w:lang w:val="lt-LT"/>
        </w:rPr>
        <w:t xml:space="preserve"> </w:t>
      </w:r>
      <w:r w:rsidR="00AD019A" w:rsidRPr="00F60AE7">
        <w:rPr>
          <w:color w:val="000000"/>
          <w:lang w:val="lt-LT"/>
        </w:rPr>
        <w:t>UAB „Dirbtinis pluoštas“</w:t>
      </w:r>
      <w:r w:rsidR="00B852C4" w:rsidRPr="00F60AE7">
        <w:rPr>
          <w:color w:val="000000"/>
          <w:lang w:val="lt-LT"/>
        </w:rPr>
        <w:t>;</w:t>
      </w:r>
    </w:p>
    <w:p w:rsidR="00AD019A" w:rsidRPr="00F60AE7" w:rsidRDefault="000F7C3C" w:rsidP="00AD019A">
      <w:pPr>
        <w:rPr>
          <w:color w:val="000000"/>
          <w:lang w:val="lt-LT"/>
        </w:rPr>
      </w:pPr>
      <w:r w:rsidRPr="00F60AE7">
        <w:rPr>
          <w:color w:val="000000"/>
          <w:lang w:val="lt-LT"/>
        </w:rPr>
        <w:t>8</w:t>
      </w:r>
      <w:r w:rsidR="00AD019A" w:rsidRPr="00F60AE7">
        <w:rPr>
          <w:color w:val="000000"/>
          <w:lang w:val="lt-LT"/>
        </w:rPr>
        <w:t>.</w:t>
      </w:r>
      <w:r w:rsidRPr="00F60AE7">
        <w:rPr>
          <w:color w:val="000000"/>
          <w:lang w:val="lt-LT"/>
        </w:rPr>
        <w:t xml:space="preserve"> </w:t>
      </w:r>
      <w:r w:rsidR="00AD019A" w:rsidRPr="00F60AE7">
        <w:rPr>
          <w:color w:val="000000"/>
          <w:lang w:val="lt-LT"/>
        </w:rPr>
        <w:t>AB „Lifosa“</w:t>
      </w:r>
      <w:r w:rsidR="00B852C4" w:rsidRPr="00F60AE7">
        <w:rPr>
          <w:color w:val="000000"/>
          <w:lang w:val="lt-LT"/>
        </w:rPr>
        <w:t>;</w:t>
      </w:r>
    </w:p>
    <w:p w:rsidR="00AD019A" w:rsidRPr="00F60AE7" w:rsidRDefault="000F7C3C" w:rsidP="00AD019A">
      <w:pPr>
        <w:rPr>
          <w:color w:val="000000"/>
          <w:lang w:val="lt-LT"/>
        </w:rPr>
      </w:pPr>
      <w:r w:rsidRPr="00F60AE7">
        <w:rPr>
          <w:color w:val="000000"/>
          <w:lang w:val="lt-LT"/>
        </w:rPr>
        <w:t>9</w:t>
      </w:r>
      <w:r w:rsidR="00AD019A" w:rsidRPr="00F60AE7">
        <w:rPr>
          <w:color w:val="000000"/>
          <w:lang w:val="lt-LT"/>
        </w:rPr>
        <w:t>.</w:t>
      </w:r>
      <w:r w:rsidRPr="00F60AE7">
        <w:rPr>
          <w:color w:val="000000"/>
          <w:lang w:val="lt-LT"/>
        </w:rPr>
        <w:t xml:space="preserve"> </w:t>
      </w:r>
      <w:r w:rsidR="00AD019A" w:rsidRPr="00F60AE7">
        <w:rPr>
          <w:color w:val="000000"/>
          <w:lang w:val="lt-LT"/>
        </w:rPr>
        <w:t>UAB „E Tinklas“</w:t>
      </w:r>
      <w:r w:rsidR="00B852C4" w:rsidRPr="00F60AE7">
        <w:rPr>
          <w:color w:val="000000"/>
          <w:lang w:val="lt-LT"/>
        </w:rPr>
        <w:t>;</w:t>
      </w:r>
    </w:p>
    <w:p w:rsidR="00AD019A" w:rsidRPr="00F60AE7" w:rsidRDefault="000F7C3C" w:rsidP="00AD019A">
      <w:pPr>
        <w:rPr>
          <w:color w:val="000000"/>
          <w:lang w:val="lt-LT"/>
        </w:rPr>
      </w:pPr>
      <w:r w:rsidRPr="00F60AE7">
        <w:rPr>
          <w:color w:val="000000"/>
          <w:lang w:val="lt-LT"/>
        </w:rPr>
        <w:t>10</w:t>
      </w:r>
      <w:r w:rsidR="00AD019A" w:rsidRPr="00F60AE7">
        <w:rPr>
          <w:color w:val="000000"/>
          <w:lang w:val="lt-LT"/>
        </w:rPr>
        <w:t>.</w:t>
      </w:r>
      <w:r w:rsidRPr="00F60AE7">
        <w:rPr>
          <w:color w:val="000000"/>
          <w:lang w:val="lt-LT"/>
        </w:rPr>
        <w:t xml:space="preserve"> </w:t>
      </w:r>
      <w:r w:rsidR="00AD019A" w:rsidRPr="00F60AE7">
        <w:rPr>
          <w:color w:val="000000"/>
          <w:lang w:val="lt-LT"/>
        </w:rPr>
        <w:t>AB „Akmenės cementas“</w:t>
      </w:r>
      <w:r w:rsidR="00B852C4" w:rsidRPr="00F60AE7">
        <w:rPr>
          <w:color w:val="000000"/>
          <w:lang w:val="lt-LT"/>
        </w:rPr>
        <w:t>;</w:t>
      </w:r>
    </w:p>
    <w:p w:rsidR="002C2AC0" w:rsidRPr="00F60AE7" w:rsidRDefault="000F7C3C" w:rsidP="00AD019A">
      <w:pPr>
        <w:rPr>
          <w:color w:val="000000"/>
          <w:lang w:val="lt-LT"/>
        </w:rPr>
      </w:pPr>
      <w:r w:rsidRPr="00F60AE7">
        <w:rPr>
          <w:color w:val="000000"/>
          <w:lang w:val="lt-LT"/>
        </w:rPr>
        <w:t>11</w:t>
      </w:r>
      <w:r w:rsidR="00AD019A" w:rsidRPr="00F60AE7">
        <w:rPr>
          <w:color w:val="000000"/>
          <w:lang w:val="lt-LT"/>
        </w:rPr>
        <w:t>.</w:t>
      </w:r>
      <w:r w:rsidRPr="00F60AE7">
        <w:rPr>
          <w:color w:val="000000"/>
          <w:lang w:val="lt-LT"/>
        </w:rPr>
        <w:t xml:space="preserve"> </w:t>
      </w:r>
      <w:r w:rsidR="00AD019A" w:rsidRPr="00F60AE7">
        <w:rPr>
          <w:color w:val="000000"/>
          <w:lang w:val="lt-LT"/>
        </w:rPr>
        <w:t>AB „Achema“</w:t>
      </w:r>
      <w:r w:rsidR="00B852C4" w:rsidRPr="00F60AE7">
        <w:rPr>
          <w:color w:val="000000"/>
          <w:lang w:val="lt-LT"/>
        </w:rPr>
        <w:t>;</w:t>
      </w:r>
    </w:p>
    <w:sectPr w:rsidR="002C2AC0" w:rsidRPr="00F60AE7" w:rsidSect="004320F8">
      <w:headerReference w:type="default" r:id="rId14"/>
      <w:footerReference w:type="even" r:id="rId15"/>
      <w:headerReference w:type="first" r:id="rId16"/>
      <w:footerReference w:type="first" r:id="rId17"/>
      <w:pgSz w:w="11906" w:h="16838" w:code="9"/>
      <w:pgMar w:top="1134" w:right="567" w:bottom="1134" w:left="1701" w:header="720" w:footer="720" w:gutter="0"/>
      <w:pgNumType w:start="1"/>
      <w:cols w:space="720"/>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6A6" w:rsidRDefault="00D526A6">
      <w:r>
        <w:separator/>
      </w:r>
    </w:p>
  </w:endnote>
  <w:endnote w:type="continuationSeparator" w:id="0">
    <w:p w:rsidR="00D526A6" w:rsidRDefault="00D52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BA"/>
    <w:family w:val="roman"/>
    <w:pitch w:val="variable"/>
    <w:sig w:usb0="E00002FF" w:usb1="42002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463" w:rsidRDefault="00A434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43463" w:rsidRDefault="00A434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463" w:rsidRDefault="00A43463">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6A6" w:rsidRDefault="00D526A6">
      <w:r>
        <w:separator/>
      </w:r>
    </w:p>
  </w:footnote>
  <w:footnote w:type="continuationSeparator" w:id="0">
    <w:p w:rsidR="00D526A6" w:rsidRDefault="00D526A6">
      <w:r>
        <w:continuationSeparator/>
      </w:r>
    </w:p>
  </w:footnote>
  <w:footnote w:id="1">
    <w:p w:rsidR="006E70D6" w:rsidRPr="006E70D6" w:rsidRDefault="006E70D6">
      <w:pPr>
        <w:pStyle w:val="FootnoteText"/>
        <w:rPr>
          <w:lang w:val="lt-LT"/>
        </w:rPr>
      </w:pPr>
      <w:r w:rsidRPr="006E70D6">
        <w:rPr>
          <w:rStyle w:val="FootnoteReference"/>
          <w:lang w:val="lt-LT"/>
        </w:rPr>
        <w:footnoteRef/>
      </w:r>
      <w:r w:rsidRPr="006E70D6">
        <w:rPr>
          <w:lang w:val="lt-LT"/>
        </w:rPr>
        <w:t xml:space="preserve"> Elektros energijos perdavimo, skirstymo, visuomeninio tiekimo paslaugų ir visuomeninių elektros energijos kainų diferencijavimo tvarkos apraš</w:t>
      </w:r>
      <w:r w:rsidR="00C026B0">
        <w:rPr>
          <w:lang w:val="lt-LT"/>
        </w:rPr>
        <w:t>o</w:t>
      </w:r>
      <w:r w:rsidRPr="006E70D6">
        <w:rPr>
          <w:lang w:val="lt-LT"/>
        </w:rPr>
        <w:t>, patvirtint</w:t>
      </w:r>
      <w:r w:rsidR="00C026B0">
        <w:rPr>
          <w:lang w:val="lt-LT"/>
        </w:rPr>
        <w:t>o</w:t>
      </w:r>
      <w:r w:rsidRPr="006E70D6">
        <w:rPr>
          <w:lang w:val="lt-LT"/>
        </w:rPr>
        <w:t xml:space="preserve"> Komisijos 2012 m. rugsėjo 19 d. </w:t>
      </w:r>
      <w:r>
        <w:rPr>
          <w:lang w:val="lt-LT"/>
        </w:rPr>
        <w:t xml:space="preserve">„Dėl </w:t>
      </w:r>
      <w:r w:rsidRPr="006E70D6">
        <w:rPr>
          <w:lang w:val="lt-LT"/>
        </w:rPr>
        <w:t>Elektros energijos perdavimo, skirstymo, visuomeninio tiekimo paslaugų ir visuomeninių elektros energijos kainų diferencijavimo tvarkos aprašo</w:t>
      </w:r>
      <w:r>
        <w:rPr>
          <w:lang w:val="lt-LT"/>
        </w:rPr>
        <w:t xml:space="preserve"> patvirtinimo“</w:t>
      </w:r>
      <w:r w:rsidR="00C026B0">
        <w:rPr>
          <w:lang w:val="lt-LT"/>
        </w:rPr>
        <w:t>, 9–10 punktai.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116534"/>
      <w:docPartObj>
        <w:docPartGallery w:val="Page Numbers (Top of Page)"/>
        <w:docPartUnique/>
      </w:docPartObj>
    </w:sdtPr>
    <w:sdtEndPr>
      <w:rPr>
        <w:noProof/>
      </w:rPr>
    </w:sdtEndPr>
    <w:sdtContent>
      <w:p w:rsidR="004320F8" w:rsidRDefault="004320F8" w:rsidP="00534682">
        <w:pPr>
          <w:pStyle w:val="Header"/>
          <w:jc w:val="center"/>
        </w:pPr>
        <w:r>
          <w:fldChar w:fldCharType="begin"/>
        </w:r>
        <w:r>
          <w:instrText xml:space="preserve"> PAGE   \* MERGEFORMAT </w:instrText>
        </w:r>
        <w:r>
          <w:fldChar w:fldCharType="separate"/>
        </w:r>
        <w:r w:rsidR="00C21775">
          <w:rPr>
            <w:noProof/>
          </w:rPr>
          <w:t>4</w:t>
        </w:r>
        <w:r>
          <w:rPr>
            <w:noProof/>
          </w:rPr>
          <w:fldChar w:fldCharType="end"/>
        </w:r>
      </w:p>
    </w:sdtContent>
  </w:sdt>
  <w:p w:rsidR="002C2AC0" w:rsidRDefault="002C2A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0F8" w:rsidRDefault="004320F8">
    <w:pPr>
      <w:pStyle w:val="Header"/>
      <w:jc w:val="center"/>
    </w:pPr>
  </w:p>
  <w:p w:rsidR="004976BD" w:rsidRDefault="00497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7625C"/>
    <w:multiLevelType w:val="hybridMultilevel"/>
    <w:tmpl w:val="A95A83E6"/>
    <w:lvl w:ilvl="0" w:tplc="B7804C8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3A64459D"/>
    <w:multiLevelType w:val="hybridMultilevel"/>
    <w:tmpl w:val="30F46BCC"/>
    <w:lvl w:ilvl="0" w:tplc="F42C03A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140"/>
    <w:rsid w:val="00020DE0"/>
    <w:rsid w:val="00036710"/>
    <w:rsid w:val="00036E1C"/>
    <w:rsid w:val="00044302"/>
    <w:rsid w:val="000628B3"/>
    <w:rsid w:val="00071CF7"/>
    <w:rsid w:val="00094A31"/>
    <w:rsid w:val="000A0E48"/>
    <w:rsid w:val="000C4A17"/>
    <w:rsid w:val="000F25D5"/>
    <w:rsid w:val="000F6577"/>
    <w:rsid w:val="000F7C3C"/>
    <w:rsid w:val="0010095A"/>
    <w:rsid w:val="001548D8"/>
    <w:rsid w:val="001733BF"/>
    <w:rsid w:val="00173B5E"/>
    <w:rsid w:val="00180A3F"/>
    <w:rsid w:val="00181C6C"/>
    <w:rsid w:val="00183BF7"/>
    <w:rsid w:val="001966C2"/>
    <w:rsid w:val="001A26DF"/>
    <w:rsid w:val="001B0E42"/>
    <w:rsid w:val="001D4BF7"/>
    <w:rsid w:val="001E02A9"/>
    <w:rsid w:val="001F5467"/>
    <w:rsid w:val="00205084"/>
    <w:rsid w:val="002137DE"/>
    <w:rsid w:val="002210AF"/>
    <w:rsid w:val="00235E38"/>
    <w:rsid w:val="00237EDB"/>
    <w:rsid w:val="00241310"/>
    <w:rsid w:val="00250CA7"/>
    <w:rsid w:val="00261358"/>
    <w:rsid w:val="002656C6"/>
    <w:rsid w:val="00267C68"/>
    <w:rsid w:val="00270120"/>
    <w:rsid w:val="00274F74"/>
    <w:rsid w:val="00275802"/>
    <w:rsid w:val="00280921"/>
    <w:rsid w:val="00282087"/>
    <w:rsid w:val="002A39F3"/>
    <w:rsid w:val="002B1B20"/>
    <w:rsid w:val="002B30F8"/>
    <w:rsid w:val="002B3F75"/>
    <w:rsid w:val="002C2AC0"/>
    <w:rsid w:val="002D70E4"/>
    <w:rsid w:val="002D7E9A"/>
    <w:rsid w:val="002E3140"/>
    <w:rsid w:val="002E731E"/>
    <w:rsid w:val="00307C63"/>
    <w:rsid w:val="00311140"/>
    <w:rsid w:val="003157DB"/>
    <w:rsid w:val="00323D54"/>
    <w:rsid w:val="00366845"/>
    <w:rsid w:val="00374C5B"/>
    <w:rsid w:val="00391F88"/>
    <w:rsid w:val="003939C8"/>
    <w:rsid w:val="003955AD"/>
    <w:rsid w:val="003A103D"/>
    <w:rsid w:val="003A39DB"/>
    <w:rsid w:val="003B1209"/>
    <w:rsid w:val="003B451F"/>
    <w:rsid w:val="003B7FBE"/>
    <w:rsid w:val="003D623C"/>
    <w:rsid w:val="003E073D"/>
    <w:rsid w:val="003F4955"/>
    <w:rsid w:val="00403E78"/>
    <w:rsid w:val="0041404C"/>
    <w:rsid w:val="00415949"/>
    <w:rsid w:val="00415E2B"/>
    <w:rsid w:val="004320F8"/>
    <w:rsid w:val="004472E3"/>
    <w:rsid w:val="00460A02"/>
    <w:rsid w:val="004670AB"/>
    <w:rsid w:val="0046775A"/>
    <w:rsid w:val="00467940"/>
    <w:rsid w:val="004832AE"/>
    <w:rsid w:val="004838E5"/>
    <w:rsid w:val="00486CC1"/>
    <w:rsid w:val="00492285"/>
    <w:rsid w:val="004976BD"/>
    <w:rsid w:val="004A1B8B"/>
    <w:rsid w:val="004A4C78"/>
    <w:rsid w:val="004A59BC"/>
    <w:rsid w:val="004B2B2B"/>
    <w:rsid w:val="004D317A"/>
    <w:rsid w:val="004F537B"/>
    <w:rsid w:val="005203FE"/>
    <w:rsid w:val="00527B69"/>
    <w:rsid w:val="00534682"/>
    <w:rsid w:val="0053563F"/>
    <w:rsid w:val="00535846"/>
    <w:rsid w:val="00540AEC"/>
    <w:rsid w:val="00564FE8"/>
    <w:rsid w:val="005702F0"/>
    <w:rsid w:val="00575CF9"/>
    <w:rsid w:val="00584D7F"/>
    <w:rsid w:val="00597F72"/>
    <w:rsid w:val="00634DDE"/>
    <w:rsid w:val="00636FF9"/>
    <w:rsid w:val="00640B49"/>
    <w:rsid w:val="006414B8"/>
    <w:rsid w:val="00643848"/>
    <w:rsid w:val="006524AE"/>
    <w:rsid w:val="00655D32"/>
    <w:rsid w:val="0066401B"/>
    <w:rsid w:val="0066746A"/>
    <w:rsid w:val="00667B4D"/>
    <w:rsid w:val="00671C7E"/>
    <w:rsid w:val="00681E2A"/>
    <w:rsid w:val="00690F15"/>
    <w:rsid w:val="006A155B"/>
    <w:rsid w:val="006A4721"/>
    <w:rsid w:val="006C5C26"/>
    <w:rsid w:val="006D4969"/>
    <w:rsid w:val="006E59A7"/>
    <w:rsid w:val="006E5F9C"/>
    <w:rsid w:val="006E70D6"/>
    <w:rsid w:val="006F20B2"/>
    <w:rsid w:val="00714078"/>
    <w:rsid w:val="00723DB8"/>
    <w:rsid w:val="00742509"/>
    <w:rsid w:val="0074433A"/>
    <w:rsid w:val="007664E2"/>
    <w:rsid w:val="007805DB"/>
    <w:rsid w:val="00786101"/>
    <w:rsid w:val="007B7715"/>
    <w:rsid w:val="007C50BC"/>
    <w:rsid w:val="007E343A"/>
    <w:rsid w:val="007E4966"/>
    <w:rsid w:val="007F70F5"/>
    <w:rsid w:val="0080563D"/>
    <w:rsid w:val="00806F9E"/>
    <w:rsid w:val="0082594C"/>
    <w:rsid w:val="00851C3B"/>
    <w:rsid w:val="00856A20"/>
    <w:rsid w:val="00857C04"/>
    <w:rsid w:val="00863615"/>
    <w:rsid w:val="00884133"/>
    <w:rsid w:val="00890FD0"/>
    <w:rsid w:val="00897C7A"/>
    <w:rsid w:val="008D6B73"/>
    <w:rsid w:val="008F706D"/>
    <w:rsid w:val="00910EB7"/>
    <w:rsid w:val="00933D8A"/>
    <w:rsid w:val="00944D4C"/>
    <w:rsid w:val="00947C62"/>
    <w:rsid w:val="00956D60"/>
    <w:rsid w:val="00957D04"/>
    <w:rsid w:val="00960CE9"/>
    <w:rsid w:val="00972D35"/>
    <w:rsid w:val="00991A8F"/>
    <w:rsid w:val="00991E68"/>
    <w:rsid w:val="00992BCF"/>
    <w:rsid w:val="009B3223"/>
    <w:rsid w:val="009C3AF4"/>
    <w:rsid w:val="009C4669"/>
    <w:rsid w:val="009D24EB"/>
    <w:rsid w:val="009D475D"/>
    <w:rsid w:val="009D7CD1"/>
    <w:rsid w:val="009E1E80"/>
    <w:rsid w:val="009E5EDF"/>
    <w:rsid w:val="009F1282"/>
    <w:rsid w:val="009F421A"/>
    <w:rsid w:val="00A1040D"/>
    <w:rsid w:val="00A31085"/>
    <w:rsid w:val="00A43463"/>
    <w:rsid w:val="00A55D6B"/>
    <w:rsid w:val="00A605D5"/>
    <w:rsid w:val="00A6482E"/>
    <w:rsid w:val="00A6707E"/>
    <w:rsid w:val="00A73DA2"/>
    <w:rsid w:val="00AA4922"/>
    <w:rsid w:val="00AC64AE"/>
    <w:rsid w:val="00AD019A"/>
    <w:rsid w:val="00AD20C8"/>
    <w:rsid w:val="00AF4D68"/>
    <w:rsid w:val="00B32073"/>
    <w:rsid w:val="00B33D4D"/>
    <w:rsid w:val="00B434E8"/>
    <w:rsid w:val="00B504F1"/>
    <w:rsid w:val="00B755E0"/>
    <w:rsid w:val="00B852C4"/>
    <w:rsid w:val="00BA5F2B"/>
    <w:rsid w:val="00BC589D"/>
    <w:rsid w:val="00BF15DE"/>
    <w:rsid w:val="00C026B0"/>
    <w:rsid w:val="00C04F2C"/>
    <w:rsid w:val="00C21775"/>
    <w:rsid w:val="00C62B27"/>
    <w:rsid w:val="00C6462C"/>
    <w:rsid w:val="00C64773"/>
    <w:rsid w:val="00C9255E"/>
    <w:rsid w:val="00CA0BF9"/>
    <w:rsid w:val="00CA2FC3"/>
    <w:rsid w:val="00CC7149"/>
    <w:rsid w:val="00CE672F"/>
    <w:rsid w:val="00CF417E"/>
    <w:rsid w:val="00D31439"/>
    <w:rsid w:val="00D46A2D"/>
    <w:rsid w:val="00D521A8"/>
    <w:rsid w:val="00D526A6"/>
    <w:rsid w:val="00D8112B"/>
    <w:rsid w:val="00D94AE0"/>
    <w:rsid w:val="00DA14B1"/>
    <w:rsid w:val="00DB007C"/>
    <w:rsid w:val="00E023B3"/>
    <w:rsid w:val="00E1770C"/>
    <w:rsid w:val="00E20383"/>
    <w:rsid w:val="00E30D5E"/>
    <w:rsid w:val="00E47C77"/>
    <w:rsid w:val="00E56145"/>
    <w:rsid w:val="00E605E2"/>
    <w:rsid w:val="00E72358"/>
    <w:rsid w:val="00E7707C"/>
    <w:rsid w:val="00EB5506"/>
    <w:rsid w:val="00EB72C0"/>
    <w:rsid w:val="00EE7D38"/>
    <w:rsid w:val="00EF18DD"/>
    <w:rsid w:val="00F03742"/>
    <w:rsid w:val="00F27659"/>
    <w:rsid w:val="00F379CB"/>
    <w:rsid w:val="00F4069C"/>
    <w:rsid w:val="00F407B8"/>
    <w:rsid w:val="00F60AE7"/>
    <w:rsid w:val="00F80306"/>
    <w:rsid w:val="00F86DE9"/>
    <w:rsid w:val="00FA47F7"/>
    <w:rsid w:val="00FF5CE4"/>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5BA013C-F7A2-4EA2-88C7-6951D83F0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4682"/>
    <w:pPr>
      <w:jc w:val="both"/>
    </w:pPr>
    <w:rPr>
      <w:color w:val="000000" w:themeColor="text1"/>
      <w:sz w:val="24"/>
      <w:szCs w:val="24"/>
      <w:lang w:val="en-US" w:eastAsia="en-US"/>
    </w:rPr>
  </w:style>
  <w:style w:type="paragraph" w:styleId="Heading1">
    <w:name w:val="heading 1"/>
    <w:basedOn w:val="Normal"/>
    <w:next w:val="Normal"/>
    <w:link w:val="Heading1Char"/>
    <w:qFormat/>
    <w:rsid w:val="002D70E4"/>
    <w:pPr>
      <w:keepNext/>
      <w:jc w:val="center"/>
      <w:outlineLvl w:val="0"/>
    </w:pPr>
    <w:rPr>
      <w:b/>
      <w:cap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customStyle="1" w:styleId="BodyText1">
    <w:name w:val="Body Text1"/>
    <w:pPr>
      <w:ind w:firstLine="312"/>
      <w:jc w:val="both"/>
    </w:pPr>
    <w:rPr>
      <w:rFonts w:ascii="TimesLT" w:hAnsi="TimesLT"/>
      <w:snapToGrid w:val="0"/>
      <w:lang w:val="en-US" w:eastAsia="en-US"/>
    </w:rPr>
  </w:style>
  <w:style w:type="paragraph" w:styleId="Title">
    <w:name w:val="Title"/>
    <w:basedOn w:val="Normal"/>
    <w:qFormat/>
    <w:rsid w:val="002D70E4"/>
    <w:pPr>
      <w:spacing w:before="160"/>
      <w:jc w:val="left"/>
    </w:pPr>
    <w:rPr>
      <w:b/>
      <w:caps/>
      <w:color w:val="000000"/>
    </w:rPr>
  </w:style>
  <w:style w:type="paragraph" w:styleId="BalloonText">
    <w:name w:val="Balloon Text"/>
    <w:basedOn w:val="Normal"/>
    <w:link w:val="BalloonTextChar"/>
    <w:uiPriority w:val="99"/>
    <w:semiHidden/>
    <w:unhideWhenUsed/>
    <w:rsid w:val="00992BCF"/>
    <w:rPr>
      <w:rFonts w:ascii="Tahoma" w:hAnsi="Tahoma" w:cs="Tahoma"/>
      <w:sz w:val="16"/>
      <w:szCs w:val="16"/>
    </w:rPr>
  </w:style>
  <w:style w:type="character" w:customStyle="1" w:styleId="BalloonTextChar">
    <w:name w:val="Balloon Text Char"/>
    <w:basedOn w:val="DefaultParagraphFont"/>
    <w:link w:val="BalloonText"/>
    <w:uiPriority w:val="99"/>
    <w:semiHidden/>
    <w:rsid w:val="00992BCF"/>
    <w:rPr>
      <w:rFonts w:ascii="Tahoma" w:hAnsi="Tahoma" w:cs="Tahoma"/>
      <w:b/>
      <w:color w:val="FF0000"/>
      <w:sz w:val="16"/>
      <w:szCs w:val="16"/>
      <w:lang w:val="en-US" w:eastAsia="en-US"/>
    </w:rPr>
  </w:style>
  <w:style w:type="character" w:customStyle="1" w:styleId="Heading1Char">
    <w:name w:val="Heading 1 Char"/>
    <w:basedOn w:val="DefaultParagraphFont"/>
    <w:link w:val="Heading1"/>
    <w:rsid w:val="002D70E4"/>
    <w:rPr>
      <w:b/>
      <w:caps/>
      <w:color w:val="000000"/>
      <w:sz w:val="24"/>
      <w:szCs w:val="24"/>
      <w:lang w:val="en-US" w:eastAsia="en-US"/>
    </w:rPr>
  </w:style>
  <w:style w:type="character" w:customStyle="1" w:styleId="HeaderChar">
    <w:name w:val="Header Char"/>
    <w:basedOn w:val="DefaultParagraphFont"/>
    <w:link w:val="Header"/>
    <w:uiPriority w:val="99"/>
    <w:rsid w:val="002C2AC0"/>
    <w:rPr>
      <w:b/>
      <w:color w:val="FF0000"/>
      <w:sz w:val="24"/>
      <w:szCs w:val="24"/>
      <w:lang w:val="en-US" w:eastAsia="en-US"/>
    </w:rPr>
  </w:style>
  <w:style w:type="paragraph" w:styleId="Subtitle">
    <w:name w:val="Subtitle"/>
    <w:basedOn w:val="Normal"/>
    <w:next w:val="Normal"/>
    <w:link w:val="SubtitleChar"/>
    <w:uiPriority w:val="11"/>
    <w:qFormat/>
    <w:rsid w:val="00534682"/>
    <w:pPr>
      <w:numPr>
        <w:ilvl w:val="1"/>
      </w:numPr>
    </w:pPr>
    <w:rPr>
      <w:rFonts w:asciiTheme="majorHAnsi" w:eastAsiaTheme="majorEastAsia" w:hAnsiTheme="majorHAnsi" w:cstheme="majorBidi"/>
      <w:b/>
      <w:iCs/>
      <w:spacing w:val="15"/>
    </w:rPr>
  </w:style>
  <w:style w:type="character" w:customStyle="1" w:styleId="SubtitleChar">
    <w:name w:val="Subtitle Char"/>
    <w:basedOn w:val="DefaultParagraphFont"/>
    <w:link w:val="Subtitle"/>
    <w:uiPriority w:val="11"/>
    <w:rsid w:val="00534682"/>
    <w:rPr>
      <w:rFonts w:asciiTheme="majorHAnsi" w:eastAsiaTheme="majorEastAsia" w:hAnsiTheme="majorHAnsi" w:cstheme="majorBidi"/>
      <w:iCs/>
      <w:color w:val="000000" w:themeColor="text1"/>
      <w:spacing w:val="15"/>
      <w:sz w:val="24"/>
      <w:szCs w:val="24"/>
      <w:lang w:val="en-US" w:eastAsia="en-US"/>
    </w:rPr>
  </w:style>
  <w:style w:type="character" w:styleId="CommentReference">
    <w:name w:val="annotation reference"/>
    <w:basedOn w:val="DefaultParagraphFont"/>
    <w:uiPriority w:val="99"/>
    <w:semiHidden/>
    <w:unhideWhenUsed/>
    <w:rsid w:val="00AD20C8"/>
    <w:rPr>
      <w:sz w:val="16"/>
      <w:szCs w:val="16"/>
    </w:rPr>
  </w:style>
  <w:style w:type="paragraph" w:styleId="CommentText">
    <w:name w:val="annotation text"/>
    <w:basedOn w:val="Normal"/>
    <w:link w:val="CommentTextChar"/>
    <w:uiPriority w:val="99"/>
    <w:semiHidden/>
    <w:unhideWhenUsed/>
    <w:rsid w:val="00AD20C8"/>
    <w:rPr>
      <w:sz w:val="20"/>
      <w:szCs w:val="20"/>
    </w:rPr>
  </w:style>
  <w:style w:type="character" w:customStyle="1" w:styleId="CommentTextChar">
    <w:name w:val="Comment Text Char"/>
    <w:basedOn w:val="DefaultParagraphFont"/>
    <w:link w:val="CommentText"/>
    <w:uiPriority w:val="99"/>
    <w:semiHidden/>
    <w:rsid w:val="00AD20C8"/>
    <w:rPr>
      <w:color w:val="000000" w:themeColor="text1"/>
      <w:lang w:val="en-US" w:eastAsia="en-US"/>
    </w:rPr>
  </w:style>
  <w:style w:type="paragraph" w:styleId="CommentSubject">
    <w:name w:val="annotation subject"/>
    <w:basedOn w:val="CommentText"/>
    <w:next w:val="CommentText"/>
    <w:link w:val="CommentSubjectChar"/>
    <w:uiPriority w:val="99"/>
    <w:semiHidden/>
    <w:unhideWhenUsed/>
    <w:rsid w:val="00AD20C8"/>
    <w:rPr>
      <w:b/>
      <w:bCs/>
    </w:rPr>
  </w:style>
  <w:style w:type="character" w:customStyle="1" w:styleId="CommentSubjectChar">
    <w:name w:val="Comment Subject Char"/>
    <w:basedOn w:val="CommentTextChar"/>
    <w:link w:val="CommentSubject"/>
    <w:uiPriority w:val="99"/>
    <w:semiHidden/>
    <w:rsid w:val="00AD20C8"/>
    <w:rPr>
      <w:b/>
      <w:bCs/>
      <w:color w:val="000000" w:themeColor="text1"/>
      <w:lang w:val="en-US" w:eastAsia="en-US"/>
    </w:rPr>
  </w:style>
  <w:style w:type="paragraph" w:styleId="ListParagraph">
    <w:name w:val="List Paragraph"/>
    <w:basedOn w:val="Normal"/>
    <w:uiPriority w:val="34"/>
    <w:qFormat/>
    <w:rsid w:val="00857C04"/>
    <w:pPr>
      <w:ind w:left="720"/>
      <w:contextualSpacing/>
    </w:pPr>
  </w:style>
  <w:style w:type="paragraph" w:styleId="FootnoteText">
    <w:name w:val="footnote text"/>
    <w:basedOn w:val="Normal"/>
    <w:link w:val="FootnoteTextChar"/>
    <w:uiPriority w:val="99"/>
    <w:semiHidden/>
    <w:unhideWhenUsed/>
    <w:rsid w:val="006E70D6"/>
    <w:rPr>
      <w:sz w:val="20"/>
      <w:szCs w:val="20"/>
    </w:rPr>
  </w:style>
  <w:style w:type="character" w:customStyle="1" w:styleId="FootnoteTextChar">
    <w:name w:val="Footnote Text Char"/>
    <w:basedOn w:val="DefaultParagraphFont"/>
    <w:link w:val="FootnoteText"/>
    <w:uiPriority w:val="99"/>
    <w:semiHidden/>
    <w:rsid w:val="006E70D6"/>
    <w:rPr>
      <w:color w:val="000000" w:themeColor="text1"/>
      <w:lang w:val="en-US" w:eastAsia="en-US"/>
    </w:rPr>
  </w:style>
  <w:style w:type="character" w:styleId="FootnoteReference">
    <w:name w:val="footnote reference"/>
    <w:basedOn w:val="DefaultParagraphFont"/>
    <w:uiPriority w:val="99"/>
    <w:semiHidden/>
    <w:unhideWhenUsed/>
    <w:rsid w:val="006E70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040626">
      <w:bodyDiv w:val="1"/>
      <w:marLeft w:val="0"/>
      <w:marRight w:val="0"/>
      <w:marTop w:val="0"/>
      <w:marBottom w:val="0"/>
      <w:divBdr>
        <w:top w:val="none" w:sz="0" w:space="0" w:color="auto"/>
        <w:left w:val="none" w:sz="0" w:space="0" w:color="auto"/>
        <w:bottom w:val="none" w:sz="0" w:space="0" w:color="auto"/>
        <w:right w:val="none" w:sz="0" w:space="0" w:color="auto"/>
      </w:divBdr>
    </w:div>
    <w:div w:id="121218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astine@regula.l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e.petraitiene\My%20Doc\Blankai\Blank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05FFDA2D5678014F91056B1DEAED1E1D" ma:contentTypeVersion="7" ma:contentTypeDescription="Kurkite naują dokumentą." ma:contentTypeScope="" ma:versionID="bc142d5dcfdbab8e45fbc33e9c87e711">
  <xsd:schema xmlns:xsd="http://www.w3.org/2001/XMLSchema" xmlns:xs="http://www.w3.org/2001/XMLSchema" xmlns:p="http://schemas.microsoft.com/office/2006/metadata/properties" xmlns:ns1="http://schemas.microsoft.com/sharepoint/v3" xmlns:ns2="089398bf-3a64-4cf4-bc8f-bf801cdd2e52" targetNamespace="http://schemas.microsoft.com/office/2006/metadata/properties" ma:root="true" ma:fieldsID="98112a716cfca9b717bbe09f3da3b8ed" ns1:_="" ns2:_="">
    <xsd:import namespace="http://schemas.microsoft.com/sharepoint/v3"/>
    <xsd:import namespace="089398bf-3a64-4cf4-bc8f-bf801cdd2e52"/>
    <xsd:element name="properties">
      <xsd:complexType>
        <xsd:sequence>
          <xsd:element name="documentManagement">
            <xsd:complexType>
              <xsd:all>
                <xsd:element ref="ns1:PublishingStartDate" minOccurs="0"/>
                <xsd:element ref="ns1:PublishingExpirationDate" minOccurs="0"/>
                <xsd:element ref="ns2:Ataskaita" minOccurs="0"/>
                <xsd:element ref="ns2:Renginys" minOccurs="0"/>
                <xsd:element ref="ns2:_x0069_52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avimo pradžios data" ma:description="Planavimo pradžios data yra publikavimo priemonės sukurtas svetainės stulpelis. Jis naudojamas, nurodant datą ir laiką, kai šis puslapis pirmą kartą parodomas svetainės lankytojams." ma:hidden="true" ma:internalName="PublishingStartDate" ma:readOnly="false">
      <xsd:simpleType>
        <xsd:restriction base="dms:Unknown"/>
      </xsd:simpleType>
    </xsd:element>
    <xsd:element name="PublishingExpirationDate" ma:index="9" nillable="true" ma:displayName="Planavimo pabaigos data" ma:description="Planavimo pabaigos data yra publikavimo priemonės sukurtas svetainės stulpelis. Jis naudojamas, nurodant datą ir laiką, kai šis puslapis nebebus rodomas svetainės lankytojam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9398bf-3a64-4cf4-bc8f-bf801cdd2e52" elementFormDefault="qualified">
    <xsd:import namespace="http://schemas.microsoft.com/office/2006/documentManagement/types"/>
    <xsd:import namespace="http://schemas.microsoft.com/office/infopath/2007/PartnerControls"/>
    <xsd:element name="Ataskaita" ma:index="10" nillable="true" ma:displayName="Ataskaita" ma:format="Image" ma:internalName="Ataskaita">
      <xsd:complexType>
        <xsd:complexContent>
          <xsd:extension base="dms:URL">
            <xsd:sequence>
              <xsd:element name="Url" type="dms:ValidUrl" minOccurs="0" nillable="true"/>
              <xsd:element name="Description" type="xsd:string" nillable="true"/>
            </xsd:sequence>
          </xsd:extension>
        </xsd:complexContent>
      </xsd:complexType>
    </xsd:element>
    <xsd:element name="Renginys" ma:index="11" nillable="true" ma:displayName="Renginys" ma:internalName="Renginys">
      <xsd:simpleType>
        <xsd:restriction base="dms:Note">
          <xsd:maxLength value="255"/>
        </xsd:restriction>
      </xsd:simpleType>
    </xsd:element>
    <xsd:element name="_x0069_523" ma:index="12" nillable="true" ma:displayName="Tekstas" ma:internalName="_x0069_523">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069_523 xmlns="089398bf-3a64-4cf4-bc8f-bf801cdd2e52" xsi:nil="true"/>
    <PublishingExpirationDate xmlns="http://schemas.microsoft.com/sharepoint/v3" xsi:nil="true"/>
    <PublishingStartDate xmlns="http://schemas.microsoft.com/sharepoint/v3" xsi:nil="true"/>
    <Ataskaita xmlns="089398bf-3a64-4cf4-bc8f-bf801cdd2e52">
      <Url xsi:nil="true"/>
      <Description xsi:nil="true"/>
    </Ataskaita>
    <Renginys xmlns="089398bf-3a64-4cf4-bc8f-bf801cdd2e5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3B1E4-B9DA-4DB9-A51E-2EDCC70EF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9398bf-3a64-4cf4-bc8f-bf801cdd2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BDE43F-1E6D-457A-B5BA-557D65A719A2}">
  <ds:schemaRefs>
    <ds:schemaRef ds:uri="http://www.w3.org/XML/1998/namespace"/>
    <ds:schemaRef ds:uri="http://schemas.microsoft.com/office/infopath/2007/PartnerControls"/>
    <ds:schemaRef ds:uri="http://schemas.microsoft.com/office/2006/documentManagement/types"/>
    <ds:schemaRef ds:uri="089398bf-3a64-4cf4-bc8f-bf801cdd2e52"/>
    <ds:schemaRef ds:uri="http://purl.org/dc/elements/1.1/"/>
    <ds:schemaRef ds:uri="http://purl.org/dc/terms/"/>
    <ds:schemaRef ds:uri="http://schemas.microsoft.com/sharepoint/v3"/>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1D305667-FA54-4AF4-8E59-BB5F0774E4A9}">
  <ds:schemaRefs>
    <ds:schemaRef ds:uri="http://schemas.microsoft.com/sharepoint/v3/contenttype/forms"/>
  </ds:schemaRefs>
</ds:datastoreItem>
</file>

<file path=customXml/itemProps4.xml><?xml version="1.0" encoding="utf-8"?>
<ds:datastoreItem xmlns:ds="http://schemas.openxmlformats.org/officeDocument/2006/customXml" ds:itemID="{EFD767E9-0926-4479-9CE2-0BD6AEC1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Blankas</Template>
  <TotalTime>1</TotalTime>
  <Pages>4</Pages>
  <Words>5537</Words>
  <Characters>3157</Characters>
  <Application>Microsoft Office Word</Application>
  <DocSecurity>4</DocSecurity>
  <Lines>26</Lines>
  <Paragraphs>17</Paragraphs>
  <ScaleCrop>false</ScaleCrop>
  <HeadingPairs>
    <vt:vector size="2" baseType="variant">
      <vt:variant>
        <vt:lpstr>Title</vt:lpstr>
      </vt:variant>
      <vt:variant>
        <vt:i4>1</vt:i4>
      </vt:variant>
    </vt:vector>
  </HeadingPairs>
  <TitlesOfParts>
    <vt:vector size="1" baseType="lpstr">
      <vt:lpstr>VALSTYBINĖ KAINŲ IR ENERGETIKOS KONTROLĖS KOMISIJA</vt:lpstr>
    </vt:vector>
  </TitlesOfParts>
  <Company>KPC</Company>
  <LinksUpToDate>false</LinksUpToDate>
  <CharactersWithSpaces>8677</CharactersWithSpaces>
  <SharedDoc>false</SharedDoc>
  <HLinks>
    <vt:vector size="6" baseType="variant">
      <vt:variant>
        <vt:i4>4980844</vt:i4>
      </vt:variant>
      <vt:variant>
        <vt:i4>0</vt:i4>
      </vt:variant>
      <vt:variant>
        <vt:i4>0</vt:i4>
      </vt:variant>
      <vt:variant>
        <vt:i4>5</vt:i4>
      </vt:variant>
      <vt:variant>
        <vt:lpwstr>mailto:rastine@regula.lt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VALSTYBINĖ KAINŲ IR ENERGETIKOS KONTROLĖS KOMISIJA</dc:title>
  <dc:creator>Eglė Petraitienė</dc:creator>
  <cp:lastModifiedBy>Aleksandra Prokopjeva</cp:lastModifiedBy>
  <cp:revision>2</cp:revision>
  <cp:lastPrinted>2015-05-06T12:47:00Z</cp:lastPrinted>
  <dcterms:created xsi:type="dcterms:W3CDTF">2018-04-16T04:28:00Z</dcterms:created>
  <dcterms:modified xsi:type="dcterms:W3CDTF">2018-04-16T04:28:00Z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0x01010005FFDA2D5678014F91056B1DEAED1E1D</vt:lpwstr>
  </property>
</Properties>
</file>