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386" w:rsidRPr="00676D41" w:rsidRDefault="00903386" w:rsidP="00903386">
      <w:pPr>
        <w:ind w:firstLine="6521"/>
        <w:jc w:val="both"/>
        <w:rPr>
          <w:b/>
          <w:szCs w:val="24"/>
        </w:rPr>
      </w:pPr>
      <w:r w:rsidRPr="00676D41">
        <w:rPr>
          <w:b/>
          <w:szCs w:val="24"/>
        </w:rPr>
        <w:t>Projekt</w:t>
      </w:r>
      <w:r>
        <w:rPr>
          <w:b/>
          <w:szCs w:val="24"/>
        </w:rPr>
        <w:t>o</w:t>
      </w:r>
      <w:r w:rsidRPr="00676D41">
        <w:rPr>
          <w:b/>
          <w:szCs w:val="24"/>
        </w:rPr>
        <w:t xml:space="preserve"> </w:t>
      </w:r>
    </w:p>
    <w:p w:rsidR="00903386" w:rsidRPr="00676D41" w:rsidRDefault="00903386" w:rsidP="00903386">
      <w:pPr>
        <w:ind w:firstLine="6521"/>
        <w:jc w:val="both"/>
        <w:rPr>
          <w:b/>
          <w:szCs w:val="24"/>
        </w:rPr>
      </w:pPr>
      <w:r w:rsidRPr="00676D41">
        <w:rPr>
          <w:b/>
          <w:szCs w:val="24"/>
        </w:rPr>
        <w:t>Lyginamasis variantas</w:t>
      </w:r>
    </w:p>
    <w:p w:rsidR="00453C86" w:rsidRPr="002923AB" w:rsidRDefault="00453C86" w:rsidP="002923AB">
      <w:pPr>
        <w:ind w:firstLine="6521"/>
        <w:jc w:val="both"/>
        <w:rPr>
          <w:b/>
          <w:szCs w:val="24"/>
        </w:rPr>
      </w:pPr>
    </w:p>
    <w:p w:rsidR="00453C86" w:rsidRPr="002923AB" w:rsidRDefault="00453C86" w:rsidP="002923AB">
      <w:pPr>
        <w:tabs>
          <w:tab w:val="center" w:pos="4819"/>
          <w:tab w:val="right" w:pos="9638"/>
        </w:tabs>
        <w:jc w:val="both"/>
        <w:rPr>
          <w:b/>
          <w:caps/>
          <w:szCs w:val="24"/>
        </w:rPr>
      </w:pPr>
    </w:p>
    <w:p w:rsidR="00453C86" w:rsidRPr="002923AB" w:rsidRDefault="009341E5" w:rsidP="002923AB">
      <w:pPr>
        <w:tabs>
          <w:tab w:val="center" w:pos="4819"/>
          <w:tab w:val="right" w:pos="9638"/>
        </w:tabs>
        <w:jc w:val="center"/>
        <w:rPr>
          <w:b/>
          <w:caps/>
          <w:szCs w:val="24"/>
        </w:rPr>
      </w:pPr>
      <w:r w:rsidRPr="002923AB">
        <w:rPr>
          <w:b/>
          <w:caps/>
          <w:szCs w:val="24"/>
        </w:rPr>
        <w:t>LIETUVOS RESPUBLIKOS</w:t>
      </w:r>
    </w:p>
    <w:p w:rsidR="00453C86" w:rsidRPr="002923AB" w:rsidRDefault="009341E5" w:rsidP="002923AB">
      <w:pPr>
        <w:jc w:val="center"/>
        <w:rPr>
          <w:caps/>
          <w:szCs w:val="24"/>
        </w:rPr>
      </w:pPr>
      <w:r w:rsidRPr="002923AB">
        <w:rPr>
          <w:b/>
          <w:szCs w:val="24"/>
        </w:rPr>
        <w:t>GYVENTOJŲ PAJAMŲ MOKESČIO</w:t>
      </w:r>
    </w:p>
    <w:p w:rsidR="00453C86" w:rsidRPr="002923AB" w:rsidRDefault="009341E5" w:rsidP="002923AB">
      <w:pPr>
        <w:jc w:val="center"/>
        <w:rPr>
          <w:b/>
          <w:caps/>
          <w:szCs w:val="24"/>
        </w:rPr>
      </w:pPr>
      <w:r w:rsidRPr="002923AB">
        <w:rPr>
          <w:b/>
          <w:caps/>
          <w:szCs w:val="24"/>
        </w:rPr>
        <w:t>ĮSTATYMO NR. IX-1007 6</w:t>
      </w:r>
      <w:r w:rsidR="004720A2">
        <w:rPr>
          <w:b/>
          <w:caps/>
          <w:szCs w:val="24"/>
        </w:rPr>
        <w:t>,</w:t>
      </w:r>
      <w:r w:rsidR="00034698" w:rsidRPr="002923AB">
        <w:rPr>
          <w:b/>
          <w:caps/>
          <w:szCs w:val="24"/>
        </w:rPr>
        <w:t xml:space="preserve"> </w:t>
      </w:r>
      <w:r w:rsidR="00A17A4C">
        <w:rPr>
          <w:b/>
          <w:caps/>
          <w:szCs w:val="24"/>
        </w:rPr>
        <w:t>18</w:t>
      </w:r>
      <w:r w:rsidR="004549B6" w:rsidRPr="00F34CAD">
        <w:rPr>
          <w:b/>
          <w:bCs/>
          <w:szCs w:val="24"/>
          <w:vertAlign w:val="superscript"/>
        </w:rPr>
        <w:t>2</w:t>
      </w:r>
      <w:r w:rsidR="004549B6" w:rsidRPr="00F34CAD">
        <w:rPr>
          <w:b/>
          <w:szCs w:val="24"/>
        </w:rPr>
        <w:t xml:space="preserve"> </w:t>
      </w:r>
      <w:r w:rsidR="00A17A4C">
        <w:rPr>
          <w:b/>
          <w:caps/>
          <w:szCs w:val="24"/>
        </w:rPr>
        <w:t>ir 2</w:t>
      </w:r>
      <w:r w:rsidR="005F6107">
        <w:rPr>
          <w:b/>
          <w:caps/>
          <w:szCs w:val="24"/>
        </w:rPr>
        <w:t>7</w:t>
      </w:r>
      <w:r w:rsidR="004720A2">
        <w:rPr>
          <w:b/>
          <w:caps/>
          <w:szCs w:val="24"/>
        </w:rPr>
        <w:t xml:space="preserve"> </w:t>
      </w:r>
      <w:r w:rsidR="00034698" w:rsidRPr="002923AB">
        <w:rPr>
          <w:b/>
          <w:caps/>
          <w:szCs w:val="24"/>
        </w:rPr>
        <w:t>straipsnių</w:t>
      </w:r>
      <w:r w:rsidRPr="002923AB">
        <w:rPr>
          <w:b/>
          <w:caps/>
          <w:szCs w:val="24"/>
        </w:rPr>
        <w:t xml:space="preserve"> PAKEITIMO</w:t>
      </w:r>
    </w:p>
    <w:p w:rsidR="00453C86" w:rsidRPr="002923AB" w:rsidRDefault="009341E5" w:rsidP="002923AB">
      <w:pPr>
        <w:jc w:val="center"/>
        <w:rPr>
          <w:b/>
          <w:caps/>
          <w:szCs w:val="24"/>
        </w:rPr>
      </w:pPr>
      <w:r w:rsidRPr="002923AB">
        <w:rPr>
          <w:b/>
          <w:caps/>
          <w:szCs w:val="24"/>
        </w:rPr>
        <w:t>ĮSTATYMAS</w:t>
      </w:r>
    </w:p>
    <w:p w:rsidR="00453C86" w:rsidRPr="002923AB" w:rsidRDefault="00453C86" w:rsidP="002923AB">
      <w:pPr>
        <w:jc w:val="both"/>
        <w:rPr>
          <w:b/>
          <w:caps/>
          <w:szCs w:val="24"/>
        </w:rPr>
      </w:pPr>
    </w:p>
    <w:p w:rsidR="00453C86" w:rsidRPr="002923AB" w:rsidRDefault="009341E5" w:rsidP="002923AB">
      <w:pPr>
        <w:jc w:val="center"/>
        <w:rPr>
          <w:szCs w:val="24"/>
        </w:rPr>
      </w:pPr>
      <w:r w:rsidRPr="002923AB">
        <w:rPr>
          <w:szCs w:val="24"/>
        </w:rPr>
        <w:t>201</w:t>
      </w:r>
      <w:r w:rsidR="00C12AAA" w:rsidRPr="002923AB">
        <w:rPr>
          <w:szCs w:val="24"/>
        </w:rPr>
        <w:t>9</w:t>
      </w:r>
      <w:r w:rsidRPr="002923AB">
        <w:rPr>
          <w:szCs w:val="24"/>
        </w:rPr>
        <w:t xml:space="preserve"> m.                      d. Nr. </w:t>
      </w:r>
      <w:r w:rsidRPr="002923AB">
        <w:rPr>
          <w:szCs w:val="24"/>
        </w:rPr>
        <w:br/>
        <w:t>Vilnius</w:t>
      </w:r>
    </w:p>
    <w:p w:rsidR="00453C86" w:rsidRPr="002923AB" w:rsidRDefault="00453C86" w:rsidP="002923AB">
      <w:pPr>
        <w:jc w:val="both"/>
        <w:rPr>
          <w:b/>
          <w:szCs w:val="24"/>
        </w:rPr>
      </w:pPr>
    </w:p>
    <w:p w:rsidR="00453C86" w:rsidRPr="002923AB" w:rsidRDefault="00453C86" w:rsidP="002923AB">
      <w:pPr>
        <w:ind w:firstLine="720"/>
        <w:jc w:val="both"/>
        <w:rPr>
          <w:szCs w:val="24"/>
        </w:rPr>
      </w:pPr>
    </w:p>
    <w:p w:rsidR="00453C86" w:rsidRPr="002923AB" w:rsidRDefault="00C12AAA" w:rsidP="002923AB">
      <w:pPr>
        <w:ind w:firstLine="720"/>
        <w:jc w:val="both"/>
        <w:rPr>
          <w:b/>
          <w:szCs w:val="24"/>
          <w:lang w:eastAsia="lt-LT"/>
        </w:rPr>
      </w:pPr>
      <w:r w:rsidRPr="002923AB">
        <w:rPr>
          <w:b/>
          <w:szCs w:val="24"/>
        </w:rPr>
        <w:t>1</w:t>
      </w:r>
      <w:r w:rsidR="009341E5" w:rsidRPr="002923AB">
        <w:rPr>
          <w:b/>
          <w:szCs w:val="24"/>
        </w:rPr>
        <w:t xml:space="preserve"> straipsnis. 6 straipsnio pakeitimas</w:t>
      </w:r>
    </w:p>
    <w:p w:rsidR="00C12AAA" w:rsidRPr="002923AB" w:rsidRDefault="009341E5" w:rsidP="002923AB">
      <w:pPr>
        <w:ind w:left="1080" w:hanging="360"/>
        <w:jc w:val="both"/>
        <w:rPr>
          <w:szCs w:val="24"/>
          <w:lang w:eastAsia="lt-LT"/>
        </w:rPr>
      </w:pPr>
      <w:r w:rsidRPr="002923AB">
        <w:rPr>
          <w:szCs w:val="24"/>
        </w:rPr>
        <w:t>1.</w:t>
      </w:r>
      <w:r w:rsidR="00C12AAA" w:rsidRPr="002923AB">
        <w:rPr>
          <w:szCs w:val="24"/>
        </w:rPr>
        <w:t xml:space="preserve"> </w:t>
      </w:r>
      <w:r w:rsidR="00FC6277">
        <w:rPr>
          <w:szCs w:val="24"/>
        </w:rPr>
        <w:t>Pakeisti</w:t>
      </w:r>
      <w:r w:rsidR="00C12AAA" w:rsidRPr="002923AB">
        <w:rPr>
          <w:szCs w:val="24"/>
        </w:rPr>
        <w:t xml:space="preserve"> </w:t>
      </w:r>
      <w:r w:rsidRPr="002923AB">
        <w:rPr>
          <w:szCs w:val="24"/>
          <w:lang w:eastAsia="lt-LT"/>
        </w:rPr>
        <w:t>6 straipsn</w:t>
      </w:r>
      <w:r w:rsidR="00C12AAA" w:rsidRPr="002923AB">
        <w:rPr>
          <w:szCs w:val="24"/>
          <w:lang w:eastAsia="lt-LT"/>
        </w:rPr>
        <w:t>io</w:t>
      </w:r>
      <w:r w:rsidRPr="002923AB">
        <w:rPr>
          <w:szCs w:val="24"/>
          <w:lang w:eastAsia="lt-LT"/>
        </w:rPr>
        <w:t xml:space="preserve"> 1 </w:t>
      </w:r>
      <w:r w:rsidR="00C12AAA" w:rsidRPr="002923AB">
        <w:rPr>
          <w:szCs w:val="24"/>
          <w:lang w:eastAsia="lt-LT"/>
        </w:rPr>
        <w:t>dalį</w:t>
      </w:r>
      <w:r w:rsidR="00FC6277">
        <w:rPr>
          <w:szCs w:val="24"/>
          <w:lang w:eastAsia="lt-LT"/>
        </w:rPr>
        <w:t xml:space="preserve"> ir ją išdėstyti taip</w:t>
      </w:r>
      <w:r w:rsidR="00C12AAA" w:rsidRPr="002923AB">
        <w:rPr>
          <w:szCs w:val="24"/>
          <w:lang w:eastAsia="lt-LT"/>
        </w:rPr>
        <w:t>:</w:t>
      </w:r>
    </w:p>
    <w:p w:rsidR="009F2730" w:rsidRPr="00FC6277" w:rsidRDefault="00C12AAA" w:rsidP="00FC6277">
      <w:pPr>
        <w:ind w:left="1080" w:hanging="360"/>
        <w:jc w:val="both"/>
        <w:rPr>
          <w:szCs w:val="24"/>
        </w:rPr>
      </w:pPr>
      <w:r w:rsidRPr="00FC6277">
        <w:rPr>
          <w:szCs w:val="24"/>
        </w:rPr>
        <w:t xml:space="preserve">„1. Pajamų mokesčio tarifas yra </w:t>
      </w:r>
      <w:r w:rsidRPr="00FC6277">
        <w:rPr>
          <w:strike/>
          <w:szCs w:val="24"/>
        </w:rPr>
        <w:t>15</w:t>
      </w:r>
      <w:r w:rsidRPr="00FC6277">
        <w:rPr>
          <w:b/>
          <w:szCs w:val="24"/>
        </w:rPr>
        <w:t xml:space="preserve"> </w:t>
      </w:r>
      <w:r w:rsidR="00FC6277" w:rsidRPr="00FC6277">
        <w:rPr>
          <w:b/>
          <w:szCs w:val="24"/>
          <w:lang w:val="en-US"/>
        </w:rPr>
        <w:t>20</w:t>
      </w:r>
      <w:r w:rsidR="00FC6277" w:rsidRPr="00FC6277">
        <w:rPr>
          <w:szCs w:val="24"/>
          <w:lang w:val="en-US"/>
        </w:rPr>
        <w:t xml:space="preserve"> </w:t>
      </w:r>
      <w:r w:rsidRPr="00FC6277">
        <w:rPr>
          <w:szCs w:val="24"/>
        </w:rPr>
        <w:t>procentų, jeigu šiame straipsnyje nenustatyta kitaip.“</w:t>
      </w:r>
    </w:p>
    <w:p w:rsidR="00FC6277" w:rsidRPr="002923AB" w:rsidRDefault="00FC6277" w:rsidP="00FC6277">
      <w:pPr>
        <w:ind w:firstLine="720"/>
        <w:jc w:val="both"/>
        <w:rPr>
          <w:szCs w:val="24"/>
          <w:lang w:eastAsia="lt-LT"/>
        </w:rPr>
      </w:pPr>
      <w:r>
        <w:rPr>
          <w:szCs w:val="24"/>
        </w:rPr>
        <w:t xml:space="preserve">2. </w:t>
      </w:r>
      <w:r w:rsidRPr="002923AB">
        <w:rPr>
          <w:szCs w:val="24"/>
        </w:rPr>
        <w:t>P</w:t>
      </w:r>
      <w:r>
        <w:rPr>
          <w:szCs w:val="24"/>
        </w:rPr>
        <w:t>akeisti</w:t>
      </w:r>
      <w:r w:rsidRPr="002923AB">
        <w:rPr>
          <w:szCs w:val="24"/>
        </w:rPr>
        <w:t xml:space="preserve"> 6 straipsnio </w:t>
      </w:r>
      <w:r w:rsidRPr="002923AB">
        <w:rPr>
          <w:szCs w:val="24"/>
          <w:lang w:eastAsia="lt-LT"/>
        </w:rPr>
        <w:t>1</w:t>
      </w:r>
      <w:r w:rsidRPr="002923AB">
        <w:rPr>
          <w:szCs w:val="24"/>
          <w:vertAlign w:val="superscript"/>
          <w:lang w:eastAsia="lt-LT"/>
        </w:rPr>
        <w:t xml:space="preserve">2  </w:t>
      </w:r>
      <w:r w:rsidRPr="002923AB">
        <w:rPr>
          <w:szCs w:val="24"/>
          <w:lang w:eastAsia="lt-LT"/>
        </w:rPr>
        <w:t>dalį</w:t>
      </w:r>
      <w:r>
        <w:rPr>
          <w:szCs w:val="24"/>
          <w:lang w:eastAsia="lt-LT"/>
        </w:rPr>
        <w:t xml:space="preserve"> ir išdėstyti ją taip:</w:t>
      </w:r>
    </w:p>
    <w:p w:rsidR="00FC6277" w:rsidRDefault="00FC6277" w:rsidP="00FC6277">
      <w:pPr>
        <w:ind w:firstLine="720"/>
        <w:jc w:val="both"/>
        <w:rPr>
          <w:szCs w:val="24"/>
          <w:lang w:eastAsia="lt-LT"/>
        </w:rPr>
      </w:pPr>
      <w:r w:rsidRPr="008C2804">
        <w:rPr>
          <w:szCs w:val="24"/>
          <w:lang w:eastAsia="lt-LT"/>
        </w:rPr>
        <w:t>„</w:t>
      </w:r>
      <w:r w:rsidRPr="00F64223">
        <w:rPr>
          <w:szCs w:val="24"/>
          <w:lang w:eastAsia="lt-LT"/>
        </w:rPr>
        <w:t>1</w:t>
      </w:r>
      <w:r w:rsidRPr="00F64223">
        <w:rPr>
          <w:szCs w:val="24"/>
          <w:vertAlign w:val="superscript"/>
          <w:lang w:eastAsia="lt-LT"/>
        </w:rPr>
        <w:t>2</w:t>
      </w:r>
      <w:r w:rsidRPr="00F64223">
        <w:rPr>
          <w:szCs w:val="24"/>
          <w:lang w:eastAsia="lt-LT"/>
        </w:rPr>
        <w:t xml:space="preserve">. </w:t>
      </w:r>
      <w:r w:rsidRPr="002923AB">
        <w:rPr>
          <w:strike/>
          <w:szCs w:val="24"/>
          <w:lang w:eastAsia="lt-LT"/>
        </w:rPr>
        <w:t xml:space="preserve">Metinė pajamų ne iš darbo santykių arba jų esmę atitinkančių santykių (išskyrus individualios veiklos pajamas, pajamas iš paskirstytojo pelno, tantjemas ar atlygį už veiklą stebėtojų taryboje ar valdyboje, paskolų komitete, mokamą vietoj tantjemų arba kartu su tantjemomis, iš asmens, susijusio su gyventoju darbo santykiais ar jų esmę atitinkančiais santykiais, gautas pajamas pagal autorines sutartis, taip pat </w:t>
      </w:r>
      <w:r w:rsidRPr="002923AB">
        <w:rPr>
          <w:strike/>
          <w:szCs w:val="24"/>
        </w:rPr>
        <w:t>mažųjų bendrijų vadovų, kurie pagal Lietuvos Respublikos mažųjų bendrijų įstatymą nėra tų mažųjų bendrijų nariai, pagal civilinę (paslaugų) sutartį už vadovavimo veiklą gautas pajamas</w:t>
      </w:r>
      <w:r w:rsidRPr="002923AB">
        <w:rPr>
          <w:strike/>
          <w:szCs w:val="24"/>
          <w:lang w:eastAsia="lt-LT"/>
        </w:rPr>
        <w:t>)</w:t>
      </w:r>
      <w:r w:rsidRPr="00707F9C">
        <w:rPr>
          <w:szCs w:val="24"/>
          <w:lang w:eastAsia="lt-LT"/>
        </w:rPr>
        <w:t xml:space="preserve"> </w:t>
      </w:r>
      <w:r w:rsidR="00FE6DDD" w:rsidRPr="00FE6DDD">
        <w:rPr>
          <w:b/>
          <w:bCs/>
          <w:szCs w:val="24"/>
          <w:lang w:eastAsia="lt-LT"/>
        </w:rPr>
        <w:t xml:space="preserve"> </w:t>
      </w:r>
      <w:r w:rsidRPr="0039471D">
        <w:rPr>
          <w:strike/>
          <w:szCs w:val="24"/>
          <w:lang w:eastAsia="lt-LT"/>
        </w:rPr>
        <w:t>dalis, viršijanti 120 VDU dydžio sumą, taikomą apdraustųjų asmenų einamųjų metų valstybinio socialinio draudimo įmokų bazei skaičiuoti, apmokestinama taikant 20 procentų pajamų mokesčio tarifą</w:t>
      </w:r>
      <w:r w:rsidR="0039471D" w:rsidRPr="0039471D">
        <w:rPr>
          <w:b/>
          <w:szCs w:val="24"/>
        </w:rPr>
        <w:t xml:space="preserve"> </w:t>
      </w:r>
      <w:r w:rsidR="0039471D" w:rsidRPr="007B0DF5">
        <w:rPr>
          <w:b/>
          <w:szCs w:val="24"/>
        </w:rPr>
        <w:t>Gyventojo ligos, motinystės, tėvystės, vaiko priežiūros ir ilgalaikio darbo išmokos apmokestinamos</w:t>
      </w:r>
      <w:r w:rsidR="0039471D" w:rsidRPr="007B0DF5">
        <w:rPr>
          <w:b/>
          <w:bCs/>
          <w:szCs w:val="24"/>
          <w:lang w:eastAsia="lt-LT"/>
        </w:rPr>
        <w:t xml:space="preserve"> taikant 15 procentų pajamų mokesčio tarifą</w:t>
      </w:r>
      <w:r w:rsidRPr="00FE6DDD">
        <w:rPr>
          <w:szCs w:val="24"/>
          <w:lang w:eastAsia="lt-LT"/>
        </w:rPr>
        <w:t>.“</w:t>
      </w:r>
    </w:p>
    <w:p w:rsidR="00FE6DDD" w:rsidRPr="00903386" w:rsidRDefault="00F64223" w:rsidP="00FE6DDD">
      <w:pPr>
        <w:ind w:firstLine="720"/>
        <w:jc w:val="both"/>
        <w:rPr>
          <w:szCs w:val="24"/>
        </w:rPr>
      </w:pPr>
      <w:r w:rsidRPr="00903386">
        <w:rPr>
          <w:szCs w:val="24"/>
        </w:rPr>
        <w:t>3. Pakeisti 6 straipsnio 2 dalį ir ją išdėstyti taip:</w:t>
      </w:r>
    </w:p>
    <w:p w:rsidR="00F64223" w:rsidRPr="00152CDD" w:rsidRDefault="00F64223" w:rsidP="00FE6DDD">
      <w:pPr>
        <w:ind w:firstLine="720"/>
        <w:jc w:val="both"/>
        <w:rPr>
          <w:szCs w:val="24"/>
          <w:lang w:val="en-US"/>
        </w:rPr>
      </w:pPr>
      <w:r w:rsidRPr="00903386">
        <w:rPr>
          <w:color w:val="000000"/>
          <w:szCs w:val="24"/>
        </w:rPr>
        <w:t>„2. </w:t>
      </w:r>
      <w:r w:rsidRPr="00903386">
        <w:rPr>
          <w:strike/>
          <w:color w:val="000000"/>
          <w:szCs w:val="24"/>
        </w:rPr>
        <w:t>Pajamų mokesčio 5 procentų tarifas taikomas</w:t>
      </w:r>
      <w:r w:rsidRPr="00152CDD">
        <w:rPr>
          <w:strike/>
          <w:color w:val="000000"/>
          <w:szCs w:val="24"/>
        </w:rPr>
        <w:t xml:space="preserve"> ne individualios veiklos pajamoms, gautoms pardavus ar kitaip nuosavybėn perleidus atliekas.</w:t>
      </w:r>
      <w:r w:rsidRPr="00152CDD">
        <w:rPr>
          <w:b/>
          <w:bCs/>
          <w:szCs w:val="24"/>
          <w:lang w:eastAsia="lt-LT"/>
        </w:rPr>
        <w:t xml:space="preserve"> Gyventojo ne individualios veiklos pajamų, gautų pardavus ar kitaip perleidus nuosavybėn atliekas</w:t>
      </w:r>
      <w:r w:rsidR="00941C3B">
        <w:rPr>
          <w:b/>
          <w:bCs/>
          <w:szCs w:val="24"/>
          <w:lang w:eastAsia="lt-LT"/>
        </w:rPr>
        <w:t>,</w:t>
      </w:r>
      <w:r w:rsidRPr="00152CDD">
        <w:rPr>
          <w:b/>
          <w:bCs/>
          <w:szCs w:val="24"/>
          <w:lang w:eastAsia="lt-LT"/>
        </w:rPr>
        <w:t xml:space="preserve"> </w:t>
      </w:r>
      <w:r w:rsidRPr="00152CDD">
        <w:rPr>
          <w:b/>
          <w:szCs w:val="24"/>
          <w:lang w:eastAsia="lt-LT"/>
        </w:rPr>
        <w:t xml:space="preserve">dalis, neviršijanti 120 VDU dydžio sumos, taikomos apdraustųjų asmenų einamųjų metų valstybinio socialinio draudimo įmokų bazei skaičiuoti, apmokestinama taikant </w:t>
      </w:r>
      <w:r w:rsidR="0039471D" w:rsidRPr="00152CDD">
        <w:rPr>
          <w:b/>
          <w:szCs w:val="24"/>
          <w:lang w:val="en-US" w:eastAsia="lt-LT"/>
        </w:rPr>
        <w:t>5</w:t>
      </w:r>
      <w:r w:rsidRPr="00152CDD">
        <w:rPr>
          <w:b/>
          <w:szCs w:val="24"/>
          <w:lang w:eastAsia="lt-LT"/>
        </w:rPr>
        <w:t xml:space="preserve"> procentų pajamų mokesčio tarifą.</w:t>
      </w:r>
      <w:r w:rsidRPr="00152CDD">
        <w:rPr>
          <w:color w:val="000000"/>
          <w:szCs w:val="24"/>
        </w:rPr>
        <w:t>“</w:t>
      </w:r>
    </w:p>
    <w:p w:rsidR="00FE6DDD" w:rsidRDefault="00FE6DDD" w:rsidP="002923AB">
      <w:pPr>
        <w:ind w:firstLine="720"/>
        <w:jc w:val="both"/>
        <w:rPr>
          <w:b/>
          <w:szCs w:val="24"/>
          <w:lang w:val="en-US"/>
        </w:rPr>
      </w:pPr>
    </w:p>
    <w:p w:rsidR="00153B78" w:rsidRPr="002923AB" w:rsidRDefault="0074141D" w:rsidP="002923AB">
      <w:pPr>
        <w:ind w:firstLine="720"/>
        <w:jc w:val="both"/>
        <w:rPr>
          <w:b/>
          <w:szCs w:val="24"/>
          <w:lang w:eastAsia="lt-LT"/>
        </w:rPr>
      </w:pPr>
      <w:r>
        <w:rPr>
          <w:b/>
          <w:szCs w:val="24"/>
          <w:lang w:val="en-US"/>
        </w:rPr>
        <w:t>2</w:t>
      </w:r>
      <w:r w:rsidR="00304A5C" w:rsidRPr="002923AB">
        <w:rPr>
          <w:b/>
          <w:szCs w:val="24"/>
          <w:lang w:val="en-US"/>
        </w:rPr>
        <w:t xml:space="preserve"> </w:t>
      </w:r>
      <w:r w:rsidR="00153B78" w:rsidRPr="002923AB">
        <w:rPr>
          <w:b/>
          <w:szCs w:val="24"/>
        </w:rPr>
        <w:t xml:space="preserve">straipsnis. </w:t>
      </w:r>
      <w:r w:rsidR="00153B78" w:rsidRPr="00F34CAD">
        <w:rPr>
          <w:b/>
          <w:szCs w:val="24"/>
        </w:rPr>
        <w:t>18</w:t>
      </w:r>
      <w:r w:rsidR="00F34CAD" w:rsidRPr="00F34CAD">
        <w:rPr>
          <w:b/>
          <w:bCs/>
          <w:szCs w:val="24"/>
          <w:vertAlign w:val="superscript"/>
        </w:rPr>
        <w:t>2</w:t>
      </w:r>
      <w:r w:rsidR="00153B78" w:rsidRPr="00F34CAD">
        <w:rPr>
          <w:b/>
          <w:szCs w:val="24"/>
        </w:rPr>
        <w:t xml:space="preserve"> </w:t>
      </w:r>
      <w:r w:rsidR="00153B78" w:rsidRPr="002923AB">
        <w:rPr>
          <w:b/>
          <w:szCs w:val="24"/>
        </w:rPr>
        <w:t>straipsnio pakeitimas</w:t>
      </w:r>
    </w:p>
    <w:p w:rsidR="00153B78" w:rsidRPr="002923AB" w:rsidRDefault="00153B78" w:rsidP="002923AB">
      <w:pPr>
        <w:ind w:left="1080" w:hanging="360"/>
        <w:jc w:val="both"/>
        <w:rPr>
          <w:szCs w:val="24"/>
          <w:lang w:eastAsia="lt-LT"/>
        </w:rPr>
      </w:pPr>
      <w:r w:rsidRPr="002923AB">
        <w:rPr>
          <w:szCs w:val="24"/>
        </w:rPr>
        <w:t xml:space="preserve">1. Pakeisti </w:t>
      </w:r>
      <w:r w:rsidR="002923AB" w:rsidRPr="002923AB">
        <w:rPr>
          <w:bCs/>
          <w:szCs w:val="24"/>
        </w:rPr>
        <w:t>18</w:t>
      </w:r>
      <w:r w:rsidR="002923AB" w:rsidRPr="002923AB">
        <w:rPr>
          <w:bCs/>
          <w:szCs w:val="24"/>
          <w:vertAlign w:val="superscript"/>
        </w:rPr>
        <w:t>2</w:t>
      </w:r>
      <w:r w:rsidR="002923AB" w:rsidRPr="002923AB">
        <w:rPr>
          <w:b/>
          <w:bCs/>
          <w:szCs w:val="24"/>
        </w:rPr>
        <w:t xml:space="preserve"> </w:t>
      </w:r>
      <w:r w:rsidRPr="002923AB">
        <w:rPr>
          <w:szCs w:val="24"/>
          <w:lang w:eastAsia="lt-LT"/>
        </w:rPr>
        <w:t>straipsn</w:t>
      </w:r>
      <w:r w:rsidR="00A524F2">
        <w:rPr>
          <w:szCs w:val="24"/>
          <w:lang w:eastAsia="lt-LT"/>
        </w:rPr>
        <w:t xml:space="preserve">io </w:t>
      </w:r>
      <w:r w:rsidR="00A524F2">
        <w:rPr>
          <w:szCs w:val="24"/>
          <w:lang w:val="en-US" w:eastAsia="lt-LT"/>
        </w:rPr>
        <w:t>2 da</w:t>
      </w:r>
      <w:r w:rsidR="00A524F2">
        <w:rPr>
          <w:szCs w:val="24"/>
          <w:lang w:eastAsia="lt-LT"/>
        </w:rPr>
        <w:t xml:space="preserve">lį </w:t>
      </w:r>
      <w:r w:rsidR="00304A5C" w:rsidRPr="002923AB">
        <w:rPr>
          <w:szCs w:val="24"/>
          <w:lang w:eastAsia="lt-LT"/>
        </w:rPr>
        <w:t xml:space="preserve">ir </w:t>
      </w:r>
      <w:r w:rsidRPr="002923AB">
        <w:rPr>
          <w:szCs w:val="24"/>
          <w:lang w:eastAsia="lt-LT"/>
        </w:rPr>
        <w:t>j</w:t>
      </w:r>
      <w:r w:rsidR="00A524F2">
        <w:rPr>
          <w:szCs w:val="24"/>
          <w:lang w:eastAsia="lt-LT"/>
        </w:rPr>
        <w:t>ą</w:t>
      </w:r>
      <w:r w:rsidRPr="002923AB">
        <w:rPr>
          <w:szCs w:val="24"/>
          <w:lang w:eastAsia="lt-LT"/>
        </w:rPr>
        <w:t xml:space="preserve"> išdėstyti taip:</w:t>
      </w:r>
    </w:p>
    <w:p w:rsidR="00165B6D" w:rsidRDefault="00A524F2" w:rsidP="002923AB">
      <w:pPr>
        <w:ind w:firstLine="709"/>
        <w:jc w:val="both"/>
        <w:rPr>
          <w:szCs w:val="24"/>
          <w:lang w:eastAsia="lt-LT"/>
        </w:rPr>
      </w:pPr>
      <w:r w:rsidRPr="007D1284">
        <w:rPr>
          <w:bCs/>
          <w:szCs w:val="24"/>
        </w:rPr>
        <w:t>„</w:t>
      </w:r>
      <w:r w:rsidR="00165B6D" w:rsidRPr="007D1284">
        <w:rPr>
          <w:szCs w:val="24"/>
          <w:lang w:eastAsia="lt-LT"/>
        </w:rPr>
        <w:t>2</w:t>
      </w:r>
      <w:r w:rsidR="00165B6D" w:rsidRPr="002923AB">
        <w:rPr>
          <w:szCs w:val="24"/>
          <w:lang w:eastAsia="lt-LT"/>
        </w:rPr>
        <w:t xml:space="preserve">. Apskaičiuojant nuo individualios veiklos pajamų mokėtiną pajamų mokestį, kai metinės apmokestinamosios individualios veiklos pajamos neviršija 20 000 eurų per metus, taikytinas pajamų mokesčio kreditas apskaičiuojamas pagal šią formulę: </w:t>
      </w:r>
    </w:p>
    <w:p w:rsidR="002923AB" w:rsidRPr="002923AB" w:rsidRDefault="002923AB" w:rsidP="002923AB">
      <w:pPr>
        <w:ind w:firstLine="709"/>
        <w:jc w:val="both"/>
        <w:rPr>
          <w:szCs w:val="24"/>
          <w:lang w:eastAsia="lt-LT"/>
        </w:rPr>
      </w:pPr>
    </w:p>
    <w:tbl>
      <w:tblPr>
        <w:tblW w:w="9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0"/>
      </w:tblGrid>
      <w:tr w:rsidR="00165B6D" w:rsidRPr="002923AB" w:rsidTr="002923AB">
        <w:trPr>
          <w:trHeight w:val="120"/>
        </w:trPr>
        <w:tc>
          <w:tcPr>
            <w:tcW w:w="9360" w:type="dxa"/>
            <w:tcMar>
              <w:top w:w="0" w:type="dxa"/>
              <w:left w:w="105" w:type="dxa"/>
              <w:bottom w:w="0" w:type="dxa"/>
              <w:right w:w="105" w:type="dxa"/>
            </w:tcMar>
            <w:hideMark/>
          </w:tcPr>
          <w:p w:rsidR="00165B6D" w:rsidRPr="002923AB" w:rsidRDefault="00165B6D" w:rsidP="002923AB">
            <w:pPr>
              <w:jc w:val="both"/>
              <w:rPr>
                <w:szCs w:val="24"/>
                <w:lang w:eastAsia="lt-LT"/>
              </w:rPr>
            </w:pPr>
            <w:r w:rsidRPr="002923AB">
              <w:rPr>
                <w:szCs w:val="24"/>
                <w:lang w:eastAsia="lt-LT"/>
              </w:rPr>
              <w:t>Pajamų mokesčio kreditas = metinės individualios veiklos apmokestinamosios pajamos x</w:t>
            </w:r>
            <w:r w:rsidRPr="002923AB">
              <w:rPr>
                <w:strike/>
                <w:szCs w:val="24"/>
                <w:lang w:eastAsia="lt-LT"/>
              </w:rPr>
              <w:t>0,1</w:t>
            </w:r>
            <w:r w:rsidRPr="002923AB">
              <w:rPr>
                <w:szCs w:val="24"/>
                <w:lang w:eastAsia="lt-LT"/>
              </w:rPr>
              <w:t xml:space="preserve"> </w:t>
            </w:r>
            <w:r w:rsidRPr="002923AB">
              <w:rPr>
                <w:b/>
                <w:szCs w:val="24"/>
                <w:lang w:eastAsia="lt-LT"/>
              </w:rPr>
              <w:t>0,15</w:t>
            </w:r>
            <w:r w:rsidRPr="002923AB">
              <w:rPr>
                <w:szCs w:val="24"/>
                <w:lang w:eastAsia="lt-LT"/>
              </w:rPr>
              <w:t>.</w:t>
            </w:r>
            <w:r w:rsidR="00A524F2">
              <w:rPr>
                <w:szCs w:val="24"/>
                <w:lang w:eastAsia="lt-LT"/>
              </w:rPr>
              <w:t>“</w:t>
            </w:r>
          </w:p>
        </w:tc>
      </w:tr>
    </w:tbl>
    <w:p w:rsidR="002923AB" w:rsidRDefault="002923AB" w:rsidP="002923AB">
      <w:pPr>
        <w:jc w:val="both"/>
        <w:rPr>
          <w:szCs w:val="24"/>
          <w:lang w:eastAsia="lt-LT"/>
        </w:rPr>
      </w:pPr>
    </w:p>
    <w:p w:rsidR="00A524F2" w:rsidRPr="00A524F2" w:rsidRDefault="00A524F2" w:rsidP="00A524F2">
      <w:pPr>
        <w:tabs>
          <w:tab w:val="left" w:pos="709"/>
        </w:tabs>
        <w:jc w:val="both"/>
        <w:rPr>
          <w:szCs w:val="24"/>
          <w:lang w:val="en-US" w:eastAsia="lt-LT"/>
        </w:rPr>
      </w:pPr>
      <w:r>
        <w:rPr>
          <w:szCs w:val="24"/>
          <w:lang w:val="en-US" w:eastAsia="lt-LT"/>
        </w:rPr>
        <w:tab/>
        <w:t xml:space="preserve">2.  </w:t>
      </w:r>
      <w:r w:rsidRPr="002923AB">
        <w:rPr>
          <w:szCs w:val="24"/>
        </w:rPr>
        <w:t xml:space="preserve">Pakeisti </w:t>
      </w:r>
      <w:r w:rsidRPr="002923AB">
        <w:rPr>
          <w:bCs/>
          <w:szCs w:val="24"/>
        </w:rPr>
        <w:t>18</w:t>
      </w:r>
      <w:r w:rsidRPr="002923AB">
        <w:rPr>
          <w:bCs/>
          <w:szCs w:val="24"/>
          <w:vertAlign w:val="superscript"/>
        </w:rPr>
        <w:t>2</w:t>
      </w:r>
      <w:r w:rsidRPr="002923AB">
        <w:rPr>
          <w:szCs w:val="24"/>
          <w:lang w:eastAsia="lt-LT"/>
        </w:rPr>
        <w:t xml:space="preserve"> straipsn</w:t>
      </w:r>
      <w:r>
        <w:rPr>
          <w:szCs w:val="24"/>
          <w:lang w:eastAsia="lt-LT"/>
        </w:rPr>
        <w:t xml:space="preserve">io </w:t>
      </w:r>
      <w:r>
        <w:rPr>
          <w:szCs w:val="24"/>
          <w:lang w:val="en-US" w:eastAsia="lt-LT"/>
        </w:rPr>
        <w:t>3 da</w:t>
      </w:r>
      <w:r>
        <w:rPr>
          <w:szCs w:val="24"/>
          <w:lang w:eastAsia="lt-LT"/>
        </w:rPr>
        <w:t xml:space="preserve">lį </w:t>
      </w:r>
      <w:r w:rsidRPr="002923AB">
        <w:rPr>
          <w:szCs w:val="24"/>
          <w:lang w:eastAsia="lt-LT"/>
        </w:rPr>
        <w:t>ir j</w:t>
      </w:r>
      <w:r>
        <w:rPr>
          <w:szCs w:val="24"/>
          <w:lang w:eastAsia="lt-LT"/>
        </w:rPr>
        <w:t>ą</w:t>
      </w:r>
      <w:r w:rsidRPr="002923AB">
        <w:rPr>
          <w:szCs w:val="24"/>
          <w:lang w:eastAsia="lt-LT"/>
        </w:rPr>
        <w:t xml:space="preserve"> išdėstyti taip:</w:t>
      </w:r>
    </w:p>
    <w:p w:rsidR="00165B6D" w:rsidRDefault="00A524F2" w:rsidP="002923AB">
      <w:pPr>
        <w:ind w:firstLine="709"/>
        <w:jc w:val="both"/>
        <w:rPr>
          <w:szCs w:val="24"/>
          <w:lang w:eastAsia="lt-LT"/>
        </w:rPr>
      </w:pPr>
      <w:r>
        <w:rPr>
          <w:szCs w:val="24"/>
          <w:lang w:eastAsia="lt-LT"/>
        </w:rPr>
        <w:t>„</w:t>
      </w:r>
      <w:r w:rsidR="00165B6D" w:rsidRPr="002923AB">
        <w:rPr>
          <w:szCs w:val="24"/>
          <w:lang w:eastAsia="lt-LT"/>
        </w:rPr>
        <w:t xml:space="preserve">3. Apskaičiuojant nuo individualios veiklos pajamų mokėtiną pajamų mokestį, kai metinės apmokestinamosios individualios veiklos pajamos yra didesnės negu 20 000 eurų per metus, taikytinas pajamų mokesčio kreditas apskaičiuojamas pagal šią formulę: </w:t>
      </w:r>
    </w:p>
    <w:p w:rsidR="002923AB" w:rsidRPr="002923AB" w:rsidRDefault="002923AB" w:rsidP="002923AB">
      <w:pPr>
        <w:ind w:firstLine="709"/>
        <w:jc w:val="both"/>
        <w:rPr>
          <w:szCs w:val="24"/>
          <w:lang w:eastAsia="lt-LT"/>
        </w:rPr>
      </w:pPr>
    </w:p>
    <w:tbl>
      <w:tblPr>
        <w:tblW w:w="9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0"/>
      </w:tblGrid>
      <w:tr w:rsidR="00165B6D" w:rsidRPr="002923AB" w:rsidTr="002923AB">
        <w:trPr>
          <w:trHeight w:val="120"/>
        </w:trPr>
        <w:tc>
          <w:tcPr>
            <w:tcW w:w="9360" w:type="dxa"/>
            <w:tcMar>
              <w:top w:w="0" w:type="dxa"/>
              <w:left w:w="105" w:type="dxa"/>
              <w:bottom w:w="0" w:type="dxa"/>
              <w:right w:w="105" w:type="dxa"/>
            </w:tcMar>
            <w:hideMark/>
          </w:tcPr>
          <w:p w:rsidR="00165B6D" w:rsidRPr="002923AB" w:rsidRDefault="00165B6D" w:rsidP="002923AB">
            <w:pPr>
              <w:jc w:val="both"/>
              <w:rPr>
                <w:szCs w:val="24"/>
                <w:lang w:eastAsia="lt-LT"/>
              </w:rPr>
            </w:pPr>
            <w:r w:rsidRPr="002923AB">
              <w:rPr>
                <w:szCs w:val="24"/>
                <w:lang w:eastAsia="lt-LT"/>
              </w:rPr>
              <w:t xml:space="preserve">Pajamų mokesčio kreditas = metinės individualios veiklos apmokestinamosios pajamos </w:t>
            </w:r>
            <w:r w:rsidRPr="002923AB">
              <w:rPr>
                <w:szCs w:val="24"/>
                <w:lang w:eastAsia="lt-LT"/>
              </w:rPr>
              <w:br/>
              <w:t>x (</w:t>
            </w:r>
            <w:r w:rsidRPr="002923AB">
              <w:rPr>
                <w:strike/>
                <w:szCs w:val="24"/>
                <w:lang w:eastAsia="lt-LT"/>
              </w:rPr>
              <w:t>0,1</w:t>
            </w:r>
            <w:r w:rsidRPr="002923AB">
              <w:rPr>
                <w:b/>
                <w:szCs w:val="24"/>
                <w:lang w:eastAsia="lt-LT"/>
              </w:rPr>
              <w:t>0,15</w:t>
            </w:r>
            <w:r w:rsidRPr="002923AB">
              <w:rPr>
                <w:szCs w:val="24"/>
                <w:lang w:eastAsia="lt-LT"/>
              </w:rPr>
              <w:t>–</w:t>
            </w:r>
            <w:r w:rsidRPr="002923AB">
              <w:rPr>
                <w:strike/>
                <w:szCs w:val="24"/>
                <w:lang w:eastAsia="lt-LT"/>
              </w:rPr>
              <w:t>2</w:t>
            </w:r>
            <w:r w:rsidRPr="002923AB">
              <w:rPr>
                <w:b/>
                <w:szCs w:val="24"/>
                <w:lang w:eastAsia="lt-LT"/>
              </w:rPr>
              <w:t>1,8</w:t>
            </w:r>
            <w:r w:rsidRPr="002923AB">
              <w:rPr>
                <w:szCs w:val="24"/>
                <w:lang w:eastAsia="lt-LT"/>
              </w:rPr>
              <w:t>/300 000 x (metinės individualios veiklos apmokestinamosios pajamos – 20 000)).</w:t>
            </w:r>
            <w:r w:rsidR="00A524F2">
              <w:rPr>
                <w:szCs w:val="24"/>
                <w:lang w:eastAsia="lt-LT"/>
              </w:rPr>
              <w:t>“</w:t>
            </w:r>
          </w:p>
        </w:tc>
      </w:tr>
    </w:tbl>
    <w:p w:rsidR="00A05A70" w:rsidRPr="002923AB" w:rsidRDefault="00A05A70" w:rsidP="0059699A">
      <w:pPr>
        <w:ind w:right="-51"/>
        <w:jc w:val="both"/>
        <w:rPr>
          <w:szCs w:val="24"/>
        </w:rPr>
      </w:pPr>
      <w:r>
        <w:rPr>
          <w:szCs w:val="24"/>
        </w:rPr>
        <w:tab/>
      </w:r>
    </w:p>
    <w:p w:rsidR="00FE6DDD" w:rsidRDefault="00FE6DDD" w:rsidP="00FE6DDD">
      <w:pPr>
        <w:ind w:firstLine="720"/>
        <w:jc w:val="both"/>
        <w:rPr>
          <w:b/>
          <w:szCs w:val="24"/>
        </w:rPr>
      </w:pPr>
    </w:p>
    <w:p w:rsidR="00FE6DDD" w:rsidRPr="00A81C8E" w:rsidRDefault="0074141D" w:rsidP="00FE6DDD">
      <w:pPr>
        <w:ind w:firstLine="720"/>
        <w:jc w:val="both"/>
        <w:rPr>
          <w:b/>
          <w:szCs w:val="24"/>
        </w:rPr>
      </w:pPr>
      <w:r>
        <w:rPr>
          <w:b/>
          <w:szCs w:val="24"/>
        </w:rPr>
        <w:t>3</w:t>
      </w:r>
      <w:r w:rsidR="00FE6DDD" w:rsidRPr="00A81C8E">
        <w:rPr>
          <w:b/>
          <w:szCs w:val="24"/>
        </w:rPr>
        <w:t xml:space="preserve"> straipsnis. </w:t>
      </w:r>
      <w:r w:rsidR="00152CDD">
        <w:rPr>
          <w:b/>
          <w:szCs w:val="24"/>
        </w:rPr>
        <w:t>27</w:t>
      </w:r>
      <w:r w:rsidR="00FE6DDD" w:rsidRPr="00A81C8E">
        <w:rPr>
          <w:b/>
          <w:szCs w:val="24"/>
        </w:rPr>
        <w:t xml:space="preserve"> straipsnio pakeitimas</w:t>
      </w:r>
    </w:p>
    <w:p w:rsidR="00152CDD" w:rsidRPr="004F00D8" w:rsidRDefault="00903386" w:rsidP="00903386">
      <w:pPr>
        <w:ind w:firstLine="720"/>
        <w:jc w:val="both"/>
        <w:rPr>
          <w:szCs w:val="24"/>
        </w:rPr>
      </w:pPr>
      <w:r w:rsidRPr="004F00D8">
        <w:rPr>
          <w:szCs w:val="24"/>
        </w:rPr>
        <w:t xml:space="preserve">1. </w:t>
      </w:r>
      <w:r w:rsidR="00152CDD" w:rsidRPr="004F00D8">
        <w:rPr>
          <w:szCs w:val="24"/>
        </w:rPr>
        <w:t>27 straipsnio 2 dalies 2 punkte vietoj žodžių „6 straipsnio 1</w:t>
      </w:r>
      <w:r w:rsidR="00152CDD" w:rsidRPr="004F00D8">
        <w:rPr>
          <w:bCs/>
          <w:szCs w:val="24"/>
          <w:vertAlign w:val="superscript"/>
        </w:rPr>
        <w:t>1</w:t>
      </w:r>
      <w:r w:rsidR="00152CDD" w:rsidRPr="004F00D8">
        <w:rPr>
          <w:szCs w:val="24"/>
        </w:rPr>
        <w:t> ir 1</w:t>
      </w:r>
      <w:r w:rsidR="00152CDD" w:rsidRPr="004F00D8">
        <w:rPr>
          <w:bCs/>
          <w:szCs w:val="24"/>
          <w:vertAlign w:val="superscript"/>
        </w:rPr>
        <w:t>2</w:t>
      </w:r>
      <w:r w:rsidR="00152CDD" w:rsidRPr="004F00D8">
        <w:rPr>
          <w:szCs w:val="24"/>
        </w:rPr>
        <w:t> dalių“ įrašyti žodžius „</w:t>
      </w:r>
      <w:r w:rsidR="0074141D" w:rsidRPr="004F00D8">
        <w:rPr>
          <w:szCs w:val="24"/>
        </w:rPr>
        <w:t>6 straipsnio 1</w:t>
      </w:r>
      <w:r w:rsidR="0074141D" w:rsidRPr="004F00D8">
        <w:rPr>
          <w:bCs/>
          <w:szCs w:val="24"/>
          <w:vertAlign w:val="superscript"/>
        </w:rPr>
        <w:t>1</w:t>
      </w:r>
      <w:r w:rsidR="0074141D" w:rsidRPr="004F00D8">
        <w:rPr>
          <w:szCs w:val="24"/>
        </w:rPr>
        <w:t> ir 2 dalių</w:t>
      </w:r>
      <w:r w:rsidR="00152CDD" w:rsidRPr="004F00D8">
        <w:rPr>
          <w:szCs w:val="24"/>
        </w:rPr>
        <w:t>“</w:t>
      </w:r>
      <w:r w:rsidRPr="004F00D8">
        <w:rPr>
          <w:szCs w:val="24"/>
        </w:rPr>
        <w:t xml:space="preserve"> ir 27 </w:t>
      </w:r>
      <w:r w:rsidR="004F00D8" w:rsidRPr="004F00D8">
        <w:rPr>
          <w:szCs w:val="24"/>
        </w:rPr>
        <w:t>straipsnio</w:t>
      </w:r>
      <w:r w:rsidRPr="004F00D8">
        <w:rPr>
          <w:szCs w:val="24"/>
        </w:rPr>
        <w:t xml:space="preserve"> 2 dalies 2 punktą išdėstyti taip:</w:t>
      </w:r>
    </w:p>
    <w:p w:rsidR="00903386" w:rsidRPr="004F00D8" w:rsidRDefault="00903386" w:rsidP="00903386">
      <w:pPr>
        <w:ind w:firstLine="720"/>
        <w:jc w:val="both"/>
        <w:rPr>
          <w:szCs w:val="24"/>
        </w:rPr>
      </w:pPr>
      <w:r w:rsidRPr="004F00D8">
        <w:rPr>
          <w:szCs w:val="24"/>
        </w:rPr>
        <w:t>“</w:t>
      </w:r>
      <w:r w:rsidRPr="004F00D8">
        <w:rPr>
          <w:color w:val="000000"/>
          <w:szCs w:val="24"/>
        </w:rPr>
        <w:t>2) per atitinkamą mokestinį laikotarpį gavo tik A klasei priskiriamų su darbo santykiais arba jų esmę atitinkančiais santykiais susijusių pajamų, kuriam neatsiranda pareiga perskaičiuoti mokėtiną pajamų mokestį atsižvelgiant į šio Įstatymo 6 straipsnio 1</w:t>
      </w:r>
      <w:r w:rsidRPr="004F00D8">
        <w:rPr>
          <w:color w:val="000000"/>
          <w:szCs w:val="24"/>
          <w:vertAlign w:val="superscript"/>
        </w:rPr>
        <w:t>1</w:t>
      </w:r>
      <w:r w:rsidRPr="004F00D8">
        <w:rPr>
          <w:color w:val="000000"/>
          <w:szCs w:val="24"/>
        </w:rPr>
        <w:t xml:space="preserve"> ir </w:t>
      </w:r>
      <w:r w:rsidRPr="004F00D8">
        <w:rPr>
          <w:strike/>
          <w:color w:val="000000"/>
          <w:szCs w:val="24"/>
        </w:rPr>
        <w:t>1</w:t>
      </w:r>
      <w:r w:rsidRPr="004F00D8">
        <w:rPr>
          <w:strike/>
          <w:color w:val="000000"/>
          <w:szCs w:val="24"/>
          <w:vertAlign w:val="superscript"/>
        </w:rPr>
        <w:t>2</w:t>
      </w:r>
      <w:r w:rsidRPr="004F00D8">
        <w:rPr>
          <w:color w:val="000000"/>
          <w:szCs w:val="24"/>
        </w:rPr>
        <w:t> </w:t>
      </w:r>
      <w:r w:rsidR="004F00D8" w:rsidRPr="004F00D8">
        <w:rPr>
          <w:b/>
          <w:color w:val="000000"/>
          <w:szCs w:val="24"/>
        </w:rPr>
        <w:t>2</w:t>
      </w:r>
      <w:r w:rsidR="004F00D8">
        <w:rPr>
          <w:color w:val="000000"/>
          <w:szCs w:val="24"/>
        </w:rPr>
        <w:t xml:space="preserve"> </w:t>
      </w:r>
      <w:r w:rsidRPr="004F00D8">
        <w:rPr>
          <w:color w:val="000000"/>
          <w:szCs w:val="24"/>
        </w:rPr>
        <w:t>dalių nuostatas ir kuriam pritaikytas NPD neturi būti perskaičiuotas šio Įstatymo 20 straipsnyje nustatyta tvarka. Toks gyventojas turi teisę neteikti metinės pajamų mokesčio deklaracijos ir tais atvejais, kai gauna šio punkto pirmajame sakinyje nenurodytų pajamų, jeigu šios pajamos įtrauktos į centrinio mokesčio administratoriaus nustatytą neapmokestinamųjų pajamų, kurių gavus deklaracija gali būti neteikiama, sąrašą.“</w:t>
      </w:r>
    </w:p>
    <w:p w:rsidR="004F00D8" w:rsidRDefault="00152CDD" w:rsidP="004F00D8">
      <w:pPr>
        <w:ind w:firstLine="720"/>
        <w:jc w:val="both"/>
        <w:rPr>
          <w:szCs w:val="24"/>
        </w:rPr>
      </w:pPr>
      <w:r w:rsidRPr="004F00D8">
        <w:rPr>
          <w:szCs w:val="24"/>
        </w:rPr>
        <w:t>2. 27 straipsnio 9 dalies 2 punkte vietoj</w:t>
      </w:r>
      <w:bookmarkStart w:id="0" w:name="_GoBack"/>
      <w:bookmarkEnd w:id="0"/>
      <w:r w:rsidRPr="004F00D8">
        <w:rPr>
          <w:szCs w:val="24"/>
        </w:rPr>
        <w:t xml:space="preserve"> žodžių „6 straipsnio 1</w:t>
      </w:r>
      <w:r w:rsidRPr="004F00D8">
        <w:rPr>
          <w:szCs w:val="24"/>
          <w:vertAlign w:val="superscript"/>
        </w:rPr>
        <w:t>1</w:t>
      </w:r>
      <w:r w:rsidRPr="004F00D8">
        <w:rPr>
          <w:szCs w:val="24"/>
        </w:rPr>
        <w:t> ir 1</w:t>
      </w:r>
      <w:r w:rsidRPr="004F00D8">
        <w:rPr>
          <w:szCs w:val="24"/>
          <w:vertAlign w:val="superscript"/>
        </w:rPr>
        <w:t>2</w:t>
      </w:r>
      <w:r w:rsidRPr="004F00D8">
        <w:rPr>
          <w:szCs w:val="24"/>
        </w:rPr>
        <w:t> dalių“ įrašyti žodžius „</w:t>
      </w:r>
      <w:r w:rsidR="0074141D" w:rsidRPr="004F00D8">
        <w:rPr>
          <w:szCs w:val="24"/>
        </w:rPr>
        <w:t>6 straipsnio 1</w:t>
      </w:r>
      <w:r w:rsidR="0074141D" w:rsidRPr="004F00D8">
        <w:rPr>
          <w:bCs/>
          <w:szCs w:val="24"/>
          <w:vertAlign w:val="superscript"/>
        </w:rPr>
        <w:t>1</w:t>
      </w:r>
      <w:r w:rsidR="0074141D" w:rsidRPr="004F00D8">
        <w:rPr>
          <w:szCs w:val="24"/>
        </w:rPr>
        <w:t> ir 2 dalių</w:t>
      </w:r>
      <w:r w:rsidRPr="004F00D8">
        <w:rPr>
          <w:szCs w:val="24"/>
        </w:rPr>
        <w:t>“</w:t>
      </w:r>
      <w:r w:rsidR="004F00D8">
        <w:rPr>
          <w:szCs w:val="24"/>
        </w:rPr>
        <w:t xml:space="preserve"> ir </w:t>
      </w:r>
      <w:r w:rsidR="004F00D8" w:rsidRPr="004F00D8">
        <w:rPr>
          <w:szCs w:val="24"/>
        </w:rPr>
        <w:t xml:space="preserve">27 straipsnio </w:t>
      </w:r>
      <w:r w:rsidR="004F00D8">
        <w:rPr>
          <w:szCs w:val="24"/>
        </w:rPr>
        <w:t>9</w:t>
      </w:r>
      <w:r w:rsidR="004F00D8" w:rsidRPr="004F00D8">
        <w:rPr>
          <w:szCs w:val="24"/>
        </w:rPr>
        <w:t xml:space="preserve"> dalies 2 punktą išdėstyti taip:</w:t>
      </w:r>
    </w:p>
    <w:p w:rsidR="004F00D8" w:rsidRPr="004F00D8" w:rsidRDefault="004F00D8" w:rsidP="004F00D8">
      <w:pPr>
        <w:ind w:firstLine="720"/>
        <w:jc w:val="both"/>
        <w:rPr>
          <w:szCs w:val="24"/>
        </w:rPr>
      </w:pPr>
      <w:r>
        <w:rPr>
          <w:szCs w:val="24"/>
        </w:rPr>
        <w:t>„</w:t>
      </w:r>
      <w:r w:rsidRPr="004F00D8">
        <w:rPr>
          <w:color w:val="000000"/>
          <w:szCs w:val="24"/>
        </w:rPr>
        <w:t>2) jam atsiranda pareiga perskaičiuoti mokėtiną pajamų mokestį atsižvelgiant į šio Įstatymo 6 straipsnio 1</w:t>
      </w:r>
      <w:r w:rsidRPr="004F00D8">
        <w:rPr>
          <w:color w:val="000000"/>
          <w:szCs w:val="24"/>
          <w:vertAlign w:val="superscript"/>
        </w:rPr>
        <w:t>1</w:t>
      </w:r>
      <w:r w:rsidRPr="004F00D8">
        <w:rPr>
          <w:color w:val="000000"/>
          <w:szCs w:val="24"/>
        </w:rPr>
        <w:t> ir </w:t>
      </w:r>
      <w:r w:rsidRPr="004F00D8">
        <w:rPr>
          <w:strike/>
          <w:color w:val="000000"/>
          <w:szCs w:val="24"/>
        </w:rPr>
        <w:t>1</w:t>
      </w:r>
      <w:r w:rsidRPr="004F00D8">
        <w:rPr>
          <w:strike/>
          <w:color w:val="000000"/>
          <w:szCs w:val="24"/>
          <w:vertAlign w:val="superscript"/>
        </w:rPr>
        <w:t>2</w:t>
      </w:r>
      <w:r w:rsidRPr="004F00D8">
        <w:rPr>
          <w:color w:val="000000"/>
          <w:szCs w:val="24"/>
        </w:rPr>
        <w:t> </w:t>
      </w:r>
      <w:r w:rsidRPr="004F00D8">
        <w:rPr>
          <w:b/>
          <w:color w:val="000000"/>
          <w:szCs w:val="24"/>
        </w:rPr>
        <w:t>2</w:t>
      </w:r>
      <w:r>
        <w:rPr>
          <w:color w:val="000000"/>
          <w:szCs w:val="24"/>
        </w:rPr>
        <w:t xml:space="preserve"> </w:t>
      </w:r>
      <w:r w:rsidRPr="004F00D8">
        <w:rPr>
          <w:color w:val="000000"/>
          <w:szCs w:val="24"/>
        </w:rPr>
        <w:t>dalių nuostatas.</w:t>
      </w:r>
      <w:r>
        <w:rPr>
          <w:color w:val="000000"/>
          <w:szCs w:val="24"/>
        </w:rPr>
        <w:t>“</w:t>
      </w:r>
    </w:p>
    <w:p w:rsidR="00FE6DDD" w:rsidRDefault="00FE6DDD" w:rsidP="004F00D8">
      <w:pPr>
        <w:jc w:val="both"/>
        <w:rPr>
          <w:b/>
          <w:szCs w:val="24"/>
        </w:rPr>
      </w:pPr>
    </w:p>
    <w:p w:rsidR="00453C86" w:rsidRPr="002923AB" w:rsidRDefault="0074141D" w:rsidP="002923AB">
      <w:pPr>
        <w:ind w:firstLine="720"/>
        <w:jc w:val="both"/>
        <w:rPr>
          <w:szCs w:val="24"/>
        </w:rPr>
      </w:pPr>
      <w:r>
        <w:rPr>
          <w:b/>
          <w:szCs w:val="24"/>
        </w:rPr>
        <w:t>4</w:t>
      </w:r>
      <w:r w:rsidR="009341E5" w:rsidRPr="002923AB">
        <w:rPr>
          <w:b/>
          <w:szCs w:val="24"/>
        </w:rPr>
        <w:t xml:space="preserve"> straipsnis. Įstatymo įsigaliojimas, įgyvendinimas ir taikymas </w:t>
      </w:r>
    </w:p>
    <w:p w:rsidR="00453C86" w:rsidRPr="002923AB" w:rsidRDefault="009341E5" w:rsidP="00B47409">
      <w:pPr>
        <w:ind w:firstLine="720"/>
        <w:jc w:val="both"/>
        <w:rPr>
          <w:szCs w:val="24"/>
        </w:rPr>
      </w:pPr>
      <w:r w:rsidRPr="002923AB">
        <w:rPr>
          <w:szCs w:val="24"/>
        </w:rPr>
        <w:t>1. Šis įstatymas įsigalioja 20</w:t>
      </w:r>
      <w:r w:rsidR="00304A5C" w:rsidRPr="002923AB">
        <w:rPr>
          <w:szCs w:val="24"/>
        </w:rPr>
        <w:t xml:space="preserve">20 </w:t>
      </w:r>
      <w:r w:rsidRPr="002923AB">
        <w:rPr>
          <w:szCs w:val="24"/>
        </w:rPr>
        <w:t xml:space="preserve">m. sausio 1 d. </w:t>
      </w:r>
    </w:p>
    <w:p w:rsidR="00453C86" w:rsidRDefault="00B47409" w:rsidP="002923AB">
      <w:pPr>
        <w:ind w:firstLine="720"/>
        <w:jc w:val="both"/>
        <w:rPr>
          <w:szCs w:val="24"/>
        </w:rPr>
      </w:pPr>
      <w:r>
        <w:rPr>
          <w:szCs w:val="24"/>
        </w:rPr>
        <w:t>2</w:t>
      </w:r>
      <w:r w:rsidR="009341E5" w:rsidRPr="002923AB">
        <w:rPr>
          <w:szCs w:val="24"/>
        </w:rPr>
        <w:t>. Centrinis mokesčių administratorius iki 20</w:t>
      </w:r>
      <w:r w:rsidR="00304A5C" w:rsidRPr="002923AB">
        <w:rPr>
          <w:szCs w:val="24"/>
        </w:rPr>
        <w:t>19</w:t>
      </w:r>
      <w:r w:rsidR="009341E5" w:rsidRPr="002923AB">
        <w:rPr>
          <w:szCs w:val="24"/>
        </w:rPr>
        <w:t xml:space="preserve"> m. gruodžio 31 d. priima šio įstatymo įgyvendinamuosius teisės aktus.</w:t>
      </w:r>
    </w:p>
    <w:p w:rsidR="00D24CD8" w:rsidRPr="002923AB" w:rsidRDefault="00D24CD8" w:rsidP="002923AB">
      <w:pPr>
        <w:ind w:firstLine="720"/>
        <w:jc w:val="both"/>
        <w:rPr>
          <w:szCs w:val="24"/>
        </w:rPr>
      </w:pPr>
      <w:r>
        <w:rPr>
          <w:color w:val="000000"/>
        </w:rPr>
        <w:t xml:space="preserve">3. Šio </w:t>
      </w:r>
      <w:r w:rsidR="00D1709E">
        <w:rPr>
          <w:color w:val="000000"/>
        </w:rPr>
        <w:t>įstatymo</w:t>
      </w:r>
      <w:r>
        <w:rPr>
          <w:color w:val="000000"/>
        </w:rPr>
        <w:t xml:space="preserve"> nuostatos taikomos apskaičiuojant ir deklaruojant 20</w:t>
      </w:r>
      <w:r>
        <w:rPr>
          <w:color w:val="000000"/>
          <w:lang w:val="en-US"/>
        </w:rPr>
        <w:t>20</w:t>
      </w:r>
      <w:r>
        <w:rPr>
          <w:color w:val="000000"/>
        </w:rPr>
        <w:t xml:space="preserve"> metų</w:t>
      </w:r>
      <w:r w:rsidR="00B0772A">
        <w:rPr>
          <w:color w:val="000000"/>
        </w:rPr>
        <w:t xml:space="preserve"> ir vėlesnių mokestinių laikotarpių pajamas</w:t>
      </w:r>
      <w:r>
        <w:rPr>
          <w:color w:val="000000"/>
        </w:rPr>
        <w:t>.</w:t>
      </w:r>
    </w:p>
    <w:p w:rsidR="00A524F2" w:rsidRDefault="00A524F2" w:rsidP="00584A04">
      <w:pPr>
        <w:jc w:val="both"/>
        <w:rPr>
          <w:i/>
          <w:szCs w:val="24"/>
        </w:rPr>
      </w:pPr>
    </w:p>
    <w:p w:rsidR="00453C86" w:rsidRPr="002923AB" w:rsidRDefault="009341E5" w:rsidP="002923AB">
      <w:pPr>
        <w:ind w:firstLine="720"/>
        <w:jc w:val="both"/>
        <w:rPr>
          <w:i/>
          <w:szCs w:val="24"/>
        </w:rPr>
      </w:pPr>
      <w:r w:rsidRPr="002923AB">
        <w:rPr>
          <w:i/>
          <w:szCs w:val="24"/>
        </w:rPr>
        <w:t>Skelbiu šį Lietuvos Respublikos Seimo priimtą įstatymą.</w:t>
      </w:r>
    </w:p>
    <w:p w:rsidR="00A524F2" w:rsidRDefault="00A524F2" w:rsidP="002923AB">
      <w:pPr>
        <w:jc w:val="both"/>
        <w:rPr>
          <w:szCs w:val="24"/>
        </w:rPr>
      </w:pPr>
    </w:p>
    <w:p w:rsidR="00453C86" w:rsidRPr="002923AB" w:rsidRDefault="009341E5" w:rsidP="00A81C8E">
      <w:pPr>
        <w:ind w:firstLine="720"/>
        <w:jc w:val="both"/>
        <w:rPr>
          <w:szCs w:val="24"/>
        </w:rPr>
      </w:pPr>
      <w:r w:rsidRPr="002923AB">
        <w:rPr>
          <w:szCs w:val="24"/>
        </w:rPr>
        <w:t>Respublikos Prezidentas</w:t>
      </w:r>
    </w:p>
    <w:sectPr w:rsidR="00453C86" w:rsidRPr="002923AB">
      <w:headerReference w:type="even" r:id="rId7"/>
      <w:headerReference w:type="default" r:id="rId8"/>
      <w:footerReference w:type="even" r:id="rId9"/>
      <w:footerReference w:type="default" r:id="rId10"/>
      <w:headerReference w:type="first" r:id="rId11"/>
      <w:footerReference w:type="first" r:id="rId12"/>
      <w:pgSz w:w="11907" w:h="16840" w:code="9"/>
      <w:pgMar w:top="1560" w:right="567" w:bottom="1134" w:left="1701"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FF" w:rsidRDefault="00C643FF">
      <w:pPr>
        <w:rPr>
          <w:sz w:val="22"/>
          <w:szCs w:val="22"/>
        </w:rPr>
      </w:pPr>
      <w:r>
        <w:rPr>
          <w:sz w:val="22"/>
          <w:szCs w:val="22"/>
        </w:rPr>
        <w:separator/>
      </w:r>
    </w:p>
  </w:endnote>
  <w:endnote w:type="continuationSeparator" w:id="0">
    <w:p w:rsidR="00C643FF" w:rsidRDefault="00C643F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9341E5">
    <w:pPr>
      <w:framePr w:wrap="auto" w:vAnchor="text" w:hAnchor="margin" w:xAlign="center" w:y="1"/>
      <w:tabs>
        <w:tab w:val="center" w:pos="4320"/>
        <w:tab w:val="right" w:pos="8640"/>
      </w:tabs>
      <w:spacing w:after="160" w:line="360" w:lineRule="auto"/>
      <w:ind w:firstLine="720"/>
      <w:jc w:val="both"/>
      <w:rPr>
        <w:rFonts w:ascii="TimesLT" w:hAnsi="TimesLT"/>
        <w:sz w:val="22"/>
        <w:szCs w:val="22"/>
      </w:rPr>
    </w:pPr>
    <w:r>
      <w:rPr>
        <w:rFonts w:ascii="TimesLT" w:hAnsi="TimesLT"/>
        <w:sz w:val="22"/>
        <w:szCs w:val="22"/>
      </w:rPr>
      <w:fldChar w:fldCharType="begin"/>
    </w:r>
    <w:r>
      <w:rPr>
        <w:rFonts w:ascii="TimesLT" w:hAnsi="TimesLT"/>
        <w:sz w:val="22"/>
        <w:szCs w:val="22"/>
      </w:rPr>
      <w:instrText xml:space="preserve">PAGE  </w:instrText>
    </w:r>
    <w:r>
      <w:rPr>
        <w:rFonts w:ascii="TimesLT" w:hAnsi="TimesLT"/>
        <w:sz w:val="22"/>
        <w:szCs w:val="22"/>
      </w:rPr>
      <w:fldChar w:fldCharType="end"/>
    </w:r>
  </w:p>
  <w:p w:rsidR="00453C86" w:rsidRDefault="00453C86">
    <w:pPr>
      <w:tabs>
        <w:tab w:val="center" w:pos="4320"/>
        <w:tab w:val="right" w:pos="8640"/>
      </w:tabs>
      <w:spacing w:after="160" w:line="360" w:lineRule="auto"/>
      <w:ind w:firstLine="720"/>
      <w:jc w:val="both"/>
      <w:rPr>
        <w:rFonts w:ascii="TimesLT" w:hAnsi="TimesLT"/>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453C86">
    <w:pPr>
      <w:framePr w:wrap="auto" w:vAnchor="text" w:hAnchor="margin" w:xAlign="center" w:y="1"/>
      <w:tabs>
        <w:tab w:val="center" w:pos="4320"/>
        <w:tab w:val="right" w:pos="8640"/>
      </w:tabs>
      <w:spacing w:after="160" w:line="360" w:lineRule="auto"/>
      <w:ind w:firstLine="720"/>
      <w:jc w:val="both"/>
      <w:rPr>
        <w:sz w:val="20"/>
        <w:szCs w:val="22"/>
      </w:rPr>
    </w:pPr>
  </w:p>
  <w:p w:rsidR="00453C86" w:rsidRDefault="00453C86">
    <w:pPr>
      <w:tabs>
        <w:tab w:val="center" w:pos="4320"/>
        <w:tab w:val="right" w:pos="8640"/>
      </w:tabs>
      <w:spacing w:after="160" w:line="360" w:lineRule="auto"/>
      <w:ind w:firstLine="720"/>
      <w:jc w:val="both"/>
      <w:rPr>
        <w:rFonts w:ascii="TimesLT" w:hAnsi="TimesLT"/>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453C86">
    <w:pPr>
      <w:tabs>
        <w:tab w:val="center" w:pos="4320"/>
        <w:tab w:val="right" w:pos="8640"/>
      </w:tabs>
      <w:spacing w:after="160" w:line="360" w:lineRule="auto"/>
      <w:ind w:firstLine="720"/>
      <w:jc w:val="both"/>
      <w:rPr>
        <w:rFonts w:ascii="TimesLT" w:hAnsi="TimesL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FF" w:rsidRDefault="00C643FF">
      <w:pPr>
        <w:rPr>
          <w:sz w:val="22"/>
          <w:szCs w:val="22"/>
        </w:rPr>
      </w:pPr>
      <w:r>
        <w:rPr>
          <w:sz w:val="22"/>
          <w:szCs w:val="22"/>
        </w:rPr>
        <w:separator/>
      </w:r>
    </w:p>
  </w:footnote>
  <w:footnote w:type="continuationSeparator" w:id="0">
    <w:p w:rsidR="00C643FF" w:rsidRDefault="00C643FF">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453C86">
    <w:pPr>
      <w:tabs>
        <w:tab w:val="center" w:pos="4819"/>
        <w:tab w:val="right" w:pos="9638"/>
      </w:tabs>
      <w:spacing w:after="160" w:line="259" w:lineRule="auto"/>
      <w:rPr>
        <w:rFonts w:ascii="TimesLT" w:hAnsi="TimesL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9341E5">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6</w:t>
    </w:r>
    <w:r>
      <w:rPr>
        <w:sz w:val="22"/>
        <w:szCs w:val="22"/>
      </w:rPr>
      <w:fldChar w:fldCharType="end"/>
    </w:r>
  </w:p>
  <w:p w:rsidR="00453C86" w:rsidRDefault="00453C86">
    <w:pPr>
      <w:tabs>
        <w:tab w:val="center" w:pos="4819"/>
        <w:tab w:val="right" w:pos="9638"/>
      </w:tabs>
      <w:spacing w:after="160" w:line="259" w:lineRule="auto"/>
      <w:rPr>
        <w:rFonts w:ascii="TimesLT" w:hAnsi="TimesLT"/>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86" w:rsidRDefault="00453C86">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77CDB"/>
    <w:multiLevelType w:val="hybridMultilevel"/>
    <w:tmpl w:val="B7608EA8"/>
    <w:lvl w:ilvl="0" w:tplc="5F40A4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A"/>
    <w:rsid w:val="00034698"/>
    <w:rsid w:val="000B3DEE"/>
    <w:rsid w:val="000D3610"/>
    <w:rsid w:val="000F6B16"/>
    <w:rsid w:val="00111734"/>
    <w:rsid w:val="0013512B"/>
    <w:rsid w:val="00152CDD"/>
    <w:rsid w:val="00153B78"/>
    <w:rsid w:val="001573FE"/>
    <w:rsid w:val="00165B6D"/>
    <w:rsid w:val="00224C4F"/>
    <w:rsid w:val="0024122B"/>
    <w:rsid w:val="002923AB"/>
    <w:rsid w:val="00304A5C"/>
    <w:rsid w:val="003175AD"/>
    <w:rsid w:val="00382C9E"/>
    <w:rsid w:val="0039471D"/>
    <w:rsid w:val="003A46AD"/>
    <w:rsid w:val="003D5634"/>
    <w:rsid w:val="00424BA3"/>
    <w:rsid w:val="00453C86"/>
    <w:rsid w:val="004549B6"/>
    <w:rsid w:val="00465E8D"/>
    <w:rsid w:val="00471EA9"/>
    <w:rsid w:val="004720A2"/>
    <w:rsid w:val="00494B50"/>
    <w:rsid w:val="004F00D8"/>
    <w:rsid w:val="0053026B"/>
    <w:rsid w:val="00564FC2"/>
    <w:rsid w:val="005729BF"/>
    <w:rsid w:val="00580168"/>
    <w:rsid w:val="00581122"/>
    <w:rsid w:val="00584A04"/>
    <w:rsid w:val="0059699A"/>
    <w:rsid w:val="005F6107"/>
    <w:rsid w:val="00627C01"/>
    <w:rsid w:val="006A1193"/>
    <w:rsid w:val="006A21E3"/>
    <w:rsid w:val="006A62D7"/>
    <w:rsid w:val="006D7DBA"/>
    <w:rsid w:val="00704742"/>
    <w:rsid w:val="00707F9C"/>
    <w:rsid w:val="0074141D"/>
    <w:rsid w:val="007540F8"/>
    <w:rsid w:val="00770FEA"/>
    <w:rsid w:val="00785A16"/>
    <w:rsid w:val="007B0DF5"/>
    <w:rsid w:val="007B7997"/>
    <w:rsid w:val="007D1284"/>
    <w:rsid w:val="007D64AA"/>
    <w:rsid w:val="007F7C14"/>
    <w:rsid w:val="00810B77"/>
    <w:rsid w:val="0085660A"/>
    <w:rsid w:val="008B52FC"/>
    <w:rsid w:val="008C2804"/>
    <w:rsid w:val="008E6B0E"/>
    <w:rsid w:val="00903386"/>
    <w:rsid w:val="009302AA"/>
    <w:rsid w:val="009341E5"/>
    <w:rsid w:val="00941C3B"/>
    <w:rsid w:val="00957D03"/>
    <w:rsid w:val="009C25AF"/>
    <w:rsid w:val="009F2730"/>
    <w:rsid w:val="00A05A70"/>
    <w:rsid w:val="00A17A4C"/>
    <w:rsid w:val="00A31F10"/>
    <w:rsid w:val="00A524F2"/>
    <w:rsid w:val="00A81C8E"/>
    <w:rsid w:val="00A849C4"/>
    <w:rsid w:val="00A97FCD"/>
    <w:rsid w:val="00AF070C"/>
    <w:rsid w:val="00B0772A"/>
    <w:rsid w:val="00B1511D"/>
    <w:rsid w:val="00B35E5D"/>
    <w:rsid w:val="00B47409"/>
    <w:rsid w:val="00B57952"/>
    <w:rsid w:val="00BB13F3"/>
    <w:rsid w:val="00C12AAA"/>
    <w:rsid w:val="00C5303D"/>
    <w:rsid w:val="00C64327"/>
    <w:rsid w:val="00C643FF"/>
    <w:rsid w:val="00C64A27"/>
    <w:rsid w:val="00C65F3E"/>
    <w:rsid w:val="00CE16FC"/>
    <w:rsid w:val="00D1709E"/>
    <w:rsid w:val="00D24CD8"/>
    <w:rsid w:val="00D40176"/>
    <w:rsid w:val="00D471B5"/>
    <w:rsid w:val="00D52FBF"/>
    <w:rsid w:val="00D930AD"/>
    <w:rsid w:val="00D9732B"/>
    <w:rsid w:val="00DA5DED"/>
    <w:rsid w:val="00DD69F2"/>
    <w:rsid w:val="00DE418D"/>
    <w:rsid w:val="00DF28AA"/>
    <w:rsid w:val="00E26692"/>
    <w:rsid w:val="00E536EE"/>
    <w:rsid w:val="00E8301A"/>
    <w:rsid w:val="00E90B79"/>
    <w:rsid w:val="00F34CAD"/>
    <w:rsid w:val="00F64223"/>
    <w:rsid w:val="00FC6277"/>
    <w:rsid w:val="00FE6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90AB"/>
  <w15:docId w15:val="{86813723-91AC-45AD-9705-011FFF83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0176"/>
    <w:rPr>
      <w:rFonts w:ascii="Segoe UI" w:hAnsi="Segoe UI" w:cs="Segoe UI"/>
      <w:sz w:val="18"/>
      <w:szCs w:val="18"/>
    </w:rPr>
  </w:style>
  <w:style w:type="character" w:customStyle="1" w:styleId="BalloonTextChar">
    <w:name w:val="Balloon Text Char"/>
    <w:basedOn w:val="DefaultParagraphFont"/>
    <w:link w:val="BalloonText"/>
    <w:rsid w:val="00D40176"/>
    <w:rPr>
      <w:rFonts w:ascii="Segoe UI" w:hAnsi="Segoe UI" w:cs="Segoe UI"/>
      <w:sz w:val="18"/>
      <w:szCs w:val="18"/>
    </w:rPr>
  </w:style>
  <w:style w:type="paragraph" w:styleId="ListParagraph">
    <w:name w:val="List Paragraph"/>
    <w:basedOn w:val="Normal"/>
    <w:rsid w:val="0090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8973">
      <w:bodyDiv w:val="1"/>
      <w:marLeft w:val="0"/>
      <w:marRight w:val="0"/>
      <w:marTop w:val="0"/>
      <w:marBottom w:val="0"/>
      <w:divBdr>
        <w:top w:val="none" w:sz="0" w:space="0" w:color="auto"/>
        <w:left w:val="none" w:sz="0" w:space="0" w:color="auto"/>
        <w:bottom w:val="none" w:sz="0" w:space="0" w:color="auto"/>
        <w:right w:val="none" w:sz="0" w:space="0" w:color="auto"/>
      </w:divBdr>
    </w:div>
    <w:div w:id="1037243562">
      <w:bodyDiv w:val="1"/>
      <w:marLeft w:val="0"/>
      <w:marRight w:val="0"/>
      <w:marTop w:val="0"/>
      <w:marBottom w:val="0"/>
      <w:divBdr>
        <w:top w:val="none" w:sz="0" w:space="0" w:color="auto"/>
        <w:left w:val="none" w:sz="0" w:space="0" w:color="auto"/>
        <w:bottom w:val="none" w:sz="0" w:space="0" w:color="auto"/>
        <w:right w:val="none" w:sz="0" w:space="0" w:color="auto"/>
      </w:divBdr>
    </w:div>
    <w:div w:id="1436553800">
      <w:bodyDiv w:val="1"/>
      <w:marLeft w:val="0"/>
      <w:marRight w:val="0"/>
      <w:marTop w:val="0"/>
      <w:marBottom w:val="0"/>
      <w:divBdr>
        <w:top w:val="none" w:sz="0" w:space="0" w:color="auto"/>
        <w:left w:val="none" w:sz="0" w:space="0" w:color="auto"/>
        <w:bottom w:val="none" w:sz="0" w:space="0" w:color="auto"/>
        <w:right w:val="none" w:sz="0" w:space="0" w:color="auto"/>
      </w:divBdr>
    </w:div>
    <w:div w:id="21109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2831</Words>
  <Characters>1615</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MUDĖNIENĖ Dalia</dc:creator>
  <cp:lastModifiedBy>Vida Petrylaitė</cp:lastModifiedBy>
  <cp:revision>3</cp:revision>
  <cp:lastPrinted>2019-10-11T08:52:00Z</cp:lastPrinted>
  <dcterms:created xsi:type="dcterms:W3CDTF">2019-10-11T09:14:00Z</dcterms:created>
  <dcterms:modified xsi:type="dcterms:W3CDTF">2019-10-11T09:15:00Z</dcterms:modified>
</cp:coreProperties>
</file>