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60B064" w14:textId="77777777" w:rsidR="00A62CFF" w:rsidRPr="00A62CFF" w:rsidRDefault="00A62CFF" w:rsidP="00A62CFF">
      <w:pPr>
        <w:spacing w:after="0" w:line="240" w:lineRule="auto"/>
        <w:jc w:val="center"/>
        <w:rPr>
          <w:rFonts w:ascii="Times New Roman" w:eastAsia="Times New Roman" w:hAnsi="Times New Roman" w:cs="Times New Roman"/>
          <w:b/>
          <w:sz w:val="24"/>
          <w:szCs w:val="24"/>
          <w:lang w:val="en-US"/>
        </w:rPr>
      </w:pPr>
      <w:r w:rsidRPr="00A62CFF">
        <w:rPr>
          <w:rFonts w:ascii="Times New Roman" w:eastAsia="Times New Roman" w:hAnsi="Times New Roman" w:cs="Times New Roman"/>
          <w:b/>
          <w:bCs/>
          <w:sz w:val="24"/>
          <w:szCs w:val="24"/>
        </w:rPr>
        <w:t>PASIŪLYMAS</w:t>
      </w:r>
    </w:p>
    <w:p w14:paraId="315BD441" w14:textId="77777777" w:rsidR="00A62CFF" w:rsidRPr="00A62CFF" w:rsidRDefault="00A62CFF" w:rsidP="00A62CFF">
      <w:pPr>
        <w:spacing w:after="0" w:line="240" w:lineRule="auto"/>
        <w:jc w:val="center"/>
        <w:rPr>
          <w:rFonts w:ascii="Times New Roman" w:eastAsia="Times New Roman" w:hAnsi="Times New Roman" w:cs="Times New Roman"/>
          <w:b/>
          <w:bCs/>
          <w:sz w:val="24"/>
          <w:szCs w:val="24"/>
        </w:rPr>
      </w:pPr>
    </w:p>
    <w:p w14:paraId="2AEA990E" w14:textId="77777777" w:rsidR="00A62CFF" w:rsidRPr="00A62CFF" w:rsidRDefault="00A62CFF" w:rsidP="00A62CFF">
      <w:pPr>
        <w:spacing w:after="0" w:line="240"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 xml:space="preserve">DĖL LIETUVOS RESPUBLIKOS </w:t>
      </w:r>
    </w:p>
    <w:p w14:paraId="04FE86F4" w14:textId="77777777" w:rsidR="00A62CFF" w:rsidRPr="00A62CFF" w:rsidRDefault="00A62CFF" w:rsidP="00A62CFF">
      <w:pPr>
        <w:spacing w:after="0" w:line="240"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NEKILNOJAMOJO KULTŪROS PAVELDO APSAUGOS ĮSTATYMO NR. I-733 PAKEITIMO ĮSTATYMO PROJEKTO NR. XIVP-4207</w:t>
      </w:r>
    </w:p>
    <w:p w14:paraId="338C0274" w14:textId="77777777" w:rsidR="00A62CFF" w:rsidRPr="00A62CFF" w:rsidRDefault="00A62CFF" w:rsidP="00A62CFF">
      <w:pPr>
        <w:spacing w:after="0" w:line="240" w:lineRule="auto"/>
        <w:rPr>
          <w:rFonts w:ascii="Times New Roman" w:eastAsia="Times New Roman" w:hAnsi="Times New Roman" w:cs="Times New Roman"/>
          <w:b/>
          <w:bCs/>
          <w:sz w:val="24"/>
          <w:szCs w:val="20"/>
        </w:rPr>
      </w:pPr>
    </w:p>
    <w:p w14:paraId="1D46DE61" w14:textId="68B5D1F8" w:rsidR="00A62CFF" w:rsidRPr="00A62CFF" w:rsidRDefault="00A62CFF" w:rsidP="00A62CFF">
      <w:pPr>
        <w:spacing w:after="0" w:line="240"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4"/>
          <w:szCs w:val="20"/>
        </w:rPr>
        <w:t>2024-1</w:t>
      </w:r>
      <w:r w:rsidR="00835BF1">
        <w:rPr>
          <w:rFonts w:ascii="Times New Roman" w:eastAsia="Times New Roman" w:hAnsi="Times New Roman" w:cs="Times New Roman"/>
          <w:sz w:val="24"/>
          <w:szCs w:val="20"/>
        </w:rPr>
        <w:t>1</w:t>
      </w:r>
      <w:r w:rsidRPr="00A62CFF">
        <w:rPr>
          <w:rFonts w:ascii="Times New Roman" w:eastAsia="Times New Roman" w:hAnsi="Times New Roman" w:cs="Times New Roman"/>
          <w:sz w:val="24"/>
          <w:szCs w:val="20"/>
        </w:rPr>
        <w:t>-</w:t>
      </w:r>
      <w:r w:rsidR="00835BF1">
        <w:rPr>
          <w:rFonts w:ascii="Times New Roman" w:eastAsia="Times New Roman" w:hAnsi="Times New Roman" w:cs="Times New Roman"/>
          <w:sz w:val="24"/>
          <w:szCs w:val="20"/>
        </w:rPr>
        <w:t>12</w:t>
      </w:r>
    </w:p>
    <w:p w14:paraId="42CDF898" w14:textId="77777777" w:rsidR="00A62CFF" w:rsidRPr="00A62CFF" w:rsidRDefault="00A62CFF" w:rsidP="00A62CFF">
      <w:pPr>
        <w:spacing w:after="0" w:line="240" w:lineRule="auto"/>
        <w:jc w:val="center"/>
        <w:rPr>
          <w:rFonts w:ascii="Times New Roman" w:eastAsia="Times New Roman" w:hAnsi="Times New Roman" w:cs="Times New Roman"/>
          <w:bCs/>
          <w:sz w:val="24"/>
          <w:szCs w:val="20"/>
        </w:rPr>
      </w:pPr>
      <w:r w:rsidRPr="00A62CFF">
        <w:rPr>
          <w:rFonts w:ascii="Times New Roman" w:eastAsia="Times New Roman" w:hAnsi="Times New Roman" w:cs="Times New Roman"/>
          <w:sz w:val="24"/>
          <w:szCs w:val="20"/>
        </w:rPr>
        <w:t>Vilnius</w:t>
      </w:r>
    </w:p>
    <w:p w14:paraId="72C6B263" w14:textId="77777777" w:rsidR="00A62CFF" w:rsidRPr="00A62CFF" w:rsidRDefault="00A62CFF" w:rsidP="00A62CFF">
      <w:pPr>
        <w:spacing w:after="0" w:line="240" w:lineRule="auto"/>
        <w:jc w:val="both"/>
        <w:rPr>
          <w:rFonts w:ascii="Times New Roman" w:eastAsia="Times New Roman" w:hAnsi="Times New Roman" w:cs="Times New Roman"/>
          <w:sz w:val="24"/>
          <w:szCs w:val="20"/>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567"/>
        <w:gridCol w:w="709"/>
        <w:gridCol w:w="709"/>
        <w:gridCol w:w="6237"/>
      </w:tblGrid>
      <w:tr w:rsidR="00A62CFF" w:rsidRPr="00A62CFF" w14:paraId="7AC1F6FE" w14:textId="77777777" w:rsidTr="00B25BA7">
        <w:trPr>
          <w:cantSplit/>
          <w:trHeight w:val="472"/>
          <w:jc w:val="center"/>
        </w:trPr>
        <w:tc>
          <w:tcPr>
            <w:tcW w:w="562" w:type="dxa"/>
            <w:vMerge w:val="restart"/>
            <w:tcBorders>
              <w:top w:val="single" w:sz="4" w:space="0" w:color="auto"/>
              <w:left w:val="single" w:sz="4" w:space="0" w:color="auto"/>
              <w:bottom w:val="single" w:sz="4" w:space="0" w:color="auto"/>
              <w:right w:val="single" w:sz="4" w:space="0" w:color="auto"/>
            </w:tcBorders>
            <w:vAlign w:val="center"/>
            <w:hideMark/>
          </w:tcPr>
          <w:p w14:paraId="4BB671A1" w14:textId="77777777" w:rsidR="00A62CFF" w:rsidRPr="00A62CFF" w:rsidRDefault="00A62CFF" w:rsidP="00A62CFF">
            <w:pPr>
              <w:spacing w:after="0" w:line="276" w:lineRule="auto"/>
              <w:jc w:val="center"/>
              <w:rPr>
                <w:rFonts w:ascii="Times New Roman" w:eastAsia="Times New Roman" w:hAnsi="Times New Roman" w:cs="Times New Roman"/>
              </w:rPr>
            </w:pPr>
            <w:r w:rsidRPr="00A62CFF">
              <w:rPr>
                <w:rFonts w:ascii="Times New Roman" w:eastAsia="Times New Roman" w:hAnsi="Times New Roman" w:cs="Times New Roman"/>
              </w:rPr>
              <w:t>Eil. Nr.</w:t>
            </w:r>
          </w:p>
        </w:tc>
        <w:tc>
          <w:tcPr>
            <w:tcW w:w="1985" w:type="dxa"/>
            <w:gridSpan w:val="3"/>
            <w:tcBorders>
              <w:top w:val="single" w:sz="4" w:space="0" w:color="auto"/>
              <w:left w:val="single" w:sz="4" w:space="0" w:color="auto"/>
              <w:bottom w:val="single" w:sz="4" w:space="0" w:color="auto"/>
              <w:right w:val="single" w:sz="4" w:space="0" w:color="auto"/>
            </w:tcBorders>
            <w:vAlign w:val="center"/>
            <w:hideMark/>
          </w:tcPr>
          <w:p w14:paraId="31321C75" w14:textId="77777777" w:rsidR="00A62CFF" w:rsidRPr="00A62CFF" w:rsidRDefault="00A62CFF" w:rsidP="00A62CFF">
            <w:pPr>
              <w:spacing w:after="0" w:line="276" w:lineRule="auto"/>
              <w:jc w:val="center"/>
              <w:rPr>
                <w:rFonts w:ascii="Times New Roman" w:eastAsia="Times New Roman" w:hAnsi="Times New Roman" w:cs="Times New Roman"/>
                <w:sz w:val="24"/>
                <w:szCs w:val="24"/>
              </w:rPr>
            </w:pPr>
            <w:r w:rsidRPr="00A62CFF">
              <w:rPr>
                <w:rFonts w:ascii="Times New Roman" w:eastAsia="Times New Roman" w:hAnsi="Times New Roman" w:cs="Times New Roman"/>
                <w:sz w:val="24"/>
                <w:szCs w:val="24"/>
              </w:rPr>
              <w:t>Siūloma keisti</w:t>
            </w:r>
          </w:p>
        </w:tc>
        <w:tc>
          <w:tcPr>
            <w:tcW w:w="6237" w:type="dxa"/>
            <w:vMerge w:val="restart"/>
            <w:tcBorders>
              <w:top w:val="single" w:sz="4" w:space="0" w:color="auto"/>
              <w:left w:val="single" w:sz="4" w:space="0" w:color="auto"/>
              <w:bottom w:val="single" w:sz="4" w:space="0" w:color="auto"/>
              <w:right w:val="single" w:sz="4" w:space="0" w:color="auto"/>
            </w:tcBorders>
            <w:vAlign w:val="center"/>
            <w:hideMark/>
          </w:tcPr>
          <w:p w14:paraId="6A7A8EB7" w14:textId="77777777" w:rsidR="00A62CFF" w:rsidRPr="00A62CFF" w:rsidRDefault="00A62CFF" w:rsidP="00A62CFF">
            <w:pPr>
              <w:spacing w:after="0" w:line="276" w:lineRule="auto"/>
              <w:jc w:val="center"/>
              <w:rPr>
                <w:rFonts w:ascii="Times New Roman" w:eastAsia="Times New Roman" w:hAnsi="Times New Roman" w:cs="Times New Roman"/>
                <w:sz w:val="24"/>
                <w:szCs w:val="24"/>
              </w:rPr>
            </w:pPr>
            <w:r w:rsidRPr="00A62CFF">
              <w:rPr>
                <w:rFonts w:ascii="Times New Roman" w:eastAsia="Times New Roman" w:hAnsi="Times New Roman" w:cs="Times New Roman"/>
                <w:sz w:val="24"/>
                <w:szCs w:val="24"/>
              </w:rPr>
              <w:t>Pasiūlymo turinys</w:t>
            </w:r>
          </w:p>
        </w:tc>
      </w:tr>
      <w:tr w:rsidR="00A62CFF" w:rsidRPr="00A62CFF" w14:paraId="33C7622F" w14:textId="77777777" w:rsidTr="00B25BA7">
        <w:trPr>
          <w:cantSplit/>
          <w:trHeight w:val="426"/>
          <w:jc w:val="center"/>
        </w:trPr>
        <w:tc>
          <w:tcPr>
            <w:tcW w:w="562" w:type="dxa"/>
            <w:vMerge/>
            <w:tcBorders>
              <w:top w:val="single" w:sz="4" w:space="0" w:color="auto"/>
              <w:left w:val="single" w:sz="4" w:space="0" w:color="auto"/>
              <w:bottom w:val="single" w:sz="4" w:space="0" w:color="auto"/>
              <w:right w:val="single" w:sz="4" w:space="0" w:color="auto"/>
            </w:tcBorders>
            <w:vAlign w:val="center"/>
            <w:hideMark/>
          </w:tcPr>
          <w:p w14:paraId="7E2D596B" w14:textId="77777777" w:rsidR="00A62CFF" w:rsidRPr="00A62CFF" w:rsidRDefault="00A62CFF" w:rsidP="00A62CFF">
            <w:pPr>
              <w:spacing w:after="0" w:line="256" w:lineRule="auto"/>
              <w:rPr>
                <w:rFonts w:ascii="Times New Roman" w:eastAsia="Times New Roman" w:hAnsi="Times New Roman" w:cs="Times New Roman"/>
              </w:rPr>
            </w:pPr>
          </w:p>
        </w:tc>
        <w:tc>
          <w:tcPr>
            <w:tcW w:w="567" w:type="dxa"/>
            <w:tcBorders>
              <w:top w:val="single" w:sz="4" w:space="0" w:color="auto"/>
              <w:left w:val="single" w:sz="4" w:space="0" w:color="auto"/>
              <w:bottom w:val="single" w:sz="4" w:space="0" w:color="auto"/>
              <w:right w:val="single" w:sz="4" w:space="0" w:color="auto"/>
            </w:tcBorders>
            <w:vAlign w:val="center"/>
            <w:hideMark/>
          </w:tcPr>
          <w:p w14:paraId="2CCC547C" w14:textId="77777777"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str.</w:t>
            </w:r>
          </w:p>
        </w:tc>
        <w:tc>
          <w:tcPr>
            <w:tcW w:w="709" w:type="dxa"/>
            <w:tcBorders>
              <w:top w:val="single" w:sz="4" w:space="0" w:color="auto"/>
              <w:left w:val="single" w:sz="4" w:space="0" w:color="auto"/>
              <w:bottom w:val="single" w:sz="4" w:space="0" w:color="auto"/>
              <w:right w:val="single" w:sz="4" w:space="0" w:color="auto"/>
            </w:tcBorders>
            <w:vAlign w:val="center"/>
            <w:hideMark/>
          </w:tcPr>
          <w:p w14:paraId="35D1E134" w14:textId="77777777"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str. d.</w:t>
            </w:r>
          </w:p>
        </w:tc>
        <w:tc>
          <w:tcPr>
            <w:tcW w:w="709" w:type="dxa"/>
            <w:tcBorders>
              <w:top w:val="single" w:sz="4" w:space="0" w:color="auto"/>
              <w:left w:val="single" w:sz="4" w:space="0" w:color="auto"/>
              <w:bottom w:val="single" w:sz="4" w:space="0" w:color="auto"/>
              <w:right w:val="single" w:sz="4" w:space="0" w:color="auto"/>
            </w:tcBorders>
            <w:vAlign w:val="center"/>
            <w:hideMark/>
          </w:tcPr>
          <w:p w14:paraId="4FB95EA8" w14:textId="77777777"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p.</w:t>
            </w:r>
          </w:p>
        </w:tc>
        <w:tc>
          <w:tcPr>
            <w:tcW w:w="6237" w:type="dxa"/>
            <w:vMerge/>
            <w:tcBorders>
              <w:top w:val="single" w:sz="4" w:space="0" w:color="auto"/>
              <w:left w:val="single" w:sz="4" w:space="0" w:color="auto"/>
              <w:bottom w:val="single" w:sz="4" w:space="0" w:color="auto"/>
              <w:right w:val="single" w:sz="4" w:space="0" w:color="auto"/>
            </w:tcBorders>
            <w:vAlign w:val="center"/>
            <w:hideMark/>
          </w:tcPr>
          <w:p w14:paraId="157139E9" w14:textId="77777777" w:rsidR="00A62CFF" w:rsidRPr="00A62CFF" w:rsidRDefault="00A62CFF" w:rsidP="00A62CFF">
            <w:pPr>
              <w:spacing w:after="0" w:line="256" w:lineRule="auto"/>
              <w:rPr>
                <w:rFonts w:ascii="Times New Roman" w:eastAsia="Times New Roman" w:hAnsi="Times New Roman" w:cs="Times New Roman"/>
                <w:sz w:val="24"/>
                <w:szCs w:val="24"/>
              </w:rPr>
            </w:pPr>
          </w:p>
        </w:tc>
      </w:tr>
      <w:tr w:rsidR="00A62CFF" w:rsidRPr="00A62CFF" w14:paraId="33B1D6EB" w14:textId="77777777" w:rsidTr="00B25BA7">
        <w:trPr>
          <w:trHeight w:val="416"/>
          <w:jc w:val="center"/>
        </w:trPr>
        <w:tc>
          <w:tcPr>
            <w:tcW w:w="562" w:type="dxa"/>
            <w:tcBorders>
              <w:top w:val="single" w:sz="4" w:space="0" w:color="auto"/>
              <w:left w:val="single" w:sz="4" w:space="0" w:color="auto"/>
              <w:bottom w:val="single" w:sz="4" w:space="0" w:color="auto"/>
              <w:right w:val="single" w:sz="4" w:space="0" w:color="auto"/>
            </w:tcBorders>
          </w:tcPr>
          <w:p w14:paraId="030E63F1" w14:textId="77777777" w:rsidR="00A62CFF" w:rsidRPr="00A62CFF" w:rsidRDefault="00A62CFF" w:rsidP="00A62CFF">
            <w:pPr>
              <w:spacing w:after="0" w:line="276" w:lineRule="auto"/>
              <w:jc w:val="center"/>
              <w:rPr>
                <w:rFonts w:ascii="Times New Roman" w:eastAsia="Times New Roman" w:hAnsi="Times New Roman" w:cs="Times New Roman"/>
                <w:bCs/>
                <w:sz w:val="24"/>
                <w:szCs w:val="24"/>
              </w:rPr>
            </w:pPr>
            <w:r w:rsidRPr="00A62CFF">
              <w:rPr>
                <w:rFonts w:ascii="Times New Roman" w:eastAsia="Times New Roman" w:hAnsi="Times New Roman" w:cs="Times New Roman"/>
                <w:bCs/>
                <w:sz w:val="24"/>
                <w:szCs w:val="24"/>
              </w:rPr>
              <w:t>1</w:t>
            </w:r>
          </w:p>
        </w:tc>
        <w:tc>
          <w:tcPr>
            <w:tcW w:w="567" w:type="dxa"/>
            <w:tcBorders>
              <w:top w:val="single" w:sz="4" w:space="0" w:color="auto"/>
              <w:left w:val="single" w:sz="4" w:space="0" w:color="auto"/>
              <w:bottom w:val="single" w:sz="4" w:space="0" w:color="auto"/>
              <w:right w:val="single" w:sz="4" w:space="0" w:color="auto"/>
            </w:tcBorders>
          </w:tcPr>
          <w:p w14:paraId="5A1CD73C" w14:textId="270F951D" w:rsidR="00A62CFF" w:rsidRPr="00A62CFF" w:rsidRDefault="002A5CF9" w:rsidP="00A62CFF">
            <w:pPr>
              <w:spacing w:after="0"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w:t>
            </w:r>
          </w:p>
          <w:p w14:paraId="28F5DFDC" w14:textId="77777777" w:rsidR="00A62CFF" w:rsidRDefault="00A62CFF" w:rsidP="00835BF1">
            <w:pPr>
              <w:spacing w:after="0" w:line="276" w:lineRule="auto"/>
              <w:ind w:left="-132" w:right="-138"/>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w:t>
            </w:r>
            <w:r w:rsidR="00835BF1">
              <w:rPr>
                <w:rFonts w:ascii="Times New Roman" w:eastAsia="Times New Roman" w:hAnsi="Times New Roman" w:cs="Times New Roman"/>
                <w:b/>
                <w:bCs/>
                <w:sz w:val="24"/>
                <w:szCs w:val="24"/>
              </w:rPr>
              <w:t>13</w:t>
            </w:r>
            <w:r w:rsidRPr="00A62CFF">
              <w:rPr>
                <w:rFonts w:ascii="Times New Roman" w:eastAsia="Times New Roman" w:hAnsi="Times New Roman" w:cs="Times New Roman"/>
                <w:b/>
                <w:bCs/>
                <w:sz w:val="24"/>
                <w:szCs w:val="24"/>
              </w:rPr>
              <w:t>)</w:t>
            </w:r>
          </w:p>
          <w:p w14:paraId="1F7A0BF7" w14:textId="59A34B00" w:rsidR="002A5CF9" w:rsidRPr="00A62CFF" w:rsidRDefault="002A5CF9" w:rsidP="00835BF1">
            <w:pPr>
              <w:spacing w:after="0" w:line="276" w:lineRule="auto"/>
              <w:ind w:left="-132" w:right="-138"/>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(16)</w:t>
            </w:r>
          </w:p>
        </w:tc>
        <w:tc>
          <w:tcPr>
            <w:tcW w:w="709" w:type="dxa"/>
            <w:tcBorders>
              <w:top w:val="single" w:sz="4" w:space="0" w:color="auto"/>
              <w:left w:val="single" w:sz="4" w:space="0" w:color="auto"/>
              <w:bottom w:val="single" w:sz="4" w:space="0" w:color="auto"/>
              <w:right w:val="single" w:sz="4" w:space="0" w:color="auto"/>
            </w:tcBorders>
          </w:tcPr>
          <w:p w14:paraId="2A1EE6B8" w14:textId="77777777" w:rsidR="004D03FE" w:rsidRDefault="004D03FE" w:rsidP="00A62CFF">
            <w:pPr>
              <w:spacing w:after="0" w:line="276" w:lineRule="auto"/>
              <w:jc w:val="center"/>
              <w:rPr>
                <w:rFonts w:ascii="Times New Roman" w:eastAsia="Times New Roman" w:hAnsi="Times New Roman" w:cs="Times New Roman"/>
                <w:b/>
                <w:bCs/>
                <w:sz w:val="24"/>
                <w:szCs w:val="24"/>
              </w:rPr>
            </w:pPr>
          </w:p>
          <w:p w14:paraId="3F3A9865" w14:textId="77777777" w:rsidR="00A62CFF" w:rsidRDefault="00A62CFF" w:rsidP="00A62CFF">
            <w:pPr>
              <w:spacing w:after="0" w:line="276"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w:t>
            </w:r>
            <w:r w:rsidR="00835BF1">
              <w:rPr>
                <w:rFonts w:ascii="Times New Roman" w:eastAsia="Times New Roman" w:hAnsi="Times New Roman" w:cs="Times New Roman"/>
                <w:b/>
                <w:bCs/>
                <w:sz w:val="24"/>
                <w:szCs w:val="24"/>
              </w:rPr>
              <w:t>3</w:t>
            </w:r>
            <w:r w:rsidRPr="00A62CFF">
              <w:rPr>
                <w:rFonts w:ascii="Times New Roman" w:eastAsia="Times New Roman" w:hAnsi="Times New Roman" w:cs="Times New Roman"/>
                <w:b/>
                <w:bCs/>
                <w:sz w:val="24"/>
                <w:szCs w:val="24"/>
              </w:rPr>
              <w:t>)</w:t>
            </w:r>
          </w:p>
          <w:p w14:paraId="67BDAD31" w14:textId="339A6B01" w:rsidR="002A5CF9" w:rsidRPr="00A62CFF" w:rsidRDefault="00125A3F" w:rsidP="00A62CFF">
            <w:pPr>
              <w:spacing w:after="0" w:line="276"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(6-7)</w:t>
            </w:r>
          </w:p>
        </w:tc>
        <w:tc>
          <w:tcPr>
            <w:tcW w:w="709" w:type="dxa"/>
            <w:tcBorders>
              <w:top w:val="single" w:sz="4" w:space="0" w:color="auto"/>
              <w:left w:val="single" w:sz="4" w:space="0" w:color="auto"/>
              <w:bottom w:val="single" w:sz="4" w:space="0" w:color="auto"/>
              <w:right w:val="single" w:sz="4" w:space="0" w:color="auto"/>
            </w:tcBorders>
          </w:tcPr>
          <w:p w14:paraId="72AA31C0" w14:textId="77777777" w:rsidR="00A62CFF" w:rsidRPr="00A62CFF" w:rsidRDefault="00A62CFF" w:rsidP="00A62CFF">
            <w:pPr>
              <w:spacing w:after="0" w:line="276" w:lineRule="auto"/>
              <w:jc w:val="center"/>
              <w:rPr>
                <w:rFonts w:ascii="Times New Roman" w:eastAsia="Times New Roman" w:hAnsi="Times New Roman" w:cs="Times New Roman"/>
                <w:b/>
                <w:bCs/>
                <w:sz w:val="24"/>
                <w:szCs w:val="24"/>
              </w:rPr>
            </w:pPr>
          </w:p>
        </w:tc>
        <w:tc>
          <w:tcPr>
            <w:tcW w:w="6237" w:type="dxa"/>
            <w:tcBorders>
              <w:top w:val="single" w:sz="4" w:space="0" w:color="auto"/>
              <w:left w:val="single" w:sz="4" w:space="0" w:color="auto"/>
              <w:bottom w:val="single" w:sz="4" w:space="0" w:color="auto"/>
              <w:right w:val="single" w:sz="4" w:space="0" w:color="auto"/>
            </w:tcBorders>
          </w:tcPr>
          <w:p w14:paraId="064383BF" w14:textId="77777777" w:rsidR="00A62CFF" w:rsidRPr="002A5CF9" w:rsidRDefault="00A62CFF" w:rsidP="00A62CFF">
            <w:pPr>
              <w:spacing w:after="0" w:line="276" w:lineRule="auto"/>
              <w:jc w:val="both"/>
              <w:rPr>
                <w:rFonts w:ascii="Times New Roman" w:eastAsia="Times New Roman" w:hAnsi="Times New Roman" w:cs="Times New Roman"/>
                <w:b/>
                <w:bCs/>
                <w:sz w:val="24"/>
                <w:szCs w:val="24"/>
              </w:rPr>
            </w:pPr>
            <w:r w:rsidRPr="002A5CF9">
              <w:rPr>
                <w:rFonts w:ascii="Times New Roman" w:eastAsia="Times New Roman" w:hAnsi="Times New Roman" w:cs="Times New Roman"/>
                <w:b/>
                <w:bCs/>
                <w:sz w:val="24"/>
                <w:szCs w:val="24"/>
              </w:rPr>
              <w:t>Argumentai:</w:t>
            </w:r>
          </w:p>
          <w:p w14:paraId="1A971AA6" w14:textId="4378D96D" w:rsidR="00A62CFF" w:rsidRPr="002A5CF9" w:rsidRDefault="001826E8" w:rsidP="00A62CFF">
            <w:pPr>
              <w:spacing w:after="0" w:line="276" w:lineRule="auto"/>
              <w:jc w:val="both"/>
              <w:rPr>
                <w:rFonts w:ascii="Times New Roman" w:eastAsia="Times New Roman" w:hAnsi="Times New Roman" w:cs="Times New Roman"/>
                <w:bCs/>
                <w:sz w:val="24"/>
                <w:szCs w:val="24"/>
              </w:rPr>
            </w:pPr>
            <w:r>
              <w:rPr>
                <w:rFonts w:ascii="Times New Roman" w:hAnsi="Times New Roman" w:cs="Times New Roman"/>
                <w:sz w:val="24"/>
                <w:szCs w:val="24"/>
              </w:rPr>
              <w:t>I</w:t>
            </w:r>
            <w:r w:rsidR="00835BF1" w:rsidRPr="002A5CF9">
              <w:rPr>
                <w:rFonts w:ascii="Times New Roman" w:hAnsi="Times New Roman" w:cs="Times New Roman"/>
                <w:sz w:val="24"/>
                <w:szCs w:val="24"/>
              </w:rPr>
              <w:t xml:space="preserve">ki šiol dėl istorinių, archeologinių tyrimų nepakankamumo Kultūros vertybių registre </w:t>
            </w:r>
            <w:bookmarkStart w:id="0" w:name="_GoBack"/>
            <w:bookmarkEnd w:id="0"/>
            <w:r w:rsidR="00835BF1" w:rsidRPr="002A5CF9">
              <w:rPr>
                <w:rFonts w:ascii="Times New Roman" w:hAnsi="Times New Roman" w:cs="Times New Roman"/>
                <w:sz w:val="24"/>
                <w:szCs w:val="24"/>
              </w:rPr>
              <w:t>nėra registruota apie 80 potencialių Lietuvos partizanų palaikų užkasimo vietų ir kapų. Atsižvelgiant į moralines vertybes ir etinius principus, siūloma naujoje NKPAĮ redakcijoje numatyti laikinųjų apsaugos priemonių taikymą Inventoriaus objektams, susijusiems su palaikų palaidojimo vietomis (jų neišskiriant, nes neatlikus tyrimų, jų priklausomybė paprastai nėra aiški). Laikinųjų apsaugos priemonių taikymas iki 5 metų numatomas atsižvelgiant į istorinių, archeologinių, antropologinių tyrimų trukmę, institucijų, vykdančių tokių tyrimus (LGGRTC) ir apskaitą (KPD), planus ir galimybes.</w:t>
            </w:r>
          </w:p>
          <w:p w14:paraId="31E62135" w14:textId="77777777" w:rsidR="00A62CFF" w:rsidRPr="002A5CF9" w:rsidRDefault="00A62CFF" w:rsidP="00A62CFF">
            <w:pPr>
              <w:spacing w:after="0" w:line="276" w:lineRule="auto"/>
              <w:jc w:val="both"/>
              <w:rPr>
                <w:rFonts w:ascii="Times New Roman" w:eastAsia="Times New Roman" w:hAnsi="Times New Roman" w:cs="Times New Roman"/>
                <w:bCs/>
                <w:sz w:val="24"/>
                <w:szCs w:val="24"/>
              </w:rPr>
            </w:pPr>
          </w:p>
          <w:p w14:paraId="6494ABFE" w14:textId="77777777" w:rsidR="00A62CFF" w:rsidRPr="002A5CF9" w:rsidRDefault="00A62CFF" w:rsidP="002A5CF9">
            <w:pPr>
              <w:pStyle w:val="Betarp"/>
              <w:rPr>
                <w:rFonts w:ascii="Times New Roman" w:hAnsi="Times New Roman" w:cs="Times New Roman"/>
                <w:sz w:val="24"/>
                <w:szCs w:val="24"/>
              </w:rPr>
            </w:pPr>
            <w:r w:rsidRPr="002A5CF9">
              <w:rPr>
                <w:rFonts w:ascii="Times New Roman" w:hAnsi="Times New Roman" w:cs="Times New Roman"/>
                <w:sz w:val="24"/>
                <w:szCs w:val="24"/>
              </w:rPr>
              <w:t>Pasiūlymas:</w:t>
            </w:r>
          </w:p>
          <w:p w14:paraId="635928F2" w14:textId="6A43EEB3" w:rsidR="002A5CF9" w:rsidRPr="002A5CF9" w:rsidRDefault="002A5CF9" w:rsidP="002A5CF9">
            <w:pPr>
              <w:pStyle w:val="Betarp"/>
              <w:rPr>
                <w:rFonts w:ascii="Times New Roman" w:hAnsi="Times New Roman" w:cs="Times New Roman"/>
                <w:sz w:val="24"/>
                <w:szCs w:val="24"/>
              </w:rPr>
            </w:pPr>
            <w:r w:rsidRPr="002A5CF9">
              <w:rPr>
                <w:rFonts w:ascii="Times New Roman" w:hAnsi="Times New Roman" w:cs="Times New Roman"/>
                <w:sz w:val="24"/>
                <w:szCs w:val="24"/>
              </w:rPr>
              <w:t>Papildyti 13 straipsnio 3 dalį</w:t>
            </w:r>
            <w:r w:rsidR="001826E8">
              <w:rPr>
                <w:rFonts w:ascii="Times New Roman" w:hAnsi="Times New Roman" w:cs="Times New Roman"/>
                <w:sz w:val="24"/>
                <w:szCs w:val="24"/>
              </w:rPr>
              <w:t xml:space="preserve"> ir ją išdėstyti taip</w:t>
            </w:r>
            <w:r w:rsidRPr="002A5CF9">
              <w:rPr>
                <w:rFonts w:ascii="Times New Roman" w:hAnsi="Times New Roman" w:cs="Times New Roman"/>
                <w:sz w:val="24"/>
                <w:szCs w:val="24"/>
              </w:rPr>
              <w:t xml:space="preserve">: </w:t>
            </w:r>
          </w:p>
          <w:p w14:paraId="25857652" w14:textId="5A21F24C" w:rsidR="002A5CF9" w:rsidRDefault="002A5CF9" w:rsidP="002A5CF9">
            <w:pPr>
              <w:pStyle w:val="Betarp"/>
              <w:rPr>
                <w:rFonts w:ascii="Times New Roman" w:hAnsi="Times New Roman" w:cs="Times New Roman"/>
                <w:sz w:val="24"/>
                <w:szCs w:val="24"/>
              </w:rPr>
            </w:pPr>
            <w:r w:rsidRPr="002A5CF9">
              <w:rPr>
                <w:rFonts w:ascii="Times New Roman" w:hAnsi="Times New Roman" w:cs="Times New Roman"/>
                <w:sz w:val="24"/>
                <w:szCs w:val="24"/>
              </w:rPr>
              <w:t xml:space="preserve"> „3. Inventorizuotiems objektams teisinė apsauga netaikoma</w:t>
            </w:r>
            <w:r w:rsidRPr="002A5CF9">
              <w:rPr>
                <w:rFonts w:ascii="Times New Roman" w:hAnsi="Times New Roman" w:cs="Times New Roman"/>
                <w:b/>
                <w:bCs/>
                <w:sz w:val="24"/>
                <w:szCs w:val="24"/>
              </w:rPr>
              <w:t>, išskyrus 16 straipsnio 7 dalyje numatytus atvejus.</w:t>
            </w:r>
            <w:r w:rsidRPr="002A5CF9">
              <w:rPr>
                <w:rFonts w:ascii="Times New Roman" w:hAnsi="Times New Roman" w:cs="Times New Roman"/>
                <w:sz w:val="24"/>
                <w:szCs w:val="24"/>
              </w:rPr>
              <w:t xml:space="preserve">“. </w:t>
            </w:r>
          </w:p>
          <w:p w14:paraId="3012E6EA" w14:textId="77777777" w:rsidR="002A5CF9" w:rsidRDefault="002A5CF9" w:rsidP="002A5CF9">
            <w:pPr>
              <w:pStyle w:val="Betarp"/>
              <w:rPr>
                <w:rFonts w:ascii="Times New Roman" w:hAnsi="Times New Roman" w:cs="Times New Roman"/>
                <w:sz w:val="24"/>
                <w:szCs w:val="24"/>
              </w:rPr>
            </w:pPr>
          </w:p>
          <w:p w14:paraId="03C01E99" w14:textId="349BE056" w:rsidR="00125A3F" w:rsidRPr="00125A3F" w:rsidRDefault="00125A3F" w:rsidP="00125A3F">
            <w:pPr>
              <w:pStyle w:val="Betarp"/>
              <w:jc w:val="both"/>
              <w:rPr>
                <w:rFonts w:ascii="Times New Roman" w:hAnsi="Times New Roman" w:cs="Times New Roman"/>
                <w:sz w:val="24"/>
                <w:szCs w:val="24"/>
              </w:rPr>
            </w:pPr>
            <w:r w:rsidRPr="00125A3F">
              <w:rPr>
                <w:rFonts w:ascii="Times New Roman" w:hAnsi="Times New Roman" w:cs="Times New Roman"/>
                <w:sz w:val="24"/>
                <w:szCs w:val="24"/>
              </w:rPr>
              <w:t>Pasiūlymas:</w:t>
            </w:r>
          </w:p>
          <w:p w14:paraId="6968679A" w14:textId="77777777" w:rsidR="00125A3F" w:rsidRPr="00125A3F" w:rsidRDefault="00125A3F" w:rsidP="00125A3F">
            <w:pPr>
              <w:pStyle w:val="Betarp"/>
              <w:jc w:val="both"/>
              <w:rPr>
                <w:rFonts w:ascii="Times New Roman" w:hAnsi="Times New Roman" w:cs="Times New Roman"/>
                <w:sz w:val="24"/>
                <w:szCs w:val="24"/>
              </w:rPr>
            </w:pPr>
            <w:r w:rsidRPr="00125A3F">
              <w:rPr>
                <w:rFonts w:ascii="Times New Roman" w:hAnsi="Times New Roman" w:cs="Times New Roman"/>
                <w:sz w:val="24"/>
                <w:szCs w:val="24"/>
              </w:rPr>
              <w:t>1. Papildyti 16 straipsnį nauja 6 dalimi:</w:t>
            </w:r>
          </w:p>
          <w:p w14:paraId="655B758E" w14:textId="2AB6DC70" w:rsidR="00125A3F" w:rsidRPr="00125A3F" w:rsidRDefault="00125A3F" w:rsidP="00125A3F">
            <w:pPr>
              <w:pStyle w:val="Betarp"/>
              <w:jc w:val="both"/>
              <w:rPr>
                <w:rFonts w:ascii="Times New Roman" w:hAnsi="Times New Roman" w:cs="Times New Roman"/>
                <w:b/>
                <w:bCs/>
                <w:sz w:val="24"/>
                <w:szCs w:val="24"/>
              </w:rPr>
            </w:pPr>
            <w:r w:rsidRPr="00125A3F">
              <w:rPr>
                <w:rFonts w:ascii="Times New Roman" w:hAnsi="Times New Roman" w:cs="Times New Roman"/>
                <w:b/>
                <w:bCs/>
                <w:sz w:val="24"/>
                <w:szCs w:val="24"/>
              </w:rPr>
              <w:t>„6. Už kultūros paveldo apsaugą atsakinga institucija, priėmusi sprendimą įrašyti į Inventorių memorialinio ir (ar) istorinio vertingųjų savybių požymių turintį Inventoriaus objektą, kuris yra spėjama palaikų palaidojimo ir (ar) užkasimo vieta, per 15 darbo dienų nuo jo įrašymo į Inventorių apie galimą potencialios nekilnojamosios kultūros vertybės atskleidimo ir vertinimo procedūrų pradžią ir galimą iki 3 metų statybos darbų ir (ar) žemės darbų vykdymo apribojimų ar draudimų termino pradžią, turi informuoti (el</w:t>
            </w:r>
            <w:r w:rsidR="001826E8">
              <w:rPr>
                <w:rFonts w:ascii="Times New Roman" w:hAnsi="Times New Roman" w:cs="Times New Roman"/>
                <w:b/>
                <w:bCs/>
                <w:sz w:val="24"/>
                <w:szCs w:val="24"/>
              </w:rPr>
              <w:t xml:space="preserve">ektroninėmis </w:t>
            </w:r>
            <w:r w:rsidRPr="00125A3F">
              <w:rPr>
                <w:rFonts w:ascii="Times New Roman" w:hAnsi="Times New Roman" w:cs="Times New Roman"/>
                <w:b/>
                <w:bCs/>
                <w:sz w:val="24"/>
                <w:szCs w:val="24"/>
              </w:rPr>
              <w:t xml:space="preserve">priemonėmis ar paštu) visus asmenis, kurių daiktinės teisės į nekilnojamuosius daiktus spėjamos palaikų palaidojimo ir (ar) užkasimo vietoje ir teritorijoje, kurioje nustatomi apribojimai, yra registruotos Nekilnojamojo turto registre. Apribojimai gali būti nustatomi ne daugiau kaip </w:t>
            </w:r>
            <w:smartTag w:uri="urn:schemas-microsoft-com:office:smarttags" w:element="metricconverter">
              <w:smartTagPr>
                <w:attr w:name="ProductID" w:val="250 metrų"/>
              </w:smartTagPr>
              <w:r w:rsidRPr="00125A3F">
                <w:rPr>
                  <w:rFonts w:ascii="Times New Roman" w:hAnsi="Times New Roman" w:cs="Times New Roman"/>
                  <w:b/>
                  <w:bCs/>
                  <w:sz w:val="24"/>
                  <w:szCs w:val="24"/>
                </w:rPr>
                <w:t>250 metrų</w:t>
              </w:r>
            </w:smartTag>
            <w:r w:rsidRPr="00125A3F">
              <w:rPr>
                <w:rFonts w:ascii="Times New Roman" w:hAnsi="Times New Roman" w:cs="Times New Roman"/>
                <w:b/>
                <w:bCs/>
                <w:sz w:val="24"/>
                <w:szCs w:val="24"/>
              </w:rPr>
              <w:t xml:space="preserve"> atstumu iki spėjamos palaikų palaidojimo ir (ar) užkasimo vietos. Planuojami atlikti statybos ir (ar) žemės darbai </w:t>
            </w:r>
            <w:r w:rsidRPr="00125A3F">
              <w:rPr>
                <w:rFonts w:ascii="Times New Roman" w:hAnsi="Times New Roman" w:cs="Times New Roman"/>
                <w:b/>
                <w:bCs/>
                <w:sz w:val="24"/>
                <w:szCs w:val="24"/>
              </w:rPr>
              <w:lastRenderedPageBreak/>
              <w:t>spėjamoje palaikų palaidojimo ir (ar) užkasimo vietoje arba teritorijoje, kurioje nustatomi apribojimai, derinami šio straipsnio 3 dalyje nustatyta tvarka.“</w:t>
            </w:r>
          </w:p>
          <w:p w14:paraId="00B9B709" w14:textId="77777777" w:rsidR="00125A3F" w:rsidRDefault="00125A3F" w:rsidP="00125A3F">
            <w:pPr>
              <w:pStyle w:val="Betarp"/>
              <w:jc w:val="both"/>
              <w:rPr>
                <w:rFonts w:ascii="Times New Roman" w:hAnsi="Times New Roman" w:cs="Times New Roman"/>
                <w:sz w:val="24"/>
                <w:szCs w:val="24"/>
              </w:rPr>
            </w:pPr>
            <w:r w:rsidRPr="00125A3F">
              <w:rPr>
                <w:rFonts w:ascii="Times New Roman" w:hAnsi="Times New Roman" w:cs="Times New Roman"/>
                <w:sz w:val="24"/>
                <w:szCs w:val="24"/>
              </w:rPr>
              <w:t>2. Buvusią 6 dalį laikyti 7 dalimi ir ją išdėstyti taip:</w:t>
            </w:r>
          </w:p>
          <w:p w14:paraId="2A1AF144" w14:textId="20699D29" w:rsidR="00125A3F" w:rsidRPr="00125A3F" w:rsidRDefault="00125A3F" w:rsidP="00125A3F">
            <w:pPr>
              <w:pStyle w:val="Betarp"/>
              <w:jc w:val="both"/>
              <w:rPr>
                <w:rFonts w:ascii="Times New Roman" w:hAnsi="Times New Roman" w:cs="Times New Roman"/>
                <w:sz w:val="24"/>
                <w:szCs w:val="24"/>
              </w:rPr>
            </w:pPr>
            <w:r w:rsidRPr="00F900A3">
              <w:rPr>
                <w:rFonts w:ascii="Times New Roman" w:hAnsi="Times New Roman" w:cs="Times New Roman"/>
                <w:sz w:val="24"/>
                <w:szCs w:val="24"/>
              </w:rPr>
              <w:t>„</w:t>
            </w:r>
            <w:r w:rsidRPr="004A50A3">
              <w:rPr>
                <w:rFonts w:ascii="Times New Roman" w:hAnsi="Times New Roman" w:cs="Times New Roman"/>
                <w:b/>
                <w:bCs/>
                <w:sz w:val="24"/>
                <w:szCs w:val="24"/>
              </w:rPr>
              <w:t>7.</w:t>
            </w:r>
            <w:r w:rsidRPr="00F900A3">
              <w:rPr>
                <w:rFonts w:ascii="Times New Roman" w:hAnsi="Times New Roman" w:cs="Times New Roman"/>
                <w:sz w:val="24"/>
                <w:szCs w:val="24"/>
              </w:rPr>
              <w:t xml:space="preserve"> </w:t>
            </w:r>
            <w:r w:rsidRPr="004A50A3">
              <w:rPr>
                <w:rFonts w:ascii="Times New Roman" w:hAnsi="Times New Roman" w:cs="Times New Roman"/>
                <w:strike/>
                <w:sz w:val="24"/>
                <w:szCs w:val="24"/>
              </w:rPr>
              <w:t>6.</w:t>
            </w:r>
            <w:r w:rsidRPr="00F900A3">
              <w:rPr>
                <w:rFonts w:ascii="Times New Roman" w:hAnsi="Times New Roman" w:cs="Times New Roman"/>
                <w:sz w:val="24"/>
                <w:szCs w:val="24"/>
              </w:rPr>
              <w:t xml:space="preserve"> Laikinosios apsaugos priemonės netenka galios pasibaigus statybos darbų ir (ar) žemės darbų apribojimo ar draudimo terminui, nurodytam šio straipsnio 1 </w:t>
            </w:r>
            <w:r w:rsidRPr="004A50A3">
              <w:rPr>
                <w:rFonts w:ascii="Times New Roman" w:hAnsi="Times New Roman" w:cs="Times New Roman"/>
                <w:b/>
                <w:bCs/>
                <w:sz w:val="24"/>
                <w:szCs w:val="24"/>
              </w:rPr>
              <w:t xml:space="preserve">ir </w:t>
            </w:r>
            <w:r>
              <w:rPr>
                <w:rFonts w:ascii="Times New Roman" w:hAnsi="Times New Roman" w:cs="Times New Roman"/>
                <w:b/>
                <w:bCs/>
                <w:sz w:val="24"/>
                <w:szCs w:val="24"/>
              </w:rPr>
              <w:t>6</w:t>
            </w:r>
            <w:r>
              <w:rPr>
                <w:rFonts w:ascii="Times New Roman" w:hAnsi="Times New Roman" w:cs="Times New Roman"/>
                <w:sz w:val="24"/>
                <w:szCs w:val="24"/>
              </w:rPr>
              <w:t xml:space="preserve"> </w:t>
            </w:r>
            <w:r w:rsidRPr="00F900A3">
              <w:rPr>
                <w:rFonts w:ascii="Times New Roman" w:hAnsi="Times New Roman" w:cs="Times New Roman"/>
                <w:sz w:val="24"/>
                <w:szCs w:val="24"/>
              </w:rPr>
              <w:t xml:space="preserve">dalyje, nuo savininko informavimo apie pradėtas atskleidimo procedūras dienos </w:t>
            </w:r>
            <w:r>
              <w:rPr>
                <w:rFonts w:ascii="Times New Roman" w:hAnsi="Times New Roman" w:cs="Times New Roman"/>
                <w:sz w:val="24"/>
                <w:szCs w:val="24"/>
              </w:rPr>
              <w:t xml:space="preserve">ar </w:t>
            </w:r>
            <w:r w:rsidRPr="004A50A3">
              <w:rPr>
                <w:rFonts w:ascii="Times New Roman" w:hAnsi="Times New Roman" w:cs="Times New Roman"/>
                <w:b/>
                <w:bCs/>
                <w:sz w:val="24"/>
                <w:szCs w:val="24"/>
              </w:rPr>
              <w:t xml:space="preserve">apie </w:t>
            </w:r>
            <w:r w:rsidRPr="00F900A3">
              <w:rPr>
                <w:rFonts w:ascii="Times New Roman" w:hAnsi="Times New Roman" w:cs="Times New Roman"/>
                <w:b/>
                <w:bCs/>
                <w:sz w:val="24"/>
                <w:szCs w:val="24"/>
              </w:rPr>
              <w:t>pri</w:t>
            </w:r>
            <w:r>
              <w:rPr>
                <w:rFonts w:ascii="Times New Roman" w:hAnsi="Times New Roman" w:cs="Times New Roman"/>
                <w:b/>
                <w:bCs/>
                <w:sz w:val="24"/>
                <w:szCs w:val="24"/>
              </w:rPr>
              <w:t>imtą</w:t>
            </w:r>
            <w:r w:rsidRPr="00F900A3">
              <w:rPr>
                <w:rFonts w:ascii="Times New Roman" w:hAnsi="Times New Roman" w:cs="Times New Roman"/>
                <w:b/>
                <w:bCs/>
                <w:sz w:val="24"/>
                <w:szCs w:val="24"/>
              </w:rPr>
              <w:t xml:space="preserve"> sprendimą įrašyti į Inventorių</w:t>
            </w:r>
            <w:r w:rsidRPr="00131177">
              <w:rPr>
                <w:rFonts w:ascii="Times New Roman" w:hAnsi="Times New Roman" w:cs="Times New Roman"/>
                <w:b/>
                <w:bCs/>
                <w:sz w:val="24"/>
                <w:szCs w:val="24"/>
              </w:rPr>
              <w:t xml:space="preserve"> memorialinio ir (ar) istorinio vertingųjų savybių požymių turintį Inventoriaus objektą, kuris yra spėjama palaikų palaidojimo ir (ar) užkasimo vieta</w:t>
            </w:r>
            <w:r w:rsidRPr="00F900A3">
              <w:rPr>
                <w:rFonts w:ascii="Times New Roman" w:hAnsi="Times New Roman" w:cs="Times New Roman"/>
                <w:sz w:val="24"/>
                <w:szCs w:val="24"/>
              </w:rPr>
              <w:t xml:space="preserve"> ir (ar) tada, kada už kultūros paveldo apsaugą atsakinga institucija atlieka visus veiksmus, nurodytus Įstatymo 14 straipsnio 3–10 dalyse, nepasibaigus nustatytam terminui ir informavus apie tai savininką.“</w:t>
            </w:r>
          </w:p>
          <w:p w14:paraId="40666808" w14:textId="77777777" w:rsidR="00A62CFF" w:rsidRPr="002A5CF9" w:rsidRDefault="00A62CFF" w:rsidP="00A62CFF">
            <w:pPr>
              <w:spacing w:after="0" w:line="276" w:lineRule="auto"/>
              <w:jc w:val="both"/>
              <w:rPr>
                <w:rFonts w:ascii="Times New Roman" w:eastAsia="Times New Roman" w:hAnsi="Times New Roman" w:cs="Times New Roman"/>
                <w:bCs/>
                <w:sz w:val="24"/>
                <w:szCs w:val="24"/>
              </w:rPr>
            </w:pPr>
          </w:p>
        </w:tc>
      </w:tr>
    </w:tbl>
    <w:p w14:paraId="488ED14F" w14:textId="77777777" w:rsidR="00A62CFF" w:rsidRPr="00A62CFF" w:rsidRDefault="00A62CFF" w:rsidP="00A62CFF">
      <w:pPr>
        <w:spacing w:after="0" w:line="240" w:lineRule="auto"/>
        <w:jc w:val="both"/>
        <w:rPr>
          <w:rFonts w:ascii="Times New Roman" w:eastAsia="Times New Roman" w:hAnsi="Times New Roman" w:cs="Times New Roman"/>
          <w:sz w:val="24"/>
          <w:szCs w:val="20"/>
        </w:rPr>
      </w:pPr>
    </w:p>
    <w:p w14:paraId="2A0098AB" w14:textId="77777777" w:rsidR="00A62CFF" w:rsidRPr="00A62CFF" w:rsidRDefault="00A62CFF" w:rsidP="00A62CFF">
      <w:pPr>
        <w:spacing w:after="0" w:line="240" w:lineRule="auto"/>
        <w:jc w:val="both"/>
        <w:rPr>
          <w:rFonts w:ascii="Times New Roman" w:eastAsia="Times New Roman" w:hAnsi="Times New Roman" w:cs="Times New Roman"/>
          <w:bCs/>
          <w:sz w:val="24"/>
          <w:szCs w:val="24"/>
        </w:rPr>
      </w:pPr>
    </w:p>
    <w:p w14:paraId="73EDB135" w14:textId="77777777" w:rsidR="00A62CFF" w:rsidRPr="00A62CFF" w:rsidRDefault="00A62CFF" w:rsidP="00A62CFF">
      <w:pPr>
        <w:spacing w:after="0" w:line="240" w:lineRule="auto"/>
        <w:jc w:val="both"/>
        <w:rPr>
          <w:rFonts w:ascii="Times New Roman" w:eastAsia="Times New Roman" w:hAnsi="Times New Roman" w:cs="Times New Roman"/>
          <w:bCs/>
          <w:sz w:val="24"/>
          <w:szCs w:val="24"/>
        </w:rPr>
      </w:pPr>
      <w:r w:rsidRPr="00A62CFF">
        <w:rPr>
          <w:rFonts w:ascii="Times New Roman" w:eastAsia="Times New Roman" w:hAnsi="Times New Roman" w:cs="Times New Roman"/>
          <w:bCs/>
          <w:sz w:val="24"/>
          <w:szCs w:val="24"/>
        </w:rPr>
        <w:t>Teikia</w:t>
      </w:r>
    </w:p>
    <w:p w14:paraId="00B43D56" w14:textId="77777777" w:rsidR="00A62CFF" w:rsidRPr="00A62CFF" w:rsidRDefault="00A62CFF" w:rsidP="00A62CFF">
      <w:pPr>
        <w:spacing w:after="0" w:line="240" w:lineRule="auto"/>
        <w:jc w:val="both"/>
        <w:rPr>
          <w:rFonts w:ascii="Times New Roman" w:eastAsia="Times New Roman" w:hAnsi="Times New Roman" w:cs="Times New Roman"/>
          <w:bCs/>
          <w:sz w:val="24"/>
          <w:szCs w:val="24"/>
        </w:rPr>
      </w:pPr>
    </w:p>
    <w:p w14:paraId="1DA1C21E" w14:textId="13277683" w:rsidR="00265F76" w:rsidRDefault="00A62CFF" w:rsidP="00A62CFF">
      <w:r w:rsidRPr="00A62CFF">
        <w:rPr>
          <w:rFonts w:ascii="Times New Roman" w:eastAsia="Times New Roman" w:hAnsi="Times New Roman" w:cs="Times New Roman"/>
          <w:bCs/>
          <w:sz w:val="24"/>
          <w:szCs w:val="24"/>
        </w:rPr>
        <w:t>Seimo nariai:</w:t>
      </w:r>
      <w:r w:rsidRPr="00A62CFF">
        <w:rPr>
          <w:rFonts w:ascii="Times New Roman" w:eastAsia="Times New Roman" w:hAnsi="Times New Roman" w:cs="Times New Roman"/>
          <w:bCs/>
          <w:sz w:val="24"/>
          <w:szCs w:val="24"/>
        </w:rPr>
        <w:tab/>
      </w:r>
      <w:r w:rsidR="00585F1E">
        <w:rPr>
          <w:rFonts w:ascii="Times New Roman" w:eastAsia="Times New Roman" w:hAnsi="Times New Roman" w:cs="Times New Roman"/>
          <w:bCs/>
          <w:sz w:val="24"/>
          <w:szCs w:val="24"/>
        </w:rPr>
        <w:t xml:space="preserve"> </w:t>
      </w:r>
      <w:r w:rsidR="00835BF1">
        <w:rPr>
          <w:rFonts w:ascii="Times New Roman" w:eastAsia="Times New Roman" w:hAnsi="Times New Roman" w:cs="Times New Roman"/>
          <w:bCs/>
          <w:sz w:val="24"/>
          <w:szCs w:val="24"/>
        </w:rPr>
        <w:t>Vytautas Juozapaitis</w:t>
      </w:r>
    </w:p>
    <w:sectPr w:rsidR="00265F76" w:rsidSect="00A62CFF">
      <w:pgSz w:w="11906" w:h="16838"/>
      <w:pgMar w:top="1135"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CFF"/>
    <w:rsid w:val="00046FED"/>
    <w:rsid w:val="00076471"/>
    <w:rsid w:val="00125A3F"/>
    <w:rsid w:val="001826E8"/>
    <w:rsid w:val="00265F76"/>
    <w:rsid w:val="002A5CF9"/>
    <w:rsid w:val="004D03FE"/>
    <w:rsid w:val="00585F1E"/>
    <w:rsid w:val="00835BF1"/>
    <w:rsid w:val="00930A16"/>
    <w:rsid w:val="00A62CFF"/>
    <w:rsid w:val="00C06118"/>
    <w:rsid w:val="00C43F09"/>
    <w:rsid w:val="00DA1D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808FCDE"/>
  <w15:chartTrackingRefBased/>
  <w15:docId w15:val="{FC27B85F-495E-4DE2-BCDE-6848CF98B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Betarp">
    <w:name w:val="No Spacing"/>
    <w:uiPriority w:val="1"/>
    <w:qFormat/>
    <w:rsid w:val="002A5C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3</ap:TotalTime>
  <ap:Pages>2</ap:Pages>
  <ap:Words>1922</ap:Words>
  <ap:Characters>1096</ap:Characters>
  <ap:Application>Microsoft Office Word</ap:Application>
  <ap:DocSecurity>0</ap:DocSecurity>
  <ap:Lines>9</ap:Lines>
  <ap:Paragraphs>6</ap:Paragraphs>
  <ap:ScaleCrop>false</ap:ScaleCrop>
  <ap:HeadingPairs>
    <vt:vector baseType="variant" size="2">
      <vt:variant>
        <vt:lpstr>Pavadinimas</vt:lpstr>
      </vt:variant>
      <vt:variant>
        <vt:i4>1</vt:i4>
      </vt:variant>
    </vt:vector>
  </ap:HeadingPairs>
  <ap:TitlesOfParts>
    <vt:vector baseType="lpstr" size="1">
      <vt:lpstr/>
    </vt:vector>
  </ap:TitlesOfParts>
  <ap:Company>LR Seimo kanceliarija</ap:Company>
  <ap:LinksUpToDate>false</ap:LinksUpToDate>
  <ap:CharactersWithSpaces>3012</ap:CharactersWithSpaces>
  <ap:SharedDoc>false</ap:SharedDoc>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ŽUROMSKIENĖ Giedrė</dc:creator>
  <cp:lastModifiedBy>KAMINSKAS Kęstutis</cp:lastModifiedBy>
  <cp:revision>3</cp:revision>
  <dcterms:created xsi:type="dcterms:W3CDTF">2024-11-11T18:14:00Z</dcterms:created>
  <dcterms:modified xsi:type="dcterms:W3CDTF">2024-11-11T18:35:00Z</dcterms:modified>
</cp:coreProperties>
</file>