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03E273" w14:textId="77777777" w:rsidR="00FA64DF" w:rsidRDefault="00521CC5">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PASIŪLYMAS</w:t>
      </w:r>
    </w:p>
    <w:p w14:paraId="7541DBA3" w14:textId="4C01E661" w:rsidR="00FA64DF" w:rsidRPr="00521CC5" w:rsidRDefault="00521CC5" w:rsidP="00521CC5">
      <w:pPr>
        <w:spacing w:line="240" w:lineRule="auto"/>
        <w:jc w:val="center"/>
        <w:rPr>
          <w:rFonts w:ascii="Times New Roman" w:eastAsia="Times New Roman" w:hAnsi="Times New Roman" w:cs="Times New Roman"/>
          <w:b/>
          <w:sz w:val="24"/>
          <w:szCs w:val="24"/>
          <w:highlight w:val="yellow"/>
        </w:rPr>
      </w:pPr>
      <w:r>
        <w:rPr>
          <w:rFonts w:ascii="Times New Roman" w:eastAsia="Times New Roman" w:hAnsi="Times New Roman" w:cs="Times New Roman"/>
          <w:b/>
          <w:sz w:val="24"/>
          <w:szCs w:val="24"/>
        </w:rPr>
        <w:t>DĖL NEKILNOJAMOJO TURTO MOKESČIO ĮSTATYMO NR. X-233 PAKEITIMO ĮSTATYMO PROJEKTO NR. XVP-437(2)</w:t>
      </w:r>
    </w:p>
    <w:p w14:paraId="7A93FA04" w14:textId="77777777" w:rsidR="00FA64DF" w:rsidRDefault="00521CC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2025-05-22</w:t>
      </w:r>
    </w:p>
    <w:p w14:paraId="19EB6AC2" w14:textId="77777777" w:rsidR="00FA64DF" w:rsidRDefault="00521CC5">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Vilnius</w:t>
      </w:r>
      <w:r>
        <w:rPr>
          <w:rFonts w:ascii="Times New Roman" w:eastAsia="Times New Roman" w:hAnsi="Times New Roman" w:cs="Times New Roman"/>
          <w:sz w:val="24"/>
          <w:szCs w:val="24"/>
        </w:rPr>
        <w:tab/>
      </w:r>
    </w:p>
    <w:p w14:paraId="776B5F54" w14:textId="77777777" w:rsidR="00FA64DF" w:rsidRDefault="00FA64DF">
      <w:pPr>
        <w:tabs>
          <w:tab w:val="left" w:pos="6096"/>
        </w:tabs>
        <w:spacing w:line="240" w:lineRule="auto"/>
        <w:jc w:val="both"/>
        <w:rPr>
          <w:rFonts w:ascii="Times New Roman" w:eastAsia="Times New Roman" w:hAnsi="Times New Roman" w:cs="Times New Roman"/>
          <w:sz w:val="24"/>
          <w:szCs w:val="24"/>
        </w:rPr>
      </w:pPr>
    </w:p>
    <w:tbl>
      <w:tblPr>
        <w:tblStyle w:val="a"/>
        <w:tblpPr w:leftFromText="180" w:rightFromText="180" w:topFromText="180" w:bottomFromText="180" w:vertAnchor="text"/>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691"/>
        <w:gridCol w:w="669"/>
        <w:gridCol w:w="669"/>
        <w:gridCol w:w="669"/>
        <w:gridCol w:w="6321"/>
      </w:tblGrid>
      <w:tr w:rsidR="00FA64DF" w14:paraId="356693E6" w14:textId="77777777" w:rsidTr="00D16FA9">
        <w:trPr>
          <w:cantSplit/>
          <w:trHeight w:val="472"/>
        </w:trPr>
        <w:tc>
          <w:tcPr>
            <w:tcW w:w="383" w:type="pct"/>
            <w:vMerge w:val="restart"/>
            <w:vAlign w:val="center"/>
          </w:tcPr>
          <w:p w14:paraId="6D3504F6" w14:textId="77777777" w:rsidR="00FA64DF" w:rsidRDefault="00521CC5">
            <w:pPr>
              <w:spacing w:line="240" w:lineRule="auto"/>
              <w:jc w:val="center"/>
              <w:rPr>
                <w:rFonts w:ascii="Times New Roman" w:eastAsia="Times New Roman" w:hAnsi="Times New Roman" w:cs="Times New Roman"/>
              </w:rPr>
            </w:pPr>
            <w:bookmarkStart w:id="0" w:name="_GoBack"/>
            <w:r>
              <w:rPr>
                <w:rFonts w:ascii="Times New Roman" w:eastAsia="Times New Roman" w:hAnsi="Times New Roman" w:cs="Times New Roman"/>
              </w:rPr>
              <w:t>Eil. Nr.</w:t>
            </w:r>
          </w:p>
        </w:tc>
        <w:tc>
          <w:tcPr>
            <w:tcW w:w="1113" w:type="pct"/>
            <w:gridSpan w:val="3"/>
            <w:vAlign w:val="center"/>
          </w:tcPr>
          <w:p w14:paraId="260C3D57" w14:textId="77777777" w:rsidR="00FA64DF" w:rsidRDefault="00521CC5">
            <w:pPr>
              <w:spacing w:line="240" w:lineRule="auto"/>
              <w:jc w:val="center"/>
              <w:rPr>
                <w:rFonts w:ascii="Times New Roman" w:eastAsia="Times New Roman" w:hAnsi="Times New Roman" w:cs="Times New Roman"/>
              </w:rPr>
            </w:pPr>
            <w:r>
              <w:rPr>
                <w:rFonts w:ascii="Times New Roman" w:eastAsia="Times New Roman" w:hAnsi="Times New Roman" w:cs="Times New Roman"/>
              </w:rPr>
              <w:t>Siūloma keisti</w:t>
            </w:r>
          </w:p>
        </w:tc>
        <w:tc>
          <w:tcPr>
            <w:tcW w:w="3503" w:type="pct"/>
            <w:vMerge w:val="restart"/>
            <w:vAlign w:val="center"/>
          </w:tcPr>
          <w:p w14:paraId="3E9A02B4" w14:textId="77777777" w:rsidR="00FA64DF" w:rsidRDefault="00521CC5">
            <w:pPr>
              <w:spacing w:line="240" w:lineRule="auto"/>
              <w:jc w:val="center"/>
              <w:rPr>
                <w:rFonts w:ascii="Times New Roman" w:eastAsia="Times New Roman" w:hAnsi="Times New Roman" w:cs="Times New Roman"/>
              </w:rPr>
            </w:pPr>
            <w:r>
              <w:rPr>
                <w:rFonts w:ascii="Times New Roman" w:eastAsia="Times New Roman" w:hAnsi="Times New Roman" w:cs="Times New Roman"/>
              </w:rPr>
              <w:t>Pasiūlymo turinys</w:t>
            </w:r>
          </w:p>
        </w:tc>
      </w:tr>
      <w:tr w:rsidR="00FA64DF" w14:paraId="637490C1" w14:textId="77777777" w:rsidTr="00D16FA9">
        <w:trPr>
          <w:cantSplit/>
          <w:trHeight w:val="426"/>
        </w:trPr>
        <w:tc>
          <w:tcPr>
            <w:tcW w:w="383" w:type="pct"/>
            <w:vMerge/>
            <w:vAlign w:val="center"/>
          </w:tcPr>
          <w:p w14:paraId="3B44B699" w14:textId="77777777" w:rsidR="00FA64DF" w:rsidRDefault="00FA64DF">
            <w:pPr>
              <w:widowControl w:val="0"/>
              <w:rPr>
                <w:rFonts w:ascii="Times New Roman" w:eastAsia="Times New Roman" w:hAnsi="Times New Roman" w:cs="Times New Roman"/>
              </w:rPr>
            </w:pPr>
          </w:p>
        </w:tc>
        <w:tc>
          <w:tcPr>
            <w:tcW w:w="371" w:type="pct"/>
            <w:vAlign w:val="center"/>
          </w:tcPr>
          <w:p w14:paraId="561DCF77" w14:textId="77777777" w:rsidR="00FA64DF" w:rsidRDefault="00521CC5">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str.</w:t>
            </w:r>
          </w:p>
        </w:tc>
        <w:tc>
          <w:tcPr>
            <w:tcW w:w="371" w:type="pct"/>
            <w:vAlign w:val="center"/>
          </w:tcPr>
          <w:p w14:paraId="50ACF7CC" w14:textId="77777777" w:rsidR="00FA64DF" w:rsidRDefault="00521CC5">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str. d.</w:t>
            </w:r>
          </w:p>
        </w:tc>
        <w:tc>
          <w:tcPr>
            <w:tcW w:w="371" w:type="pct"/>
            <w:vAlign w:val="center"/>
          </w:tcPr>
          <w:p w14:paraId="16AB38B6" w14:textId="77777777" w:rsidR="00FA64DF" w:rsidRDefault="00521CC5">
            <w:pPr>
              <w:spacing w:line="24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p.</w:t>
            </w:r>
          </w:p>
        </w:tc>
        <w:tc>
          <w:tcPr>
            <w:tcW w:w="3503" w:type="pct"/>
            <w:vMerge/>
            <w:vAlign w:val="center"/>
          </w:tcPr>
          <w:p w14:paraId="41AB4B4D" w14:textId="77777777" w:rsidR="00FA64DF" w:rsidRDefault="00FA64DF">
            <w:pPr>
              <w:widowControl w:val="0"/>
              <w:rPr>
                <w:rFonts w:ascii="Times New Roman" w:eastAsia="Times New Roman" w:hAnsi="Times New Roman" w:cs="Times New Roman"/>
                <w:sz w:val="20"/>
                <w:szCs w:val="20"/>
              </w:rPr>
            </w:pPr>
          </w:p>
        </w:tc>
      </w:tr>
      <w:tr w:rsidR="00FA64DF" w14:paraId="7B8222E6" w14:textId="77777777" w:rsidTr="00D16FA9">
        <w:tc>
          <w:tcPr>
            <w:tcW w:w="383" w:type="pct"/>
          </w:tcPr>
          <w:p w14:paraId="09E21668" w14:textId="77777777" w:rsidR="00FA64DF" w:rsidRDefault="00FA64DF">
            <w:pPr>
              <w:spacing w:line="240" w:lineRule="auto"/>
              <w:jc w:val="center"/>
              <w:rPr>
                <w:rFonts w:ascii="Times New Roman" w:eastAsia="Times New Roman" w:hAnsi="Times New Roman" w:cs="Times New Roman"/>
                <w:sz w:val="24"/>
                <w:szCs w:val="24"/>
              </w:rPr>
            </w:pPr>
          </w:p>
        </w:tc>
        <w:tc>
          <w:tcPr>
            <w:tcW w:w="371" w:type="pct"/>
          </w:tcPr>
          <w:p w14:paraId="41824289" w14:textId="77777777" w:rsidR="00FA64DF" w:rsidRDefault="00521CC5">
            <w:pP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7</w:t>
            </w:r>
          </w:p>
        </w:tc>
        <w:tc>
          <w:tcPr>
            <w:tcW w:w="371" w:type="pct"/>
          </w:tcPr>
          <w:p w14:paraId="3D3F68CC" w14:textId="77777777" w:rsidR="00FA64DF" w:rsidRDefault="00521CC5">
            <w:pP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3, 4</w:t>
            </w:r>
          </w:p>
        </w:tc>
        <w:tc>
          <w:tcPr>
            <w:tcW w:w="371" w:type="pct"/>
          </w:tcPr>
          <w:p w14:paraId="44A42A95" w14:textId="77777777" w:rsidR="00FA64DF" w:rsidRDefault="00FA64DF">
            <w:pPr>
              <w:spacing w:line="240" w:lineRule="auto"/>
              <w:jc w:val="center"/>
              <w:rPr>
                <w:rFonts w:ascii="Times New Roman" w:eastAsia="Times New Roman" w:hAnsi="Times New Roman" w:cs="Times New Roman"/>
                <w:sz w:val="24"/>
                <w:szCs w:val="24"/>
              </w:rPr>
            </w:pPr>
          </w:p>
        </w:tc>
        <w:tc>
          <w:tcPr>
            <w:tcW w:w="3503" w:type="pct"/>
          </w:tcPr>
          <w:p w14:paraId="6902731D" w14:textId="77777777" w:rsidR="00FA64DF" w:rsidRDefault="00521CC5">
            <w:pPr>
              <w:spacing w:line="240" w:lineRule="auto"/>
              <w:ind w:firstLine="285"/>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Argumentai:</w:t>
            </w:r>
          </w:p>
          <w:p w14:paraId="1E070956" w14:textId="77777777" w:rsidR="00FA64DF" w:rsidRDefault="00521CC5">
            <w:pPr>
              <w:spacing w:line="240" w:lineRule="auto"/>
              <w:ind w:firstLine="285"/>
              <w:jc w:val="both"/>
              <w:rPr>
                <w:rFonts w:ascii="Times New Roman" w:eastAsia="Times New Roman" w:hAnsi="Times New Roman" w:cs="Times New Roman"/>
                <w:sz w:val="24"/>
                <w:szCs w:val="24"/>
              </w:rPr>
            </w:pPr>
            <w:r>
              <w:rPr>
                <w:rFonts w:ascii="Times New Roman" w:eastAsia="Times New Roman" w:hAnsi="Times New Roman" w:cs="Times New Roman"/>
                <w:color w:val="222222"/>
                <w:sz w:val="24"/>
                <w:szCs w:val="24"/>
                <w:highlight w:val="white"/>
              </w:rPr>
              <w:t>Lietuvos Respublikos Vyriausybės inicijuotas projektas dėl nekilnojamojo turto mokesčio numato apmokestinti visų šalies gyventojų nekilnojamąjį turtą. Toks sprendimas neatsižvelgia į esminį socialinį ir ekonominį aspektą – pirmasis būstas daugeliui žmonių yra pagrindinis gyvenamasis turtas, būtinas oriai gyventi, užtikrinantis šeimos stabilumą ir saugumą.</w:t>
            </w:r>
          </w:p>
          <w:p w14:paraId="0EFDEE01" w14:textId="77777777" w:rsidR="00FA64DF" w:rsidRDefault="00521CC5">
            <w:pPr>
              <w:spacing w:line="240" w:lineRule="auto"/>
              <w:ind w:firstLine="285"/>
              <w:jc w:val="both"/>
              <w:rPr>
                <w:rFonts w:ascii="Times New Roman" w:eastAsia="Times New Roman" w:hAnsi="Times New Roman" w:cs="Times New Roman"/>
                <w:b/>
                <w:sz w:val="24"/>
                <w:szCs w:val="24"/>
              </w:rPr>
            </w:pPr>
            <w:r>
              <w:rPr>
                <w:rFonts w:ascii="Times New Roman" w:eastAsia="Times New Roman" w:hAnsi="Times New Roman" w:cs="Times New Roman"/>
                <w:color w:val="222222"/>
                <w:sz w:val="24"/>
                <w:szCs w:val="24"/>
                <w:highlight w:val="white"/>
              </w:rPr>
              <w:t>Esant vis dar aukštoms būsto paskolų palūkanoms, gyventojai jau patyrė didelę finansinę naštą. Mokant didesnes mėnesines įmokas bankams, daliai žmonių išlaikyti savo būstą tapo rimtu iššūkiu. Papildomas nekilnojamojo turto mokestis pagrindiniam būstui dar labiau apsunkintų gyventojų finansinę padėtį, ypač jaunoms šeimoms, kurios tik pradeda kurti savo namus.</w:t>
            </w:r>
          </w:p>
          <w:p w14:paraId="3EA053F6" w14:textId="77777777" w:rsidR="00FA64DF" w:rsidRDefault="00FA64DF">
            <w:pPr>
              <w:spacing w:line="240" w:lineRule="auto"/>
              <w:ind w:firstLine="285"/>
              <w:jc w:val="both"/>
              <w:rPr>
                <w:rFonts w:ascii="Times New Roman" w:eastAsia="Times New Roman" w:hAnsi="Times New Roman" w:cs="Times New Roman"/>
                <w:b/>
                <w:sz w:val="24"/>
                <w:szCs w:val="24"/>
              </w:rPr>
            </w:pPr>
          </w:p>
          <w:p w14:paraId="27C1D5AB" w14:textId="77777777" w:rsidR="00FA64DF" w:rsidRDefault="00521CC5">
            <w:pPr>
              <w:spacing w:line="240" w:lineRule="auto"/>
              <w:ind w:firstLine="2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Pasiūlymas:</w:t>
            </w:r>
          </w:p>
          <w:p w14:paraId="522EB7AB" w14:textId="77777777" w:rsidR="00FA64DF" w:rsidRDefault="00521CC5">
            <w:pPr>
              <w:spacing w:line="240" w:lineRule="auto"/>
              <w:ind w:firstLine="28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Pakeisti Projekto 7 straipsnio 3 ir 4 dalis ir jas išdėstyti taip:</w:t>
            </w:r>
          </w:p>
          <w:p w14:paraId="6548FDF3" w14:textId="77777777" w:rsidR="00FA64DF" w:rsidRDefault="00521CC5">
            <w:pPr>
              <w:spacing w:line="240" w:lineRule="auto"/>
              <w:ind w:firstLine="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3. Mokestis už pagrindinį gyvenamąjį būstą mažinamas </w:t>
            </w:r>
            <w:r>
              <w:rPr>
                <w:rFonts w:ascii="Times New Roman" w:eastAsia="Times New Roman" w:hAnsi="Times New Roman" w:cs="Times New Roman"/>
                <w:strike/>
                <w:sz w:val="24"/>
                <w:szCs w:val="24"/>
              </w:rPr>
              <w:t>50</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100</w:t>
            </w:r>
            <w:r>
              <w:rPr>
                <w:rFonts w:ascii="Times New Roman" w:eastAsia="Times New Roman" w:hAnsi="Times New Roman" w:cs="Times New Roman"/>
                <w:sz w:val="24"/>
                <w:szCs w:val="24"/>
              </w:rPr>
              <w:t xml:space="preserve"> procentų nekilnojamojo turto mokesčio sumos, apskaičiuotos taikant šio įstatymo 6 straipsnio 5 dalyje nustatytus tarifus pagrindinio gyvenamojo būsto mokestinei vertei (arba jos daliai), neviršijančiai 450 000 eurų.</w:t>
            </w:r>
          </w:p>
          <w:p w14:paraId="3C434385" w14:textId="77777777" w:rsidR="00FA64DF" w:rsidRDefault="00521CC5">
            <w:pPr>
              <w:spacing w:line="240" w:lineRule="auto"/>
              <w:ind w:firstLine="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4. Fiziniams asmenims, auginantiems 3 ir daugiau vaikų (įvaikių, globotinių (rūpintinių), kuriems nustatyta nuolatinė globa (rūpyba) šeimoje) iki 18 metų, ir asmenims, auginantiems vaiką (įvaikį, globotinį (rūpintinį), kuriam nustatyta nuolatinė globa (rūpyba) šeimoje) su negalia iki 18 metų, taip pat vyresnį vaiką (įvaikį, globotinį, kuriam nustatyta nuolatinė globa (rūpyba) šeimoje) su negalia, kuriam nustatytas specialusis nuolatinės slaugos I ar II individualios pagalbos teikimo išlaidų kompensacijos poreikis, mokestis už pagrindinį gyvenamąjį būstą mažinamas </w:t>
            </w:r>
            <w:r>
              <w:rPr>
                <w:rFonts w:ascii="Times New Roman" w:eastAsia="Times New Roman" w:hAnsi="Times New Roman" w:cs="Times New Roman"/>
                <w:strike/>
                <w:sz w:val="24"/>
                <w:szCs w:val="24"/>
              </w:rPr>
              <w:t>75</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100</w:t>
            </w:r>
            <w:r>
              <w:rPr>
                <w:rFonts w:ascii="Times New Roman" w:eastAsia="Times New Roman" w:hAnsi="Times New Roman" w:cs="Times New Roman"/>
                <w:sz w:val="24"/>
                <w:szCs w:val="24"/>
              </w:rPr>
              <w:t xml:space="preserve"> </w:t>
            </w:r>
            <w:r>
              <w:rPr>
                <w:rFonts w:ascii="Times New Roman" w:eastAsia="Times New Roman" w:hAnsi="Times New Roman" w:cs="Times New Roman"/>
                <w:strike/>
                <w:sz w:val="24"/>
                <w:szCs w:val="24"/>
              </w:rPr>
              <w:t>procentais</w:t>
            </w:r>
            <w:r>
              <w:rPr>
                <w:rFonts w:ascii="Times New Roman" w:eastAsia="Times New Roman" w:hAnsi="Times New Roman" w:cs="Times New Roman"/>
                <w:sz w:val="24"/>
                <w:szCs w:val="24"/>
              </w:rPr>
              <w:t xml:space="preserve"> </w:t>
            </w:r>
            <w:r>
              <w:rPr>
                <w:rFonts w:ascii="Times New Roman" w:eastAsia="Times New Roman" w:hAnsi="Times New Roman" w:cs="Times New Roman"/>
                <w:b/>
                <w:sz w:val="24"/>
                <w:szCs w:val="24"/>
              </w:rPr>
              <w:t>procentų</w:t>
            </w:r>
            <w:r>
              <w:rPr>
                <w:rFonts w:ascii="Times New Roman" w:eastAsia="Times New Roman" w:hAnsi="Times New Roman" w:cs="Times New Roman"/>
                <w:sz w:val="24"/>
                <w:szCs w:val="24"/>
              </w:rPr>
              <w:t xml:space="preserve"> nekilnojamojo turto mokesčio sumos, apskaičiuotos taikant šio įstatymo 6 straipsnio 5 dalyje nustatytus tarifus pagrindinio gyvenamojo būsto mokestinei vertei (arba jos daliai), neviršijančiai 450 000 eurų.</w:t>
            </w:r>
          </w:p>
        </w:tc>
      </w:tr>
      <w:bookmarkEnd w:id="0"/>
    </w:tbl>
    <w:p w14:paraId="4A81CCBD" w14:textId="77777777" w:rsidR="00FA64DF" w:rsidRDefault="00FA64DF">
      <w:pPr>
        <w:spacing w:line="240" w:lineRule="auto"/>
        <w:jc w:val="both"/>
        <w:rPr>
          <w:rFonts w:ascii="Times New Roman" w:eastAsia="Times New Roman" w:hAnsi="Times New Roman" w:cs="Times New Roman"/>
          <w:sz w:val="24"/>
          <w:szCs w:val="24"/>
        </w:rPr>
      </w:pPr>
    </w:p>
    <w:p w14:paraId="709839D0" w14:textId="77777777" w:rsidR="00FA64DF" w:rsidRDefault="00521CC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Teikia Seimo nariai:</w:t>
      </w:r>
    </w:p>
    <w:p w14:paraId="1AEEC186" w14:textId="77777777" w:rsidR="00FA64DF" w:rsidRDefault="00521CC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Viktoras Fiodorovas</w:t>
      </w:r>
    </w:p>
    <w:p w14:paraId="5482E6CE" w14:textId="77777777" w:rsidR="00FA64DF" w:rsidRDefault="00521CC5">
      <w:pPr>
        <w:spacing w:line="24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Vitalijus </w:t>
      </w:r>
      <w:proofErr w:type="spellStart"/>
      <w:r>
        <w:rPr>
          <w:rFonts w:ascii="Times New Roman" w:eastAsia="Times New Roman" w:hAnsi="Times New Roman" w:cs="Times New Roman"/>
          <w:sz w:val="24"/>
          <w:szCs w:val="24"/>
        </w:rPr>
        <w:t>Šeršniovas</w:t>
      </w:r>
      <w:proofErr w:type="spellEnd"/>
    </w:p>
    <w:p w14:paraId="3CDD3E5C" w14:textId="77777777" w:rsidR="00FA64DF" w:rsidRDefault="00521CC5">
      <w:pPr>
        <w:spacing w:line="240" w:lineRule="auto"/>
        <w:jc w:val="both"/>
      </w:pPr>
      <w:r>
        <w:rPr>
          <w:rFonts w:ascii="Times New Roman" w:eastAsia="Times New Roman" w:hAnsi="Times New Roman" w:cs="Times New Roman"/>
          <w:sz w:val="24"/>
          <w:szCs w:val="24"/>
        </w:rPr>
        <w:t xml:space="preserve">Vytautas </w:t>
      </w:r>
      <w:proofErr w:type="spellStart"/>
      <w:r>
        <w:rPr>
          <w:rFonts w:ascii="Times New Roman" w:eastAsia="Times New Roman" w:hAnsi="Times New Roman" w:cs="Times New Roman"/>
          <w:sz w:val="24"/>
          <w:szCs w:val="24"/>
        </w:rPr>
        <w:t>Sinica</w:t>
      </w:r>
      <w:proofErr w:type="spellEnd"/>
    </w:p>
    <w:sectPr w:rsidR="00FA64DF">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BA"/>
    <w:family w:val="swiss"/>
    <w:pitch w:val="variable"/>
    <w:sig w:usb0="E0002EFF" w:usb1="C000785B" w:usb2="00000009" w:usb3="00000000" w:csb0="000001FF" w:csb1="00000000"/>
  </w:font>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4DF"/>
    <w:rsid w:val="00461234"/>
    <w:rsid w:val="00521CC5"/>
    <w:rsid w:val="00D16FA9"/>
    <w:rsid w:val="00FA64D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36FE79"/>
  <w15:docId w15:val="{707FD409-406C-DA4E-931F-D76A4CABA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lt"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1">
    <w:name w:val="heading 1"/>
    <w:basedOn w:val="prastasis"/>
    <w:next w:val="prastasis"/>
    <w:uiPriority w:val="9"/>
    <w:qFormat/>
    <w:pPr>
      <w:keepNext/>
      <w:keepLines/>
      <w:spacing w:before="400" w:after="120"/>
      <w:outlineLvl w:val="0"/>
    </w:pPr>
    <w:rPr>
      <w:sz w:val="40"/>
      <w:szCs w:val="40"/>
    </w:rPr>
  </w:style>
  <w:style w:type="paragraph" w:styleId="Antrat2">
    <w:name w:val="heading 2"/>
    <w:basedOn w:val="prastasis"/>
    <w:next w:val="prastasis"/>
    <w:uiPriority w:val="9"/>
    <w:semiHidden/>
    <w:unhideWhenUsed/>
    <w:qFormat/>
    <w:pPr>
      <w:keepNext/>
      <w:keepLines/>
      <w:spacing w:before="360" w:after="120"/>
      <w:outlineLvl w:val="1"/>
    </w:pPr>
    <w:rPr>
      <w:sz w:val="32"/>
      <w:szCs w:val="32"/>
    </w:rPr>
  </w:style>
  <w:style w:type="paragraph" w:styleId="Antrat3">
    <w:name w:val="heading 3"/>
    <w:basedOn w:val="prastasis"/>
    <w:next w:val="prastasis"/>
    <w:uiPriority w:val="9"/>
    <w:semiHidden/>
    <w:unhideWhenUsed/>
    <w:qFormat/>
    <w:pPr>
      <w:keepNext/>
      <w:keepLines/>
      <w:spacing w:before="320" w:after="80"/>
      <w:outlineLvl w:val="2"/>
    </w:pPr>
    <w:rPr>
      <w:color w:val="434343"/>
      <w:sz w:val="28"/>
      <w:szCs w:val="28"/>
    </w:rPr>
  </w:style>
  <w:style w:type="paragraph" w:styleId="Antrat4">
    <w:name w:val="heading 4"/>
    <w:basedOn w:val="prastasis"/>
    <w:next w:val="prastasis"/>
    <w:uiPriority w:val="9"/>
    <w:semiHidden/>
    <w:unhideWhenUsed/>
    <w:qFormat/>
    <w:pPr>
      <w:keepNext/>
      <w:keepLines/>
      <w:spacing w:before="280" w:after="80"/>
      <w:outlineLvl w:val="3"/>
    </w:pPr>
    <w:rPr>
      <w:color w:val="666666"/>
      <w:sz w:val="24"/>
      <w:szCs w:val="24"/>
    </w:rPr>
  </w:style>
  <w:style w:type="paragraph" w:styleId="Antrat5">
    <w:name w:val="heading 5"/>
    <w:basedOn w:val="prastasis"/>
    <w:next w:val="prastasis"/>
    <w:uiPriority w:val="9"/>
    <w:semiHidden/>
    <w:unhideWhenUsed/>
    <w:qFormat/>
    <w:pPr>
      <w:keepNext/>
      <w:keepLines/>
      <w:spacing w:before="240" w:after="80"/>
      <w:outlineLvl w:val="4"/>
    </w:pPr>
    <w:rPr>
      <w:color w:val="666666"/>
    </w:rPr>
  </w:style>
  <w:style w:type="paragraph" w:styleId="Antrat6">
    <w:name w:val="heading 6"/>
    <w:basedOn w:val="prastasis"/>
    <w:next w:val="prastasis"/>
    <w:uiPriority w:val="9"/>
    <w:semiHidden/>
    <w:unhideWhenUsed/>
    <w:qFormat/>
    <w:pPr>
      <w:keepNext/>
      <w:keepLines/>
      <w:spacing w:before="240" w:after="80"/>
      <w:outlineLvl w:val="5"/>
    </w:pPr>
    <w:rPr>
      <w:i/>
      <w:color w:val="66666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vadinimas">
    <w:name w:val="Title"/>
    <w:basedOn w:val="prastasis"/>
    <w:next w:val="prastasis"/>
    <w:uiPriority w:val="10"/>
    <w:qFormat/>
    <w:pPr>
      <w:keepNext/>
      <w:keepLines/>
      <w:spacing w:after="60"/>
    </w:pPr>
    <w:rPr>
      <w:sz w:val="52"/>
      <w:szCs w:val="52"/>
    </w:rPr>
  </w:style>
  <w:style w:type="paragraph" w:styleId="Paantrat">
    <w:name w:val="Subtitle"/>
    <w:basedOn w:val="prastasis"/>
    <w:next w:val="prastasis"/>
    <w:uiPriority w:val="11"/>
    <w:qFormat/>
    <w:pPr>
      <w:keepNext/>
      <w:keepLines/>
      <w:spacing w:after="320"/>
    </w:pPr>
    <w:rPr>
      <w:color w:val="666666"/>
      <w:sz w:val="30"/>
      <w:szCs w:val="30"/>
    </w:rPr>
  </w:style>
  <w:style w:type="table" w:customStyle="1" w:styleId="a">
    <w:basedOn w:val="prastojilente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1381</Words>
  <Characters>788</Characters>
  <Application>Microsoft Office Word</Application>
  <DocSecurity>0</DocSecurity>
  <Lines>6</Lines>
  <Paragraphs>4</Paragraphs>
  <ScaleCrop>false</ScaleCrop>
  <Company/>
  <LinksUpToDate>false</LinksUpToDate>
  <CharactersWithSpaces>2165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GRUNDAITĖ Aistė</cp:lastModifiedBy>
  <cp:revision>3</cp:revision>
  <dcterms:created xsi:type="dcterms:W3CDTF">2025-05-22T06:41:00Z</dcterms:created>
  <dcterms:modified xsi:type="dcterms:W3CDTF">2025-05-27T10:22:00Z</dcterms:modified>
</cp:coreProperties>
</file>