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F7E" w:rsidRDefault="001A36A7">
      <w:pPr>
        <w:jc w:val="center"/>
        <w:rPr>
          <w:b/>
          <w:smallCaps/>
        </w:rPr>
      </w:pPr>
      <w:r>
        <w:rPr>
          <w:b/>
          <w:smallCaps/>
        </w:rPr>
        <w:t xml:space="preserve">PASIŪLYMAS </w:t>
      </w:r>
    </w:p>
    <w:p w:rsidR="001E0F7E" w:rsidRDefault="001A36A7">
      <w:pPr>
        <w:jc w:val="center"/>
        <w:rPr>
          <w:b/>
          <w:smallCaps/>
        </w:rPr>
      </w:pPr>
      <w:r>
        <w:rPr>
          <w:b/>
          <w:smallCaps/>
        </w:rPr>
        <w:t>DĖL LIETUVOS RESPUBLIKOS ŽMONIŲ PALAIKŲ LAIDOJIMO ĮSTATYMO NR. X-1404 2, 11, 11</w:t>
      </w:r>
      <w:r>
        <w:rPr>
          <w:b/>
          <w:smallCaps/>
          <w:vertAlign w:val="superscript"/>
        </w:rPr>
        <w:t>1</w:t>
      </w:r>
      <w:r>
        <w:rPr>
          <w:b/>
          <w:smallCaps/>
        </w:rPr>
        <w:t>, 13, 25, 27, 33 STRAIPSNIŲ PAKEITIMO ĮSTATYMO PROJEKTO NR. XIVP-1329</w:t>
      </w:r>
    </w:p>
    <w:p w:rsidR="001E0F7E" w:rsidRDefault="001E0F7E">
      <w:pPr>
        <w:jc w:val="center"/>
        <w:rPr>
          <w:b/>
          <w:smallCaps/>
        </w:rPr>
      </w:pPr>
    </w:p>
    <w:p w:rsidR="001E0F7E" w:rsidRPr="00E166F3" w:rsidRDefault="00E166F3">
      <w:pPr>
        <w:jc w:val="center"/>
        <w:rPr>
          <w:highlight w:val="white"/>
          <w:lang w:val="en-US"/>
        </w:rPr>
      </w:pPr>
      <w:r>
        <w:rPr>
          <w:highlight w:val="white"/>
        </w:rPr>
        <w:t>2022-04-0</w:t>
      </w:r>
      <w:r>
        <w:rPr>
          <w:highlight w:val="white"/>
          <w:lang w:val="en-US"/>
        </w:rPr>
        <w:t>4</w:t>
      </w:r>
    </w:p>
    <w:p w:rsidR="001E0F7E" w:rsidRDefault="001A36A7">
      <w:pPr>
        <w:jc w:val="center"/>
      </w:pPr>
      <w:r>
        <w:t>Vilnius</w:t>
      </w:r>
    </w:p>
    <w:p w:rsidR="001E0F7E" w:rsidRDefault="001E0F7E">
      <w:pPr>
        <w:jc w:val="both"/>
      </w:pPr>
    </w:p>
    <w:tbl>
      <w:tblPr>
        <w:tblStyle w:val="a1"/>
        <w:tblW w:w="9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709"/>
        <w:gridCol w:w="709"/>
        <w:gridCol w:w="708"/>
        <w:gridCol w:w="6690"/>
      </w:tblGrid>
      <w:tr w:rsidR="001E0F7E">
        <w:trPr>
          <w:cantSplit/>
          <w:trHeight w:val="472"/>
          <w:jc w:val="center"/>
        </w:trPr>
        <w:tc>
          <w:tcPr>
            <w:tcW w:w="732" w:type="dxa"/>
            <w:vMerge w:val="restart"/>
            <w:vAlign w:val="center"/>
          </w:tcPr>
          <w:p w:rsidR="001E0F7E" w:rsidRDefault="001A3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 Nr.</w:t>
            </w:r>
          </w:p>
        </w:tc>
        <w:tc>
          <w:tcPr>
            <w:tcW w:w="2126" w:type="dxa"/>
            <w:gridSpan w:val="3"/>
            <w:vAlign w:val="center"/>
          </w:tcPr>
          <w:p w:rsidR="001E0F7E" w:rsidRDefault="001A3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Siūloma keisti</w:t>
            </w:r>
          </w:p>
        </w:tc>
        <w:tc>
          <w:tcPr>
            <w:tcW w:w="6690" w:type="dxa"/>
            <w:vMerge w:val="restart"/>
            <w:vAlign w:val="center"/>
          </w:tcPr>
          <w:p w:rsidR="001E0F7E" w:rsidRDefault="001A3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Pasiūlymo turinys</w:t>
            </w:r>
          </w:p>
        </w:tc>
      </w:tr>
      <w:tr w:rsidR="001E0F7E">
        <w:trPr>
          <w:cantSplit/>
          <w:trHeight w:val="426"/>
          <w:jc w:val="center"/>
        </w:trPr>
        <w:tc>
          <w:tcPr>
            <w:tcW w:w="732" w:type="dxa"/>
            <w:vMerge/>
            <w:vAlign w:val="center"/>
          </w:tcPr>
          <w:p w:rsidR="001E0F7E" w:rsidRDefault="001E0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E0F7E" w:rsidRDefault="001A3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</w:t>
            </w:r>
          </w:p>
        </w:tc>
        <w:tc>
          <w:tcPr>
            <w:tcW w:w="709" w:type="dxa"/>
            <w:vAlign w:val="center"/>
          </w:tcPr>
          <w:p w:rsidR="001E0F7E" w:rsidRDefault="001A3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 d.</w:t>
            </w:r>
          </w:p>
        </w:tc>
        <w:tc>
          <w:tcPr>
            <w:tcW w:w="708" w:type="dxa"/>
            <w:vAlign w:val="center"/>
          </w:tcPr>
          <w:p w:rsidR="001E0F7E" w:rsidRDefault="001A3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</w:t>
            </w:r>
          </w:p>
        </w:tc>
        <w:tc>
          <w:tcPr>
            <w:tcW w:w="6690" w:type="dxa"/>
            <w:vMerge/>
            <w:vAlign w:val="center"/>
          </w:tcPr>
          <w:p w:rsidR="001E0F7E" w:rsidRDefault="001E0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1E0F7E">
        <w:trPr>
          <w:jc w:val="center"/>
        </w:trPr>
        <w:tc>
          <w:tcPr>
            <w:tcW w:w="732" w:type="dxa"/>
          </w:tcPr>
          <w:p w:rsidR="001E0F7E" w:rsidRDefault="001A3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09" w:type="dxa"/>
          </w:tcPr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E0F7E" w:rsidRDefault="001E0F7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690" w:type="dxa"/>
          </w:tcPr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Argumentai:</w:t>
            </w:r>
          </w:p>
          <w:p w:rsidR="001E0F7E" w:rsidRDefault="001A3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Šiuo metu Lietuvos Respublikos Seime vyksta</w:t>
            </w:r>
            <w:r w:rsidR="00E166F3">
              <w:rPr>
                <w:sz w:val="22"/>
                <w:szCs w:val="22"/>
              </w:rPr>
              <w:t xml:space="preserve"> intensyvios</w:t>
            </w:r>
            <w:r>
              <w:rPr>
                <w:sz w:val="22"/>
                <w:szCs w:val="22"/>
              </w:rPr>
              <w:t xml:space="preserve"> politinės diskusijos dėl partnerystės instituto įteisinimo. Lietuvos Statistikos departamento duomenimis, Lietuvoje amžiaus grupėje nuo 20 iki 49 metų yra 560 tūkst. asmenų, kurie niekada nebuvo sudarę santuokos.</w:t>
            </w:r>
            <w:r>
              <w:rPr>
                <w:sz w:val="22"/>
                <w:szCs w:val="22"/>
              </w:rPr>
              <w:t xml:space="preserve"> Siekiant, kad partneriai, kurie kuria tarpusavio santykius nesudarę santuokos, galėtų įgyvendinti paskutinę partnerio valią ir pasirūpinti mirusiuoju partneriu, siūloma Lietuvos Respublikos žmonių palaikų laidojimo įstatyme teises ir pareigas numatyti ne </w:t>
            </w:r>
            <w:r>
              <w:rPr>
                <w:sz w:val="22"/>
                <w:szCs w:val="22"/>
              </w:rPr>
              <w:t xml:space="preserve">tik sutuoktiniams, bet ir </w:t>
            </w:r>
            <w:r>
              <w:rPr>
                <w:sz w:val="22"/>
                <w:szCs w:val="22"/>
              </w:rPr>
              <w:t xml:space="preserve">partneriams. </w:t>
            </w:r>
          </w:p>
          <w:p w:rsidR="001E0F7E" w:rsidRDefault="001E0F7E">
            <w:pPr>
              <w:jc w:val="both"/>
              <w:rPr>
                <w:sz w:val="22"/>
                <w:szCs w:val="22"/>
              </w:rPr>
            </w:pPr>
          </w:p>
          <w:p w:rsidR="001E0F7E" w:rsidRDefault="00E166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Papildomai pažymėtina, kad </w:t>
            </w:r>
            <w:r w:rsidRPr="00E166F3">
              <w:rPr>
                <w:sz w:val="22"/>
                <w:szCs w:val="22"/>
              </w:rPr>
              <w:t>kiti Lietuvos Respublikos teisės aktai jau dabar numato partneriams ir (ar) sugyventiniams tam tikras teises ir pareigas.</w:t>
            </w:r>
            <w:r>
              <w:rPr>
                <w:sz w:val="22"/>
                <w:szCs w:val="22"/>
              </w:rPr>
              <w:t xml:space="preserve"> P</w:t>
            </w:r>
            <w:r w:rsidR="001A36A7">
              <w:rPr>
                <w:sz w:val="22"/>
                <w:szCs w:val="22"/>
              </w:rPr>
              <w:t>avyzdžiui, Lietuvos Respublikos baudžiamojo proceso kodekso patvirtinimo, įsigaliojimo ir įgyvendinimo įstatymo Nr. IX-785 38 straipsnis „Šeimos nariai“ numato, kad „</w:t>
            </w:r>
            <w:r w:rsidR="001A36A7">
              <w:rPr>
                <w:sz w:val="22"/>
                <w:szCs w:val="22"/>
                <w:highlight w:val="white"/>
              </w:rPr>
              <w:t>Asmen</w:t>
            </w:r>
            <w:r w:rsidR="001A36A7">
              <w:rPr>
                <w:sz w:val="22"/>
                <w:szCs w:val="22"/>
                <w:highlight w:val="white"/>
              </w:rPr>
              <w:t xml:space="preserve">s šeimos nariais laikomi kartu su tuo asmeniu gyvenantys tėvai (įtėviai), vaikai (įvaikiai), broliai, seserys ir jų sutuoktiniai, asmens sutuoktinis arba </w:t>
            </w:r>
            <w:r w:rsidR="001A36A7">
              <w:rPr>
                <w:b/>
                <w:sz w:val="22"/>
                <w:szCs w:val="22"/>
                <w:highlight w:val="white"/>
              </w:rPr>
              <w:t>asmuo, su kuriuo asmuo bendrai gyvena neįregistravęs santuokos</w:t>
            </w:r>
            <w:r w:rsidR="001A36A7">
              <w:rPr>
                <w:sz w:val="22"/>
                <w:szCs w:val="22"/>
                <w:highlight w:val="white"/>
              </w:rPr>
              <w:t>, arba asmuo, su kuriuo tas asmuo Lietuv</w:t>
            </w:r>
            <w:r w:rsidR="001A36A7">
              <w:rPr>
                <w:sz w:val="22"/>
                <w:szCs w:val="22"/>
                <w:highlight w:val="white"/>
              </w:rPr>
              <w:t>os Respublikos civilinio kodekso nustatyta tvarka susitarė sudaryti santuoką, taip pat sutuoktinio tėvai, išlaikytiniai ar buvę sutuoktiniai</w:t>
            </w:r>
            <w:r>
              <w:rPr>
                <w:sz w:val="22"/>
                <w:szCs w:val="22"/>
              </w:rPr>
              <w:t xml:space="preserve">“. </w:t>
            </w:r>
            <w:r w:rsidR="001A36A7">
              <w:rPr>
                <w:sz w:val="22"/>
                <w:szCs w:val="22"/>
              </w:rPr>
              <w:t>2019 m. sausio 11 d. Lietuvos Respublikos Konstitucinio Teismo nutarime Nr. KT3-N1/2019 pažymėtina, jog, kitaip n</w:t>
            </w:r>
            <w:r w:rsidR="001A36A7">
              <w:rPr>
                <w:sz w:val="22"/>
                <w:szCs w:val="22"/>
              </w:rPr>
              <w:t>ei konstitucinė santuokos samprata, konstitucinė šeimos samprata, be kita ko, yra neutrali lyties požiūriu. Lietuvos Respublikos Konstitucinis Teismas išaiškino, kad pagal Konstitucijos 38 straipsnio 1, 2 dalis, aiškinamas kartu su Konstitucijos 29 straips</w:t>
            </w:r>
            <w:r w:rsidR="001A36A7">
              <w:rPr>
                <w:sz w:val="22"/>
                <w:szCs w:val="22"/>
              </w:rPr>
              <w:t xml:space="preserve">nyje įtvirtintu asmenų lygybės principu ir diskriminacijos draudimu, yra </w:t>
            </w:r>
            <w:r w:rsidR="001A36A7">
              <w:rPr>
                <w:b/>
                <w:sz w:val="22"/>
                <w:szCs w:val="22"/>
              </w:rPr>
              <w:t>saugomos ir ginamos visos šeimos, atitinkančios konstitucinę šeimos sampratą, pagrįstą nuolatinio ar ilgalaikio pobūdžio šeimos narių santykių turiniu</w:t>
            </w:r>
            <w:r w:rsidR="001A36A7">
              <w:rPr>
                <w:sz w:val="22"/>
                <w:szCs w:val="22"/>
              </w:rPr>
              <w:t>, t. y. grindžiamą šeimos narių t</w:t>
            </w:r>
            <w:r w:rsidR="001A36A7">
              <w:rPr>
                <w:sz w:val="22"/>
                <w:szCs w:val="22"/>
              </w:rPr>
              <w:t xml:space="preserve">arpusavio atsakomybe, supratimu, emociniu prieraišumu, pagalba ir panašiais ryšiais bei savanorišku apsisprendimu prisiimti tam tikras teises ir pareigas. </w:t>
            </w:r>
          </w:p>
          <w:p w:rsidR="001E0F7E" w:rsidRDefault="001E0F7E">
            <w:pPr>
              <w:jc w:val="both"/>
              <w:rPr>
                <w:sz w:val="22"/>
                <w:szCs w:val="22"/>
              </w:rPr>
            </w:pPr>
          </w:p>
          <w:p w:rsidR="001E0F7E" w:rsidRDefault="001A3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Siekiant Lietuvos teisinės bazės nuoseklumo ir Konstitucinio Teismo sprendimų nuoseklaus įgyvendini</w:t>
            </w:r>
            <w:r>
              <w:rPr>
                <w:sz w:val="22"/>
                <w:szCs w:val="22"/>
              </w:rPr>
              <w:t xml:space="preserve">mo Lietuvos Respublikos teisės aktuose, siūlomi šie Įstatymo projekto papildymai, laiduojantys Įstatymu suteikiamas teises ne tik mirusių asmenų sutuoktiniams, bet ir jų </w:t>
            </w:r>
            <w:r>
              <w:rPr>
                <w:sz w:val="22"/>
                <w:szCs w:val="22"/>
              </w:rPr>
              <w:t xml:space="preserve">partneriams. </w:t>
            </w:r>
          </w:p>
          <w:p w:rsidR="001E0F7E" w:rsidRDefault="001E0F7E">
            <w:pPr>
              <w:jc w:val="both"/>
              <w:rPr>
                <w:b/>
                <w:sz w:val="22"/>
                <w:szCs w:val="22"/>
              </w:rPr>
            </w:pPr>
          </w:p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Pasiūlymas:</w:t>
            </w:r>
          </w:p>
          <w:p w:rsidR="001E0F7E" w:rsidRDefault="001A3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Pakeisti 2 straipsnio 14 punktą ir jį išdėst</w:t>
            </w:r>
            <w:r>
              <w:rPr>
                <w:sz w:val="22"/>
                <w:szCs w:val="22"/>
              </w:rPr>
              <w:t>yti taip:</w:t>
            </w:r>
          </w:p>
          <w:p w:rsidR="001E0F7E" w:rsidRDefault="001A3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„14. Laidojantis asmuo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asmens, pareiškusio valią dėl savo palaikų laidojimo formos (palaikus palaidoti, palaikus kremuoti ir kt.), paskirtas šiai valiai įvykdyti asmuo arba, jeigu toks asmuo nepaskirtas, o valia pareikšta testamente, – testam</w:t>
            </w:r>
            <w:r>
              <w:rPr>
                <w:sz w:val="22"/>
                <w:szCs w:val="22"/>
              </w:rPr>
              <w:t xml:space="preserve">entą vykdantis asmuo, arba šiame įstatyme </w:t>
            </w:r>
            <w:r>
              <w:rPr>
                <w:sz w:val="22"/>
                <w:szCs w:val="22"/>
              </w:rPr>
              <w:lastRenderedPageBreak/>
              <w:t xml:space="preserve">nustatytais atvejais mirusiojo sutuoktinis, </w:t>
            </w:r>
            <w:r>
              <w:rPr>
                <w:b/>
                <w:sz w:val="22"/>
                <w:szCs w:val="22"/>
              </w:rPr>
              <w:t>partneris,</w:t>
            </w:r>
            <w:r>
              <w:rPr>
                <w:sz w:val="22"/>
                <w:szCs w:val="22"/>
              </w:rPr>
              <w:t xml:space="preserve"> pilnamečiai vaikai (įvaikiai), tėvai (įtėviai), o jei jų nėra, – kiti artimieji giminaičiai ir kiti šiame bei kituose įstatymuose nurodyti asmenys, organizuoja</w:t>
            </w:r>
            <w:r>
              <w:rPr>
                <w:sz w:val="22"/>
                <w:szCs w:val="22"/>
              </w:rPr>
              <w:t>ntys palaikų laidojimą.“</w:t>
            </w:r>
          </w:p>
        </w:tc>
      </w:tr>
      <w:tr w:rsidR="001E0F7E">
        <w:trPr>
          <w:jc w:val="center"/>
        </w:trPr>
        <w:tc>
          <w:tcPr>
            <w:tcW w:w="732" w:type="dxa"/>
          </w:tcPr>
          <w:p w:rsidR="001E0F7E" w:rsidRDefault="001A3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709" w:type="dxa"/>
          </w:tcPr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90" w:type="dxa"/>
          </w:tcPr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Argumentai:</w:t>
            </w:r>
          </w:p>
          <w:p w:rsidR="001E0F7E" w:rsidRDefault="001A3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Tokie patys.</w:t>
            </w:r>
          </w:p>
          <w:p w:rsidR="001E0F7E" w:rsidRDefault="001E0F7E">
            <w:pPr>
              <w:jc w:val="both"/>
              <w:rPr>
                <w:b/>
                <w:sz w:val="22"/>
                <w:szCs w:val="22"/>
              </w:rPr>
            </w:pPr>
          </w:p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Pasiūlymas:</w:t>
            </w:r>
          </w:p>
          <w:p w:rsidR="001E0F7E" w:rsidRDefault="001A3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Pakeisti 3 straipsnio 5 dalies 1 punktą ir jį išdėstyti taip:</w:t>
            </w:r>
          </w:p>
          <w:p w:rsidR="001E0F7E" w:rsidRDefault="001A3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E0F7E" w:rsidRDefault="001A3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„5. Jeigu mirus asmeniui, kuris šio straipsnio 2 ir 4 dalyse nustatyta tvarka buvo pareiškęs sutikimą dėl savo palaikų kremavimo, nežinoma, kur yra testamente arba kitame valios pareiškimo dokumente paskirtas laidojantis asmuo, arba jei paskirtas laidojant</w:t>
            </w:r>
            <w:r>
              <w:rPr>
                <w:sz w:val="22"/>
                <w:szCs w:val="22"/>
              </w:rPr>
              <w:t>is asmuo dėl objektyvių priežasčių negali vykdyti įsipareigojimų ar atsisako būti laidojančiu asmeniu, valią dėl kremavimo vykdo veiksnūs mirusiojo asmens:</w:t>
            </w:r>
          </w:p>
          <w:p w:rsidR="001E0F7E" w:rsidRDefault="001A36A7">
            <w:pPr>
              <w:ind w:firstLine="7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sutuoktinis </w:t>
            </w:r>
            <w:r>
              <w:rPr>
                <w:b/>
                <w:sz w:val="22"/>
                <w:szCs w:val="22"/>
              </w:rPr>
              <w:t>arba partneris</w:t>
            </w:r>
            <w:r>
              <w:rPr>
                <w:sz w:val="22"/>
                <w:szCs w:val="22"/>
              </w:rPr>
              <w:t>;</w:t>
            </w:r>
          </w:p>
          <w:p w:rsidR="001E0F7E" w:rsidRDefault="001A36A7">
            <w:pPr>
              <w:ind w:firstLine="7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jei nėra šios dalies 1 punkte nurodyto asmens arba jis nevykdo asm</w:t>
            </w:r>
            <w:r>
              <w:rPr>
                <w:sz w:val="22"/>
                <w:szCs w:val="22"/>
              </w:rPr>
              <w:t>ens pareikštos valios, – pilnamečiai vaikai (įvaikiai);</w:t>
            </w:r>
          </w:p>
          <w:p w:rsidR="001E0F7E" w:rsidRDefault="001A36A7">
            <w:pPr>
              <w:ind w:firstLine="7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jei nėra šios dalies 1 ir 2 punktuose nurodytų asmenų arba jie nevykdo asmens pareikštos valios, – tėvai (įtėviai);</w:t>
            </w:r>
          </w:p>
          <w:p w:rsidR="001E0F7E" w:rsidRDefault="001A36A7">
            <w:pPr>
              <w:ind w:firstLine="7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jei nėra šios dalies 1, 2 ir 3 punktuose nurodytų asmenų arba jie nevykdo asme</w:t>
            </w:r>
            <w:r>
              <w:rPr>
                <w:sz w:val="22"/>
                <w:szCs w:val="22"/>
              </w:rPr>
              <w:t>ns pareikštos valios, – pilnamečiai broliai ir seserys (įbroliai, įseserės);</w:t>
            </w:r>
          </w:p>
          <w:p w:rsidR="001E0F7E" w:rsidRDefault="001A36A7">
            <w:pPr>
              <w:ind w:firstLine="7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jei nėra šios dalies 1, 2, 3 ir 4 punktuose nurodytų asmenų arba jie nevykdo asmens pareikštos valios, – seneliai ar pilnamečiai vaikaičiai;</w:t>
            </w:r>
          </w:p>
          <w:p w:rsidR="001E0F7E" w:rsidRDefault="001A36A7">
            <w:pPr>
              <w:ind w:firstLine="70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jei nėra šios dalies 1, 2, 3, 4 </w:t>
            </w:r>
            <w:r>
              <w:rPr>
                <w:sz w:val="22"/>
                <w:szCs w:val="22"/>
              </w:rPr>
              <w:t>ir 5 punktuose nurodytų asmenų arba jie nevykdo asmens pareikštos valios, – kiti giminaičiai.“</w:t>
            </w:r>
          </w:p>
        </w:tc>
      </w:tr>
      <w:tr w:rsidR="001E0F7E">
        <w:trPr>
          <w:jc w:val="center"/>
        </w:trPr>
        <w:tc>
          <w:tcPr>
            <w:tcW w:w="732" w:type="dxa"/>
          </w:tcPr>
          <w:p w:rsidR="001E0F7E" w:rsidRDefault="001A3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9" w:type="dxa"/>
          </w:tcPr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1E0F7E" w:rsidRDefault="001E0F7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90" w:type="dxa"/>
          </w:tcPr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Argumentai:</w:t>
            </w:r>
          </w:p>
          <w:p w:rsidR="001E0F7E" w:rsidRDefault="001A3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Tokie patys.</w:t>
            </w:r>
          </w:p>
          <w:p w:rsidR="001E0F7E" w:rsidRDefault="001E0F7E">
            <w:pPr>
              <w:jc w:val="both"/>
              <w:rPr>
                <w:b/>
                <w:sz w:val="22"/>
                <w:szCs w:val="22"/>
              </w:rPr>
            </w:pPr>
          </w:p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Pasiūlymas:</w:t>
            </w:r>
          </w:p>
          <w:p w:rsidR="001E0F7E" w:rsidRDefault="001A3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Pakeisti 5 straipsnio 1 dalį ir ją išdėstyti taip:</w:t>
            </w:r>
          </w:p>
          <w:p w:rsidR="001E0F7E" w:rsidRDefault="001A3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„1. Asmens, kuris, būdamas gyvas, šio įstatymo 3 straipsnio 2 ir 4 dalyse nustatyta tvarka nepareiškė valios dėl savo palaikų kremavimo, palaikus kremuoti galima, jeigu mirusiojo asmens veiksnus pilnametis sutuoktinis (sutuoktinė), </w:t>
            </w:r>
            <w:r>
              <w:rPr>
                <w:b/>
                <w:sz w:val="22"/>
                <w:szCs w:val="22"/>
              </w:rPr>
              <w:t>partneris (partnerė)</w:t>
            </w:r>
            <w:r>
              <w:rPr>
                <w:sz w:val="22"/>
                <w:szCs w:val="22"/>
              </w:rPr>
              <w:t xml:space="preserve"> ar </w:t>
            </w:r>
            <w:r>
              <w:rPr>
                <w:sz w:val="22"/>
                <w:szCs w:val="22"/>
              </w:rPr>
              <w:t>kiti veiksnūs pilnamečiai asmenys, nurodyti Civilinio kodekso 3.135 straipsnyje, pateikia prašymą kremavimo įmonei ir raštu patvirtina, kad asmuo, būdamas gyvas, nebuvo pareiškęs nesutikimo dėl savo palaikų kremavimo.“</w:t>
            </w:r>
          </w:p>
        </w:tc>
      </w:tr>
      <w:tr w:rsidR="001E0F7E">
        <w:trPr>
          <w:jc w:val="center"/>
        </w:trPr>
        <w:tc>
          <w:tcPr>
            <w:tcW w:w="732" w:type="dxa"/>
          </w:tcPr>
          <w:p w:rsidR="001E0F7E" w:rsidRDefault="001A3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09" w:type="dxa"/>
          </w:tcPr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90" w:type="dxa"/>
          </w:tcPr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Argumentai:</w:t>
            </w:r>
          </w:p>
          <w:p w:rsidR="001E0F7E" w:rsidRDefault="001A3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Tokie patys.</w:t>
            </w:r>
          </w:p>
          <w:p w:rsidR="001E0F7E" w:rsidRDefault="001E0F7E">
            <w:pPr>
              <w:jc w:val="both"/>
              <w:rPr>
                <w:b/>
                <w:sz w:val="22"/>
                <w:szCs w:val="22"/>
              </w:rPr>
            </w:pPr>
          </w:p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asiūlymas:</w:t>
            </w:r>
          </w:p>
          <w:p w:rsidR="001E0F7E" w:rsidRDefault="001A3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Pakeisti 5 straipsnio 2 dalies 1 punktą ir jį išdėstyti taip:</w:t>
            </w:r>
          </w:p>
          <w:p w:rsidR="001E0F7E" w:rsidRDefault="001A3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E0F7E" w:rsidRDefault="001A3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„2. Kilus nesutarimams tarp šio straipsnio 1 dalyje nurodytų asmenų, ar palaikus kremuoti, sprendžia mirusio asmens:</w:t>
            </w:r>
          </w:p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sutuoktinis </w:t>
            </w:r>
            <w:r>
              <w:rPr>
                <w:b/>
                <w:sz w:val="22"/>
                <w:szCs w:val="22"/>
              </w:rPr>
              <w:t>arba partneris</w:t>
            </w:r>
            <w:r>
              <w:rPr>
                <w:sz w:val="22"/>
                <w:szCs w:val="22"/>
              </w:rPr>
              <w:t>;</w:t>
            </w:r>
          </w:p>
          <w:p w:rsidR="001E0F7E" w:rsidRDefault="001A3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jei nėra sutuoktinio </w:t>
            </w:r>
            <w:r>
              <w:rPr>
                <w:b/>
                <w:sz w:val="22"/>
                <w:szCs w:val="22"/>
              </w:rPr>
              <w:t>arba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part</w:t>
            </w:r>
            <w:r>
              <w:rPr>
                <w:b/>
                <w:sz w:val="22"/>
                <w:szCs w:val="22"/>
              </w:rPr>
              <w:t>nerio</w:t>
            </w:r>
            <w:r>
              <w:rPr>
                <w:sz w:val="22"/>
                <w:szCs w:val="22"/>
              </w:rPr>
              <w:t xml:space="preserve"> – pilnamečiai vaikai (įvaikiai);</w:t>
            </w:r>
          </w:p>
          <w:p w:rsidR="001E0F7E" w:rsidRDefault="001A3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jei nėra šios dalies 1 ir 2 punktuose nurodytų asmenų, – tėvai (įtėviai);</w:t>
            </w:r>
          </w:p>
          <w:p w:rsidR="001E0F7E" w:rsidRDefault="001A3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jei nėra šios dalies 1, 2 ir 3 punktuose nurodytų asmenų, – pilnamečiai broliai ir seserys (įbroliai, įseserės);</w:t>
            </w:r>
          </w:p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jei nėra šios dalies </w:t>
            </w:r>
            <w:r>
              <w:rPr>
                <w:sz w:val="22"/>
                <w:szCs w:val="22"/>
              </w:rPr>
              <w:t>1, 2, 3 ir 4 punktuose nurodytų asmenų, – seneliai, pilnamečiai vaikaičiai.“</w:t>
            </w:r>
          </w:p>
        </w:tc>
      </w:tr>
      <w:tr w:rsidR="001E0F7E">
        <w:trPr>
          <w:jc w:val="center"/>
        </w:trPr>
        <w:tc>
          <w:tcPr>
            <w:tcW w:w="732" w:type="dxa"/>
          </w:tcPr>
          <w:p w:rsidR="001E0F7E" w:rsidRDefault="001A3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09" w:type="dxa"/>
          </w:tcPr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90" w:type="dxa"/>
          </w:tcPr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Argumentai:</w:t>
            </w:r>
          </w:p>
          <w:p w:rsidR="001E0F7E" w:rsidRDefault="001A3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Tokie patys.</w:t>
            </w:r>
          </w:p>
          <w:p w:rsidR="001E0F7E" w:rsidRDefault="001E0F7E">
            <w:pPr>
              <w:jc w:val="both"/>
              <w:rPr>
                <w:b/>
                <w:sz w:val="22"/>
                <w:szCs w:val="22"/>
              </w:rPr>
            </w:pPr>
          </w:p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Pasiūlymas:</w:t>
            </w:r>
          </w:p>
          <w:p w:rsidR="001E0F7E" w:rsidRDefault="001A3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Pakeisti 6 straipsnio 2 dalies 4 punktą ir jį išdėstyti taip:</w:t>
            </w:r>
          </w:p>
          <w:p w:rsidR="001E0F7E" w:rsidRDefault="001A3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E0F7E" w:rsidRDefault="001A36A7" w:rsidP="00D71F4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„4) jeigu asmuo, kurio palaikus prašoma kremuoti, nebuvo šio įstatymo 3 straipsnio 2 ir 4 dalyse nustatyta tvarka pareiškęs sutikimo dėl jo palaikų kremavimo, – santuokos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liudijimą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 santuokos sudarymo įrašą liudijantį išrašą, išduotą Lietuvos Respublikos</w:t>
            </w:r>
            <w:r>
              <w:rPr>
                <w:sz w:val="22"/>
                <w:szCs w:val="22"/>
              </w:rPr>
              <w:t xml:space="preserve"> civilinės būklės aktų registravimo įstatymo nustatyta tvarka, kai laidojantis asmuo yra sutuoktinis,</w:t>
            </w:r>
            <w:r w:rsidR="00D71F42">
              <w:rPr>
                <w:sz w:val="22"/>
                <w:szCs w:val="22"/>
              </w:rPr>
              <w:t xml:space="preserve"> </w:t>
            </w:r>
            <w:r w:rsidR="00D71F42">
              <w:rPr>
                <w:b/>
                <w:sz w:val="22"/>
                <w:szCs w:val="22"/>
              </w:rPr>
              <w:t xml:space="preserve">arba partnerystės įregistravimo faktą liudijantį dokumentą, kai laidojantis asmuo yra partneris, </w:t>
            </w:r>
            <w:r w:rsidR="00D71F42">
              <w:rPr>
                <w:sz w:val="22"/>
                <w:szCs w:val="22"/>
              </w:rPr>
              <w:t xml:space="preserve">arba giminystės </w:t>
            </w:r>
            <w:r>
              <w:rPr>
                <w:sz w:val="22"/>
                <w:szCs w:val="22"/>
              </w:rPr>
              <w:t>ryšį patvirtinantį dokumentą, kai laidojantis asmuo yra artimasis giminaitis</w:t>
            </w:r>
            <w:r>
              <w:rPr>
                <w:sz w:val="22"/>
                <w:szCs w:val="22"/>
              </w:rPr>
              <w:t>. Šiuo atveju laidojantis asmuo t</w:t>
            </w:r>
            <w:r>
              <w:rPr>
                <w:sz w:val="22"/>
                <w:szCs w:val="22"/>
              </w:rPr>
              <w:t>aip pat turi pateikti rašytinį patvirtinimą (artimųjų giminaičių parašais patvirtintą susitarimą ir apie tai pažymėti prašyme kremuoti palaikus), kad tarp mirusiojo artimųjų giminaičių nėra nesutarimų dėl palaikų kremavimo;“</w:t>
            </w:r>
          </w:p>
        </w:tc>
      </w:tr>
      <w:tr w:rsidR="001E0F7E">
        <w:trPr>
          <w:jc w:val="center"/>
        </w:trPr>
        <w:tc>
          <w:tcPr>
            <w:tcW w:w="732" w:type="dxa"/>
          </w:tcPr>
          <w:p w:rsidR="001E0F7E" w:rsidRDefault="001A3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709" w:type="dxa"/>
          </w:tcPr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90" w:type="dxa"/>
          </w:tcPr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Argumentai:</w:t>
            </w:r>
          </w:p>
          <w:p w:rsidR="001E0F7E" w:rsidRDefault="001A3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Tokie pa</w:t>
            </w:r>
            <w:r>
              <w:rPr>
                <w:sz w:val="22"/>
                <w:szCs w:val="22"/>
              </w:rPr>
              <w:t>tys.</w:t>
            </w:r>
          </w:p>
          <w:p w:rsidR="001E0F7E" w:rsidRDefault="001E0F7E">
            <w:pPr>
              <w:jc w:val="both"/>
              <w:rPr>
                <w:b/>
                <w:sz w:val="22"/>
                <w:szCs w:val="22"/>
              </w:rPr>
            </w:pPr>
          </w:p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Pasiūlymas:</w:t>
            </w:r>
          </w:p>
          <w:p w:rsidR="001E0F7E" w:rsidRDefault="001A3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Pakeisti 17 straipsnio 1 dalies 2 punktą ir jį išdėstyti taip:</w:t>
            </w:r>
          </w:p>
          <w:p w:rsidR="001E0F7E" w:rsidRDefault="001A3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„2) jei asmuo iki mirties nebuvo išreiškęs savo valios ir nebuvo pareiškęs draudimo nau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doti savo kūną ar atskiras jo dalis mokymo tikslais, sutikimą naudoti mirusiojo kūną ar jo dalis gali duoti veiksnūs mirusiojo asmens sutuoktinis, </w:t>
            </w:r>
            <w:r>
              <w:rPr>
                <w:b/>
                <w:sz w:val="22"/>
                <w:szCs w:val="22"/>
              </w:rPr>
              <w:t>partneris,</w:t>
            </w:r>
            <w:r>
              <w:rPr>
                <w:sz w:val="22"/>
                <w:szCs w:val="22"/>
              </w:rPr>
              <w:t xml:space="preserve"> pilnamečiai</w:t>
            </w:r>
            <w:r>
              <w:rPr>
                <w:sz w:val="22"/>
                <w:szCs w:val="22"/>
              </w:rPr>
              <w:t xml:space="preserve"> vaikai (įvaikiai), tėvai (įtėviai) arba kiti artimieji giminaičiai, nurodyti Civilinio kodekso 3.135 straipsnyje.“</w:t>
            </w:r>
          </w:p>
        </w:tc>
      </w:tr>
      <w:tr w:rsidR="001E0F7E">
        <w:trPr>
          <w:jc w:val="center"/>
        </w:trPr>
        <w:tc>
          <w:tcPr>
            <w:tcW w:w="732" w:type="dxa"/>
          </w:tcPr>
          <w:p w:rsidR="001E0F7E" w:rsidRDefault="001A3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09" w:type="dxa"/>
          </w:tcPr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90" w:type="dxa"/>
          </w:tcPr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Argumentai:</w:t>
            </w:r>
          </w:p>
          <w:p w:rsidR="001E0F7E" w:rsidRDefault="001A3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Tokie patys.</w:t>
            </w:r>
          </w:p>
          <w:p w:rsidR="001E0F7E" w:rsidRDefault="001E0F7E">
            <w:pPr>
              <w:jc w:val="both"/>
              <w:rPr>
                <w:b/>
                <w:sz w:val="22"/>
                <w:szCs w:val="22"/>
              </w:rPr>
            </w:pPr>
          </w:p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Pasiūlymas:</w:t>
            </w:r>
          </w:p>
          <w:p w:rsidR="001E0F7E" w:rsidRDefault="001A3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Pakeisti 21 straipsnio 2 dalies 2 punktą ir jį išdėstyti taip:</w:t>
            </w:r>
          </w:p>
          <w:p w:rsidR="001E0F7E" w:rsidRDefault="001A3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„2) mirusio asmens sutuokt</w:t>
            </w:r>
            <w:r>
              <w:rPr>
                <w:sz w:val="22"/>
                <w:szCs w:val="22"/>
              </w:rPr>
              <w:t xml:space="preserve">inis, </w:t>
            </w:r>
            <w:r>
              <w:rPr>
                <w:b/>
                <w:sz w:val="22"/>
                <w:szCs w:val="22"/>
              </w:rPr>
              <w:t>partneris,</w:t>
            </w:r>
            <w:r>
              <w:rPr>
                <w:sz w:val="22"/>
                <w:szCs w:val="22"/>
              </w:rPr>
              <w:t xml:space="preserve"> pilnamečiai vaikai (įvaikiai), tėvai (įtėviai), o jeigu jų nėra, – kiti giminaičiai ar kiti veiksnūs asmenys, galintys organizuoti laidojimą.“</w:t>
            </w:r>
          </w:p>
        </w:tc>
      </w:tr>
      <w:tr w:rsidR="001E0F7E">
        <w:trPr>
          <w:jc w:val="center"/>
        </w:trPr>
        <w:tc>
          <w:tcPr>
            <w:tcW w:w="732" w:type="dxa"/>
          </w:tcPr>
          <w:p w:rsidR="001E0F7E" w:rsidRDefault="001A3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09" w:type="dxa"/>
          </w:tcPr>
          <w:p w:rsidR="001E0F7E" w:rsidRDefault="001A36A7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1E0F7E" w:rsidRDefault="001E0F7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90" w:type="dxa"/>
          </w:tcPr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Argumentai:</w:t>
            </w:r>
          </w:p>
          <w:p w:rsidR="001E0F7E" w:rsidRDefault="001A3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Tokie patys.</w:t>
            </w:r>
          </w:p>
          <w:p w:rsidR="001E0F7E" w:rsidRDefault="001E0F7E">
            <w:pPr>
              <w:jc w:val="both"/>
              <w:rPr>
                <w:b/>
                <w:sz w:val="22"/>
                <w:szCs w:val="22"/>
              </w:rPr>
            </w:pPr>
          </w:p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Pasiūlymas:</w:t>
            </w:r>
          </w:p>
          <w:p w:rsidR="001E0F7E" w:rsidRDefault="001A3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Pakeisti 25 straipsnio 5 dalį ir ją išdėstyti taip:</w:t>
            </w:r>
          </w:p>
          <w:p w:rsidR="001E0F7E" w:rsidRDefault="001A3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E0F7E" w:rsidRDefault="001A3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„5. Kapinėse palaidoti žmogaus palaikai ekshumuojami palaidoto žmogaus sutuoktinio</w:t>
            </w:r>
            <w:r>
              <w:rPr>
                <w:b/>
                <w:sz w:val="22"/>
                <w:szCs w:val="22"/>
              </w:rPr>
              <w:t>, partnerio</w:t>
            </w:r>
            <w:r>
              <w:rPr>
                <w:sz w:val="22"/>
                <w:szCs w:val="22"/>
              </w:rPr>
              <w:t xml:space="preserve"> arba pilnamečių vaikų (įvaikių), tėvų (įtėvių), jei jų nėra, – artimųjų giminaičių prašymu, jei jų nėra (sie</w:t>
            </w:r>
            <w:r>
              <w:rPr>
                <w:sz w:val="22"/>
                <w:szCs w:val="22"/>
              </w:rPr>
              <w:t>kiant išsaugoti istorinę atmintį ar atlikti tyrimus), – Kultūros ministerijos įgaliotos institucijos ar Lietuvos gyventojų genocido ir rezistencijos tyrimo centro prašymu ir turint Sveikatos apsaugos ministerijos nustatyta tvarka išduotą leidimą ekshumuoti</w:t>
            </w:r>
            <w:r>
              <w:rPr>
                <w:sz w:val="22"/>
                <w:szCs w:val="22"/>
              </w:rPr>
              <w:t xml:space="preserve"> žmogaus palaikus kapinėse. Jei kapinėse žmogaus palaikai ekshumuojami priėmus ikiteisminio tyrimo teisėjo nutartį, prokuroras prieš ekshumavimą apie tai informuoja Sveikatos apsaugos ministerijos įgaliotą instituciją, ši, įvertinusi aplinkybes, per 3 darb</w:t>
            </w:r>
            <w:r>
              <w:rPr>
                <w:sz w:val="22"/>
                <w:szCs w:val="22"/>
              </w:rPr>
              <w:t>o dienas nurodo, kokias apsisaugojimo priemones turi naudoti ekshumuojant ir ekshumuotus žmogaus palaikus pervežant dalyvausiantys asmenys. Ekshumavimo išlaidas apmoka pareiškėjas. Leidimo ekshumuoti žmogaus palaikus kapinėse nereikia ekshumuojant palaidot</w:t>
            </w:r>
            <w:r>
              <w:rPr>
                <w:sz w:val="22"/>
                <w:szCs w:val="22"/>
              </w:rPr>
              <w:t xml:space="preserve">as urnas, perkeliant urnas iš vienos </w:t>
            </w:r>
            <w:proofErr w:type="spellStart"/>
            <w:r>
              <w:rPr>
                <w:sz w:val="22"/>
                <w:szCs w:val="22"/>
              </w:rPr>
              <w:t>kolumbariumo</w:t>
            </w:r>
            <w:proofErr w:type="spellEnd"/>
            <w:r>
              <w:rPr>
                <w:sz w:val="22"/>
                <w:szCs w:val="22"/>
              </w:rPr>
              <w:t xml:space="preserve"> nišos į kitą ir perkeliant rūsyje palaidotus žmogaus palaikus, išskyrus atvejus, kai atidaromas karstas.“</w:t>
            </w:r>
          </w:p>
        </w:tc>
      </w:tr>
      <w:tr w:rsidR="001E0F7E">
        <w:trPr>
          <w:jc w:val="center"/>
        </w:trPr>
        <w:tc>
          <w:tcPr>
            <w:tcW w:w="732" w:type="dxa"/>
          </w:tcPr>
          <w:p w:rsidR="001E0F7E" w:rsidRDefault="001A3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09" w:type="dxa"/>
          </w:tcPr>
          <w:p w:rsidR="001E0F7E" w:rsidRDefault="001E0F7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1E0F7E" w:rsidRDefault="001E0F7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1E0F7E" w:rsidRDefault="001E0F7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90" w:type="dxa"/>
          </w:tcPr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Argumentai: </w:t>
            </w:r>
          </w:p>
          <w:p w:rsidR="001E0F7E" w:rsidRDefault="001A3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Atsižvelgiant į aukščiau pateiktus pasiūlymus, siūloma pakoreguoti įstatymo proj</w:t>
            </w:r>
            <w:r>
              <w:rPr>
                <w:sz w:val="22"/>
                <w:szCs w:val="22"/>
              </w:rPr>
              <w:t>ekto pavadinimą.</w:t>
            </w:r>
          </w:p>
          <w:p w:rsidR="001E0F7E" w:rsidRDefault="001E0F7E">
            <w:pPr>
              <w:jc w:val="both"/>
              <w:rPr>
                <w:sz w:val="22"/>
                <w:szCs w:val="22"/>
              </w:rPr>
            </w:pPr>
          </w:p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Pasiūlymas:</w:t>
            </w:r>
          </w:p>
          <w:p w:rsidR="001E0F7E" w:rsidRDefault="001A3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Pakeisti Įstatymo projekto pavadinimą ir išdėstyti jį taip:</w:t>
            </w:r>
          </w:p>
          <w:p w:rsidR="001E0F7E" w:rsidRDefault="001A36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smallCaps/>
                <w:sz w:val="22"/>
                <w:szCs w:val="22"/>
              </w:rPr>
              <w:t xml:space="preserve">LIETUVOS RESPUBLIKOS ŽMONIŲ PALAIKŲ LAIDOJIMO ĮSTATYMO NR. X-1404 2, </w:t>
            </w:r>
            <w:r>
              <w:rPr>
                <w:b/>
                <w:smallCaps/>
                <w:sz w:val="22"/>
                <w:szCs w:val="22"/>
              </w:rPr>
              <w:t>3, 5, 6,</w:t>
            </w:r>
            <w:r>
              <w:rPr>
                <w:smallCaps/>
                <w:sz w:val="22"/>
                <w:szCs w:val="22"/>
              </w:rPr>
              <w:t xml:space="preserve"> 11, 11</w:t>
            </w:r>
            <w:r>
              <w:rPr>
                <w:smallCaps/>
                <w:sz w:val="22"/>
                <w:szCs w:val="22"/>
                <w:vertAlign w:val="superscript"/>
              </w:rPr>
              <w:t>1</w:t>
            </w:r>
            <w:r>
              <w:rPr>
                <w:smallCaps/>
                <w:sz w:val="22"/>
                <w:szCs w:val="22"/>
              </w:rPr>
              <w:t xml:space="preserve">, 13, </w:t>
            </w:r>
            <w:r>
              <w:rPr>
                <w:b/>
                <w:smallCaps/>
                <w:sz w:val="22"/>
                <w:szCs w:val="22"/>
              </w:rPr>
              <w:t>17, 21,</w:t>
            </w:r>
            <w:r>
              <w:rPr>
                <w:smallCaps/>
                <w:sz w:val="22"/>
                <w:szCs w:val="22"/>
              </w:rPr>
              <w:t xml:space="preserve"> 25, 27, 33 STRAIPSNIŲ PAKEITIMO ĮSTATYMAS”</w:t>
            </w:r>
          </w:p>
        </w:tc>
      </w:tr>
    </w:tbl>
    <w:p w:rsidR="001E0F7E" w:rsidRDefault="001E0F7E">
      <w:pPr>
        <w:jc w:val="both"/>
        <w:sectPr w:rsidR="001E0F7E">
          <w:pgSz w:w="11907" w:h="16840"/>
          <w:pgMar w:top="1134" w:right="567" w:bottom="1134" w:left="1701" w:header="709" w:footer="709" w:gutter="0"/>
          <w:pgNumType w:start="1"/>
          <w:cols w:space="1296"/>
          <w:titlePg/>
        </w:sectPr>
      </w:pPr>
    </w:p>
    <w:p w:rsidR="001E0F7E" w:rsidRDefault="001A36A7">
      <w:pPr>
        <w:jc w:val="both"/>
      </w:pPr>
      <w:r>
        <w:t>Teikia</w:t>
      </w:r>
    </w:p>
    <w:p w:rsidR="001E0F7E" w:rsidRDefault="001A36A7">
      <w:pPr>
        <w:jc w:val="both"/>
      </w:pPr>
      <w:r>
        <w:t xml:space="preserve">Seimo narys </w:t>
      </w:r>
      <w:r>
        <w:tab/>
      </w:r>
      <w:r>
        <w:tab/>
      </w:r>
      <w:r>
        <w:tab/>
      </w:r>
      <w:r>
        <w:tab/>
      </w:r>
      <w:r>
        <w:tab/>
      </w:r>
      <w:bookmarkStart w:id="1" w:name="bookmark=id.gjdgxs" w:colFirst="0" w:colLast="0"/>
      <w:bookmarkEnd w:id="1"/>
      <w:r>
        <w:rPr>
          <w:color w:val="FFFFFF"/>
        </w:rPr>
        <w:t>(Parašas)</w:t>
      </w:r>
      <w:r>
        <w:tab/>
      </w:r>
      <w:r>
        <w:tab/>
        <w:t xml:space="preserve">Tomas Vytautas </w:t>
      </w:r>
      <w:proofErr w:type="spellStart"/>
      <w:r>
        <w:t>Raskevičius</w:t>
      </w:r>
      <w:proofErr w:type="spellEnd"/>
    </w:p>
    <w:sectPr w:rsidR="001E0F7E">
      <w:type w:val="continuous"/>
      <w:pgSz w:w="11907" w:h="16840"/>
      <w:pgMar w:top="1134" w:right="567" w:bottom="1134" w:left="1701" w:header="709" w:footer="709" w:gutter="0"/>
      <w:pgNumType w:start="1"/>
      <w:cols w:space="1296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7E"/>
    <w:rsid w:val="001A36A7"/>
    <w:rsid w:val="001E0F7E"/>
    <w:rsid w:val="00D71F42"/>
    <w:rsid w:val="00E1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D40A0"/>
  <w15:docId w15:val="{D9DDD30B-DF93-4802-B661-AFC9C6E2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62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rsid w:val="00C84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454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586B69"/>
    <w:rPr>
      <w:color w:val="808080"/>
    </w:rPr>
  </w:style>
  <w:style w:type="paragraph" w:styleId="ListParagraph">
    <w:name w:val="List Paragraph"/>
    <w:basedOn w:val="Normal"/>
    <w:rsid w:val="007B34B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974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74E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74E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7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74E6"/>
    <w:rPr>
      <w:b/>
      <w:bCs/>
      <w:sz w:val="20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zHZwbvCLWlbMFlmnqhudodviVQ==">AMUW2mVU9CJe0X7yZbBF1kFKvHstaSzHgNeNF7E68T2tou8c4emW75suLieoiastSsyGT9rf5VtuaqZeE2ehMm7zsKr66yKivsKIV2Qc3ONDi3bRdLq6LCh8LDpU+85hWynbCets/rfCU0iScp0NBoGo6zGBRRTIpFA+3a0jo8UHVnOKV0KUpfE=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15</ap:TotalTime>
  <ap:Pages>4</ap:Pages>
  <ap:Words>5713</ap:Words>
  <ap:Characters>3257</ap:Characters>
  <ap:Application>Microsoft Office Word</ap:Application>
  <ap:DocSecurity>0</ap:DocSecurity>
  <ap:Lines>27</ap:Lines>
  <ap:Paragraphs>17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8953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RASKEVIČIUS Tomas Vytautas</cp:lastModifiedBy>
  <cp:revision>2</cp:revision>
  <dcterms:created xsi:type="dcterms:W3CDTF">2022-01-09T19:34:00Z</dcterms:created>
  <dcterms:modified xsi:type="dcterms:W3CDTF">2022-04-04T07:02:00Z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0x0101009F3E1981F6FE8840998F812234A1B369</vt:lpwstr>
  </property>
  <property fmtid="{D5CDD505-2E9C-101B-9397-08002B2CF9AE}" pid="3" name="_dlc_DocIdItemGuid">
    <vt:lpwstr>76de6eb8-2089-4dab-8fa0-a91dd4ac74db</vt:lpwstr>
  </property>
</Properties>
</file>