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E5C2" w14:textId="77777777" w:rsidR="00DB6C6A" w:rsidRPr="00C257BE" w:rsidRDefault="00AC5A73" w:rsidP="00DB6C6A">
      <w:pPr>
        <w:pStyle w:val="Title"/>
        <w:spacing w:before="0"/>
        <w:rPr>
          <w:color w:val="auto"/>
        </w:rPr>
      </w:pPr>
      <w:bookmarkStart w:id="0" w:name="_GoBack"/>
      <w:bookmarkEnd w:id="0"/>
      <w:r w:rsidRPr="00C257BE">
        <w:rPr>
          <w:noProof/>
          <w:color w:val="auto"/>
          <w:lang w:eastAsia="lt-LT"/>
        </w:rPr>
        <w:drawing>
          <wp:anchor distT="0" distB="0" distL="114300" distR="114300" simplePos="0" relativeHeight="251657728" behindDoc="0" locked="0" layoutInCell="0" allowOverlap="1" wp14:anchorId="02BB3B85" wp14:editId="63E6FFB5">
            <wp:simplePos x="0" y="0"/>
            <wp:positionH relativeFrom="page">
              <wp:posOffset>3776980</wp:posOffset>
            </wp:positionH>
            <wp:positionV relativeFrom="page">
              <wp:posOffset>720090</wp:posOffset>
            </wp:positionV>
            <wp:extent cx="543560" cy="595630"/>
            <wp:effectExtent l="0" t="0" r="889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C6A" w:rsidRPr="00C257BE">
        <w:rPr>
          <w:color w:val="auto"/>
        </w:rPr>
        <w:t>VALSTYBINĖ KAINŲ IR ENERGETIKOS KONTROLĖS KOMISIJA</w:t>
      </w:r>
    </w:p>
    <w:p w14:paraId="4B2A09E9" w14:textId="77777777" w:rsidR="00DB6C6A" w:rsidRPr="00C257BE" w:rsidRDefault="00DB6C6A" w:rsidP="00DB6C6A">
      <w:pPr>
        <w:pStyle w:val="Title"/>
        <w:spacing w:before="0"/>
        <w:rPr>
          <w:b w:val="0"/>
          <w:color w:val="auto"/>
          <w:sz w:val="16"/>
          <w:szCs w:val="16"/>
        </w:rPr>
      </w:pPr>
    </w:p>
    <w:p w14:paraId="26CAFF98" w14:textId="77777777" w:rsidR="006E1911" w:rsidRPr="00C257BE" w:rsidRDefault="006E1911" w:rsidP="006E1911">
      <w:pPr>
        <w:pBdr>
          <w:bottom w:val="single" w:sz="4" w:space="1" w:color="auto"/>
        </w:pBdr>
        <w:jc w:val="center"/>
        <w:rPr>
          <w:b w:val="0"/>
          <w:color w:val="auto"/>
          <w:sz w:val="18"/>
        </w:rPr>
      </w:pPr>
      <w:r w:rsidRPr="00C257BE">
        <w:rPr>
          <w:b w:val="0"/>
          <w:color w:val="auto"/>
          <w:sz w:val="18"/>
        </w:rPr>
        <w:t>Biudžetinė įstaiga, Verkių g. 25C</w:t>
      </w:r>
      <w:r w:rsidR="00D856E5" w:rsidRPr="00C257BE">
        <w:rPr>
          <w:b w:val="0"/>
          <w:color w:val="auto"/>
          <w:sz w:val="18"/>
        </w:rPr>
        <w:t>-1</w:t>
      </w:r>
      <w:r w:rsidRPr="00C257BE">
        <w:rPr>
          <w:b w:val="0"/>
          <w:color w:val="auto"/>
          <w:sz w:val="18"/>
        </w:rPr>
        <w:t xml:space="preserve">, LT-08223 Vilnius, tel. (8 5) 213 5166, faks. (8 5) 213 5270, el. p. </w:t>
      </w:r>
      <w:hyperlink r:id="rId9" w:history="1">
        <w:r w:rsidRPr="00C257BE">
          <w:rPr>
            <w:rStyle w:val="Hyperlink"/>
            <w:b w:val="0"/>
            <w:color w:val="auto"/>
            <w:sz w:val="18"/>
            <w:u w:val="none"/>
          </w:rPr>
          <w:t>rastine@regula.lt</w:t>
        </w:r>
      </w:hyperlink>
    </w:p>
    <w:p w14:paraId="54BC3CCA" w14:textId="77777777" w:rsidR="006E1911" w:rsidRPr="00C257BE" w:rsidRDefault="006E1911" w:rsidP="006E1911">
      <w:pPr>
        <w:pBdr>
          <w:bottom w:val="single" w:sz="4" w:space="1" w:color="auto"/>
        </w:pBdr>
        <w:jc w:val="center"/>
        <w:rPr>
          <w:b w:val="0"/>
          <w:caps/>
          <w:color w:val="auto"/>
        </w:rPr>
      </w:pPr>
      <w:r w:rsidRPr="00C257BE">
        <w:rPr>
          <w:b w:val="0"/>
          <w:color w:val="auto"/>
          <w:sz w:val="18"/>
        </w:rPr>
        <w:t>Duomenys kaupiami ir saugomi Juridinių asmenų registre, kodas 188706554</w:t>
      </w:r>
    </w:p>
    <w:p w14:paraId="5474F1AA" w14:textId="77777777" w:rsidR="0066746A" w:rsidRPr="00C257BE" w:rsidRDefault="0066746A">
      <w:pPr>
        <w:rPr>
          <w:caps/>
          <w:color w:val="auto"/>
        </w:rPr>
      </w:pPr>
    </w:p>
    <w:tbl>
      <w:tblPr>
        <w:tblW w:w="96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"/>
        <w:gridCol w:w="4635"/>
        <w:gridCol w:w="427"/>
        <w:gridCol w:w="1559"/>
        <w:gridCol w:w="3004"/>
      </w:tblGrid>
      <w:tr w:rsidR="00C257BE" w:rsidRPr="00C257BE" w14:paraId="16700ECE" w14:textId="77777777" w:rsidTr="00C257BE">
        <w:trPr>
          <w:gridBefore w:val="1"/>
          <w:wBefore w:w="14" w:type="dxa"/>
          <w:cantSplit/>
        </w:trPr>
        <w:tc>
          <w:tcPr>
            <w:tcW w:w="4635" w:type="dxa"/>
            <w:vMerge w:val="restart"/>
          </w:tcPr>
          <w:p w14:paraId="2567F042" w14:textId="77777777" w:rsidR="00D91F3C" w:rsidRPr="00C257BE" w:rsidRDefault="00C1559B" w:rsidP="00C1559B">
            <w:pPr>
              <w:jc w:val="left"/>
              <w:rPr>
                <w:b w:val="0"/>
                <w:color w:val="auto"/>
              </w:rPr>
            </w:pPr>
            <w:r w:rsidRPr="00C257BE">
              <w:rPr>
                <w:b w:val="0"/>
                <w:color w:val="auto"/>
              </w:rPr>
              <w:t>Pagal adresatų sąrašą</w:t>
            </w:r>
          </w:p>
        </w:tc>
        <w:tc>
          <w:tcPr>
            <w:tcW w:w="427" w:type="dxa"/>
          </w:tcPr>
          <w:p w14:paraId="1F78E43A" w14:textId="77777777" w:rsidR="0066746A" w:rsidRPr="00C257BE" w:rsidRDefault="0066746A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14:paraId="7BD84D26" w14:textId="77777777" w:rsidR="0066746A" w:rsidRPr="00C257BE" w:rsidRDefault="0066746A" w:rsidP="00CF2C5B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3004" w:type="dxa"/>
          </w:tcPr>
          <w:p w14:paraId="3414A0F8" w14:textId="77777777" w:rsidR="0066746A" w:rsidRPr="00C257BE" w:rsidRDefault="0066746A" w:rsidP="00934584">
            <w:pPr>
              <w:jc w:val="left"/>
              <w:rPr>
                <w:b w:val="0"/>
                <w:color w:val="auto"/>
              </w:rPr>
            </w:pPr>
            <w:r w:rsidRPr="00C257BE">
              <w:rPr>
                <w:b w:val="0"/>
                <w:color w:val="auto"/>
              </w:rPr>
              <w:t>Nr.</w:t>
            </w:r>
            <w:r w:rsidR="00020DE0" w:rsidRPr="00C257BE">
              <w:rPr>
                <w:b w:val="0"/>
                <w:color w:val="auto"/>
              </w:rPr>
              <w:t xml:space="preserve"> R2-</w:t>
            </w:r>
            <w:r w:rsidR="00B30D2B" w:rsidRPr="00C257BE">
              <w:rPr>
                <w:b w:val="0"/>
                <w:color w:val="auto"/>
              </w:rPr>
              <w:t>(</w:t>
            </w:r>
            <w:r w:rsidR="0066369D">
              <w:rPr>
                <w:b w:val="0"/>
                <w:color w:val="auto"/>
              </w:rPr>
              <w:t>D</w:t>
            </w:r>
            <w:r w:rsidR="00B30D2B" w:rsidRPr="00C257BE">
              <w:rPr>
                <w:b w:val="0"/>
                <w:color w:val="auto"/>
              </w:rPr>
              <w:t>)-</w:t>
            </w:r>
          </w:p>
        </w:tc>
      </w:tr>
      <w:tr w:rsidR="00C257BE" w:rsidRPr="00C257BE" w14:paraId="585D09A6" w14:textId="77777777" w:rsidTr="00C257BE">
        <w:trPr>
          <w:gridBefore w:val="1"/>
          <w:wBefore w:w="14" w:type="dxa"/>
          <w:cantSplit/>
        </w:trPr>
        <w:tc>
          <w:tcPr>
            <w:tcW w:w="4635" w:type="dxa"/>
            <w:vMerge/>
          </w:tcPr>
          <w:p w14:paraId="63F4BDF7" w14:textId="77777777" w:rsidR="00B2420C" w:rsidRPr="00C257BE" w:rsidRDefault="00B2420C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427" w:type="dxa"/>
          </w:tcPr>
          <w:p w14:paraId="3F28915C" w14:textId="77777777" w:rsidR="00B2420C" w:rsidRPr="00C257BE" w:rsidRDefault="00B2420C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14:paraId="125D4E17" w14:textId="77777777" w:rsidR="00B2420C" w:rsidRPr="00C257BE" w:rsidRDefault="00B2420C" w:rsidP="00175BA3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3004" w:type="dxa"/>
          </w:tcPr>
          <w:p w14:paraId="20898FC4" w14:textId="77777777" w:rsidR="00B2420C" w:rsidRPr="00C257BE" w:rsidRDefault="00B2420C" w:rsidP="00175BA3">
            <w:pPr>
              <w:jc w:val="left"/>
              <w:rPr>
                <w:b w:val="0"/>
                <w:color w:val="auto"/>
              </w:rPr>
            </w:pPr>
          </w:p>
        </w:tc>
      </w:tr>
      <w:tr w:rsidR="00C257BE" w:rsidRPr="00C257BE" w14:paraId="0315D923" w14:textId="77777777" w:rsidTr="00C257BE">
        <w:trPr>
          <w:gridBefore w:val="1"/>
          <w:wBefore w:w="14" w:type="dxa"/>
          <w:cantSplit/>
        </w:trPr>
        <w:tc>
          <w:tcPr>
            <w:tcW w:w="4635" w:type="dxa"/>
          </w:tcPr>
          <w:p w14:paraId="04480F08" w14:textId="77777777" w:rsidR="00F42A0B" w:rsidRPr="00C257BE" w:rsidRDefault="00F42A0B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427" w:type="dxa"/>
          </w:tcPr>
          <w:p w14:paraId="5B7564B2" w14:textId="77777777" w:rsidR="00F42A0B" w:rsidRPr="00C257BE" w:rsidRDefault="00F42A0B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14:paraId="41A4E2BF" w14:textId="77777777" w:rsidR="00F42A0B" w:rsidRPr="00C257BE" w:rsidRDefault="00F42A0B" w:rsidP="00175BA3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3004" w:type="dxa"/>
          </w:tcPr>
          <w:p w14:paraId="6D9B8A4F" w14:textId="77777777" w:rsidR="00F42A0B" w:rsidRPr="00C257BE" w:rsidRDefault="00F42A0B" w:rsidP="00175BA3">
            <w:pPr>
              <w:jc w:val="left"/>
              <w:rPr>
                <w:b w:val="0"/>
                <w:color w:val="auto"/>
              </w:rPr>
            </w:pPr>
          </w:p>
        </w:tc>
      </w:tr>
      <w:tr w:rsidR="00C257BE" w:rsidRPr="00C257BE" w14:paraId="0D94037B" w14:textId="77777777" w:rsidTr="00C257BE">
        <w:trPr>
          <w:cantSplit/>
        </w:trPr>
        <w:tc>
          <w:tcPr>
            <w:tcW w:w="9639" w:type="dxa"/>
            <w:gridSpan w:val="5"/>
          </w:tcPr>
          <w:p w14:paraId="7837BE7F" w14:textId="77777777" w:rsidR="00C1559B" w:rsidRPr="00C257BE" w:rsidRDefault="00BB369C" w:rsidP="00C80B3E">
            <w:pPr>
              <w:spacing w:line="276" w:lineRule="auto"/>
              <w:rPr>
                <w:rFonts w:eastAsia="Calibri"/>
                <w:caps/>
                <w:color w:val="auto"/>
                <w:highlight w:val="yellow"/>
              </w:rPr>
            </w:pPr>
            <w:r w:rsidRPr="00C257BE">
              <w:rPr>
                <w:rFonts w:eastAsia="Calibri"/>
                <w:caps/>
                <w:color w:val="auto"/>
              </w:rPr>
              <w:t>Dėl</w:t>
            </w:r>
            <w:r w:rsidR="00971CC6" w:rsidRPr="00C257BE">
              <w:rPr>
                <w:color w:val="auto"/>
              </w:rPr>
              <w:t xml:space="preserve"> </w:t>
            </w:r>
            <w:r w:rsidR="006C5E5F">
              <w:rPr>
                <w:rFonts w:eastAsia="Calibri"/>
                <w:caps/>
                <w:color w:val="auto"/>
              </w:rPr>
              <w:t>gamtinių dujų</w:t>
            </w:r>
            <w:r w:rsidR="00C80B3E" w:rsidRPr="00C80B3E">
              <w:rPr>
                <w:rFonts w:eastAsia="Calibri"/>
                <w:caps/>
                <w:color w:val="auto"/>
              </w:rPr>
              <w:t xml:space="preserve"> ĮMONIŲ APSKAITOS ATSKYRIMO IR SĄNAUDŲ PASKIRSTYMO REIKALAVIMŲ APRAŠO</w:t>
            </w:r>
          </w:p>
        </w:tc>
      </w:tr>
    </w:tbl>
    <w:p w14:paraId="02563B1D" w14:textId="77777777" w:rsidR="00A64574" w:rsidRPr="00C257BE" w:rsidRDefault="00A64574" w:rsidP="00C257BE">
      <w:pPr>
        <w:pStyle w:val="Default"/>
        <w:spacing w:line="276" w:lineRule="auto"/>
        <w:rPr>
          <w:color w:val="auto"/>
        </w:rPr>
      </w:pPr>
    </w:p>
    <w:p w14:paraId="41266834" w14:textId="58A27930" w:rsidR="000604C1" w:rsidRPr="00C80B3E" w:rsidRDefault="000604C1" w:rsidP="00C80B3E">
      <w:pPr>
        <w:pStyle w:val="Default"/>
        <w:ind w:firstLine="720"/>
        <w:jc w:val="both"/>
      </w:pPr>
      <w:r w:rsidRPr="00C80B3E">
        <w:t>Valstybinė kainų ir energetikos kontrolės komisija (toliau – Komisija), v</w:t>
      </w:r>
      <w:r w:rsidR="000E7E5B" w:rsidRPr="00C80B3E">
        <w:t xml:space="preserve">adovaudamasi </w:t>
      </w:r>
      <w:r w:rsidR="00C32A0C" w:rsidRPr="00C80B3E">
        <w:t>Komisij</w:t>
      </w:r>
      <w:r w:rsidR="0063296D">
        <w:t>os</w:t>
      </w:r>
      <w:r w:rsidR="00C32A0C" w:rsidRPr="00C80B3E">
        <w:t xml:space="preserve"> pirmininko 2016 m. balandžio 29 d. įsakymu Nr. O1-37 „Dėl Energetikos, geriamojo vandens tiekimo ir nuotekų tvarkymo, paviršinių nuotekų tvarkymo įmonių apskaitos atskyrimo, sąnaudų paskirstymo ir su apskaitos atskyrimu susijusių reikalavimų aprašo rengimo darbo grupės ir priežiūros komiteto sudary</w:t>
      </w:r>
      <w:r w:rsidR="006C004E" w:rsidRPr="00C80B3E">
        <w:t xml:space="preserve">mo“ (toliau – Įsakymas), </w:t>
      </w:r>
      <w:r w:rsidRPr="00C80B3E">
        <w:t>parengė</w:t>
      </w:r>
      <w:r w:rsidR="004177B3" w:rsidRPr="00C80B3E">
        <w:t xml:space="preserve"> ir </w:t>
      </w:r>
      <w:r w:rsidR="007B6A0A" w:rsidRPr="007B6A0A">
        <w:t>2017 m. liepos 28 d. raštu</w:t>
      </w:r>
      <w:r w:rsidR="00FE6B61">
        <w:br/>
      </w:r>
      <w:r w:rsidR="007B6A0A" w:rsidRPr="007B6A0A">
        <w:t>Nr.</w:t>
      </w:r>
      <w:r w:rsidR="00FE6B61">
        <w:t> </w:t>
      </w:r>
      <w:r w:rsidR="007B6A0A" w:rsidRPr="007B6A0A">
        <w:t>R2-(</w:t>
      </w:r>
      <w:r w:rsidR="00533607">
        <w:t>D</w:t>
      </w:r>
      <w:r w:rsidR="007B6A0A" w:rsidRPr="007B6A0A">
        <w:t>)-212</w:t>
      </w:r>
      <w:r w:rsidR="00533607">
        <w:t>2</w:t>
      </w:r>
      <w:r w:rsidR="007B6A0A" w:rsidRPr="007B6A0A">
        <w:t xml:space="preserve"> pateikė derinti Komisijos nutarimo</w:t>
      </w:r>
      <w:r w:rsidR="007B6A0A">
        <w:t xml:space="preserve"> </w:t>
      </w:r>
      <w:r w:rsidR="00E60349" w:rsidRPr="00C80B3E">
        <w:t xml:space="preserve">„Dėl </w:t>
      </w:r>
      <w:r w:rsidR="006C5E5F">
        <w:t>gamtinių dujų</w:t>
      </w:r>
      <w:r w:rsidR="00C80B3E" w:rsidRPr="001C12C3">
        <w:t xml:space="preserve"> įmonių apskaitos atskyrimo ir sąnaudų paskirstymo </w:t>
      </w:r>
      <w:r w:rsidR="00C80B3E" w:rsidRPr="00C80B3E">
        <w:t>reikalavimų</w:t>
      </w:r>
      <w:r w:rsidR="00C80B3E" w:rsidRPr="00934584" w:rsidDel="00C80B3E">
        <w:t xml:space="preserve"> </w:t>
      </w:r>
      <w:r w:rsidR="006040F7" w:rsidRPr="00C80B3E">
        <w:t>aprašo</w:t>
      </w:r>
      <w:r w:rsidR="00CF153C">
        <w:t xml:space="preserve"> patvirtinimo</w:t>
      </w:r>
      <w:r w:rsidR="00E60349" w:rsidRPr="00C80B3E">
        <w:t>“</w:t>
      </w:r>
      <w:r w:rsidRPr="00C80B3E">
        <w:t xml:space="preserve"> projektą (toliau – Nutarimo projektas</w:t>
      </w:r>
      <w:r w:rsidR="00F60B8D" w:rsidRPr="00C80B3E">
        <w:t>)</w:t>
      </w:r>
      <w:r w:rsidR="00533607">
        <w:t xml:space="preserve"> </w:t>
      </w:r>
      <w:r w:rsidR="007B6A0A" w:rsidRPr="007B6A0A">
        <w:t>vieš</w:t>
      </w:r>
      <w:r w:rsidR="00533607">
        <w:t>ajai</w:t>
      </w:r>
      <w:r w:rsidR="007B6A0A" w:rsidRPr="007B6A0A">
        <w:t xml:space="preserve"> konsultacija</w:t>
      </w:r>
      <w:r w:rsidR="00533607">
        <w:t>i</w:t>
      </w:r>
      <w:r w:rsidR="007B6A0A" w:rsidRPr="007B6A0A">
        <w:t xml:space="preserve"> nuo 2017 m. liepos 28 d. iki 2017 m. rugpjūčio 28 d.</w:t>
      </w:r>
    </w:p>
    <w:p w14:paraId="79787439" w14:textId="7152F080" w:rsidR="00486414" w:rsidRDefault="007A5177" w:rsidP="007231BE">
      <w:pPr>
        <w:pStyle w:val="Default"/>
        <w:ind w:firstLine="720"/>
        <w:jc w:val="both"/>
      </w:pPr>
      <w:r>
        <w:t>Lietuvos Respublikos finansų ministerij</w:t>
      </w:r>
      <w:r w:rsidR="00FE6B61">
        <w:t>a</w:t>
      </w:r>
      <w:r>
        <w:t xml:space="preserve"> 2017 m. rugpjūčio 24 d. raštu</w:t>
      </w:r>
      <w:r w:rsidR="00FE6B61">
        <w:br/>
      </w:r>
      <w:r>
        <w:t>Nr.</w:t>
      </w:r>
      <w:r w:rsidR="00FE6B61">
        <w:t> </w:t>
      </w:r>
      <w:r>
        <w:t>927.18-02)-5K-1715125)-6K-1705301</w:t>
      </w:r>
      <w:r w:rsidR="00791B56">
        <w:t xml:space="preserve">, </w:t>
      </w:r>
      <w:r w:rsidR="00FE6B61">
        <w:t xml:space="preserve">Valstybinė </w:t>
      </w:r>
      <w:r w:rsidR="001B5844">
        <w:t xml:space="preserve">energetikos inspekcija prie </w:t>
      </w:r>
      <w:r w:rsidR="00FE6B61">
        <w:t>E</w:t>
      </w:r>
      <w:r w:rsidR="001B5844">
        <w:t xml:space="preserve">nergetikos ministerijos 2017 m. rugpjūčio 25 d. raštu Nr. 2R-2410, </w:t>
      </w:r>
      <w:r w:rsidR="007C07A8" w:rsidRPr="007C07A8">
        <w:t xml:space="preserve">Lietuvos Respublikos </w:t>
      </w:r>
      <w:r w:rsidR="00486414">
        <w:t xml:space="preserve">konkurencijos taryba 2017 m. rugpjūčio 31 d. raštu </w:t>
      </w:r>
      <w:r w:rsidR="00FE6B61">
        <w:t>(r</w:t>
      </w:r>
      <w:r w:rsidR="00486414">
        <w:t>eg. Nr. R1-8467</w:t>
      </w:r>
      <w:r w:rsidR="00FE6B61">
        <w:t>)</w:t>
      </w:r>
      <w:r w:rsidR="00486414">
        <w:t xml:space="preserve">, AB „Energijos skirstymo operatorius“ 2017 m. </w:t>
      </w:r>
      <w:r>
        <w:br/>
      </w:r>
      <w:r w:rsidR="00486414">
        <w:t xml:space="preserve">rugpjūčio 25 d. raštu Nr. 30210-1536, AB „Amber Grid“ 2017 m. rugpjūčio 28 d. raštu </w:t>
      </w:r>
      <w:r>
        <w:br/>
      </w:r>
      <w:r w:rsidR="00486414">
        <w:t>Nr. 7-291-846, Lietuvos auditorių</w:t>
      </w:r>
      <w:r w:rsidR="006F4B36">
        <w:t xml:space="preserve"> </w:t>
      </w:r>
      <w:r w:rsidR="00486414">
        <w:t>rūmai 2017 m. rugpjūčio 25 d. raštu Nr. 1.9-S12</w:t>
      </w:r>
      <w:r w:rsidR="001B5844">
        <w:t xml:space="preserve">65, UAB „Lietuvos dujų tiekimas“ 2017 m. rugpjūčio 24 d. raštu </w:t>
      </w:r>
      <w:r w:rsidR="00FE6B61">
        <w:t>(r</w:t>
      </w:r>
      <w:r w:rsidR="001B5844">
        <w:t>eg. Nr. R1-8244</w:t>
      </w:r>
      <w:r w:rsidR="00FE6B61">
        <w:t>)</w:t>
      </w:r>
      <w:r w:rsidR="001B5844">
        <w:t xml:space="preserve">, Valstybinė vartotojų teisių apsaugos tarnyba 2017 m. rugpjūčio </w:t>
      </w:r>
      <w:r w:rsidR="00D737F7">
        <w:t>24</w:t>
      </w:r>
      <w:r w:rsidR="001B5844">
        <w:t xml:space="preserve"> d. raštu</w:t>
      </w:r>
      <w:r w:rsidR="00D737F7">
        <w:t xml:space="preserve"> </w:t>
      </w:r>
      <w:r w:rsidR="00FE6B61">
        <w:t xml:space="preserve">Nr. </w:t>
      </w:r>
      <w:r w:rsidR="00D737F7" w:rsidRPr="00D737F7">
        <w:t xml:space="preserve">4E-692 </w:t>
      </w:r>
      <w:r w:rsidR="00D737F7">
        <w:t>i</w:t>
      </w:r>
      <w:r w:rsidR="001B5844">
        <w:t xml:space="preserve">r Lietuvos bankas 2017 m. rugpjūčio 4 d. raštu </w:t>
      </w:r>
      <w:r w:rsidR="00FE6B61">
        <w:t>(r</w:t>
      </w:r>
      <w:r w:rsidR="001B5844">
        <w:t>eg. Nr. R1-7770</w:t>
      </w:r>
      <w:r w:rsidR="00FE6B61">
        <w:t>)</w:t>
      </w:r>
      <w:r w:rsidR="001B5844">
        <w:t xml:space="preserve"> </w:t>
      </w:r>
      <w:r w:rsidR="007C07A8" w:rsidRPr="007C07A8">
        <w:t xml:space="preserve">pateikė </w:t>
      </w:r>
      <w:r w:rsidR="001B5844">
        <w:t xml:space="preserve">pastabas ir </w:t>
      </w:r>
      <w:r w:rsidR="007C07A8" w:rsidRPr="007C07A8">
        <w:t>pasiūlymus, kurių vertinimas ir argumentai pateikti derinimo pažymoje.</w:t>
      </w:r>
      <w:r w:rsidR="007231BE">
        <w:t xml:space="preserve"> </w:t>
      </w:r>
      <w:r w:rsidR="00486414" w:rsidRPr="00486414">
        <w:t xml:space="preserve">Atsižvelgiant </w:t>
      </w:r>
      <w:r w:rsidR="007231BE">
        <w:t>į rinkos dalyvių gautas pastabas</w:t>
      </w:r>
      <w:r w:rsidR="00486414" w:rsidRPr="00486414">
        <w:t xml:space="preserve"> viešosios konsultacijos </w:t>
      </w:r>
      <w:r w:rsidR="007231BE">
        <w:t xml:space="preserve">metu, </w:t>
      </w:r>
      <w:r w:rsidR="00486414" w:rsidRPr="00486414">
        <w:t xml:space="preserve">Projektas </w:t>
      </w:r>
      <w:r w:rsidR="007231BE">
        <w:t>pakoreguotas ir teikiamas pakartotin</w:t>
      </w:r>
      <w:r w:rsidR="00FE6B61">
        <w:t>e</w:t>
      </w:r>
      <w:r w:rsidR="007231BE">
        <w:t>i vieša</w:t>
      </w:r>
      <w:r w:rsidR="00FE6B61">
        <w:t>ja</w:t>
      </w:r>
      <w:r w:rsidR="007231BE">
        <w:t xml:space="preserve">i konsultacijai. </w:t>
      </w:r>
    </w:p>
    <w:p w14:paraId="1D0F9DAE" w14:textId="77777777" w:rsidR="00533607" w:rsidRDefault="00533607" w:rsidP="00533607">
      <w:pPr>
        <w:pStyle w:val="Default"/>
        <w:ind w:firstLine="720"/>
        <w:jc w:val="both"/>
      </w:pPr>
      <w:r>
        <w:t>Pakoreguotame Nutarimo projekte numatyti šie pagrindiniai pakeitimai:</w:t>
      </w:r>
    </w:p>
    <w:p w14:paraId="7B20D022" w14:textId="5B0A354A" w:rsidR="00533607" w:rsidRDefault="00533607" w:rsidP="00533607">
      <w:pPr>
        <w:pStyle w:val="Default"/>
        <w:ind w:firstLine="720"/>
        <w:jc w:val="both"/>
      </w:pPr>
      <w:r>
        <w:t>- į reguliuojamos veiklos turto bazę draudžiamo traukti turto sąrašas papildytas turtu, skirtu bendrosioms personalo reikmėms, valdomų teritorijų tvarkymui</w:t>
      </w:r>
      <w:r w:rsidR="00106EF2">
        <w:t>,</w:t>
      </w:r>
      <w:r w:rsidR="00B0597C">
        <w:t xml:space="preserve"> išsinuomotu turtu</w:t>
      </w:r>
      <w:r>
        <w:t xml:space="preserve"> bei tyrimų, studijų ir panašaus pobūdžio nematerial</w:t>
      </w:r>
      <w:r w:rsidR="003C469D">
        <w:t>iu</w:t>
      </w:r>
      <w:r>
        <w:t xml:space="preserve"> turt</w:t>
      </w:r>
      <w:r w:rsidR="003C469D">
        <w:t>u</w:t>
      </w:r>
      <w:r>
        <w:t xml:space="preserve"> (tokio turto įsigijimo sąnaudos gali būti įtraukiamos į ataskaitinio laikotarpio sąnaudas), numatyta išimtis </w:t>
      </w:r>
      <w:r w:rsidR="00106EF2">
        <w:t xml:space="preserve">− </w:t>
      </w:r>
      <w:r>
        <w:t xml:space="preserve">nebaigtos statybos vertei strategiškai svarbioms investicijoms, padedančioms siekti nacionalinės ir </w:t>
      </w:r>
      <w:r w:rsidR="00106EF2">
        <w:t>e</w:t>
      </w:r>
      <w:r>
        <w:t>uropinės energetikos politikos tikslų;</w:t>
      </w:r>
    </w:p>
    <w:p w14:paraId="34DDA3D6" w14:textId="77777777" w:rsidR="00533607" w:rsidRDefault="00533607" w:rsidP="00533607">
      <w:pPr>
        <w:pStyle w:val="Default"/>
        <w:ind w:firstLine="720"/>
        <w:jc w:val="both"/>
      </w:pPr>
      <w:r>
        <w:t>- patikslintos nepaskirstomosios personalo sąnaudos;</w:t>
      </w:r>
    </w:p>
    <w:p w14:paraId="35E30968" w14:textId="77777777" w:rsidR="00533607" w:rsidRDefault="00533607" w:rsidP="00533607">
      <w:pPr>
        <w:pStyle w:val="Default"/>
        <w:ind w:firstLine="720"/>
        <w:jc w:val="both"/>
      </w:pPr>
      <w:r>
        <w:t>- nepaskirstomųjų sąnaudų sąrašas papildytas papildomo draudimo sąnaudomis;</w:t>
      </w:r>
    </w:p>
    <w:p w14:paraId="61ECAB41" w14:textId="78EB6D05" w:rsidR="00533607" w:rsidRDefault="00533607" w:rsidP="00533607">
      <w:pPr>
        <w:pStyle w:val="Default"/>
        <w:ind w:firstLine="720"/>
        <w:jc w:val="both"/>
      </w:pPr>
      <w:r>
        <w:t>- atsisakyta reikalavimo</w:t>
      </w:r>
      <w:r w:rsidR="00106EF2">
        <w:t>,</w:t>
      </w:r>
      <w:r>
        <w:t xml:space="preserve"> susijusio su investicijų poreikio planavimu ir reikiamo rezervo sudarymu;</w:t>
      </w:r>
    </w:p>
    <w:p w14:paraId="4F72B999" w14:textId="552AD1B1" w:rsidR="00533607" w:rsidRDefault="00533607" w:rsidP="00533607">
      <w:pPr>
        <w:pStyle w:val="Default"/>
        <w:ind w:firstLine="720"/>
        <w:jc w:val="both"/>
      </w:pPr>
      <w:r>
        <w:t>- atsisakyta priedo, kuriame teikiama informacija</w:t>
      </w:r>
      <w:r w:rsidR="00106EF2">
        <w:t>,</w:t>
      </w:r>
      <w:r>
        <w:t xml:space="preserve"> susijusi su vidaus sandoriais;</w:t>
      </w:r>
    </w:p>
    <w:p w14:paraId="73647A66" w14:textId="1C5E1B61" w:rsidR="00C648A9" w:rsidRDefault="00C648A9" w:rsidP="00533607">
      <w:pPr>
        <w:pStyle w:val="Default"/>
        <w:ind w:firstLine="720"/>
        <w:jc w:val="both"/>
      </w:pPr>
      <w:r>
        <w:t>- patikslinti ilgalaikio turto nusidėvėjimo normatyvai, atsižvelgiant į kitų sektorių taikomą praktiką;</w:t>
      </w:r>
    </w:p>
    <w:p w14:paraId="5EED70D2" w14:textId="11D2BE89" w:rsidR="00C648A9" w:rsidRDefault="00C648A9" w:rsidP="00C648A9">
      <w:pPr>
        <w:pStyle w:val="Default"/>
        <w:ind w:firstLine="720"/>
        <w:jc w:val="both"/>
      </w:pPr>
      <w:r>
        <w:t>- įtvirtintas naujas reikalavimas dėl reguliuojamo ilgalaikio turto nurašymo sąnaudų ir nebenaudojamo ilgalaikio turto vieneto ar jo dalies likutinės vertės įtraukimo į reguliuojamos paslaugos (produkto) turto bazę</w:t>
      </w:r>
      <w:r w:rsidR="00D963A1">
        <w:t xml:space="preserve"> (</w:t>
      </w:r>
      <w:r w:rsidR="00101B32">
        <w:t>g</w:t>
      </w:r>
      <w:r w:rsidR="00101B32" w:rsidRPr="00101B32">
        <w:t xml:space="preserve">amtinių dujų įmonei, vykdančiai sąnaudų paskirstymą, leidžiama reguliuojamų kainų paslaugoms (produktams) ir atitinkamiems verslo vienetams, į kurių sudėtį įeina reguliuojamų kainų paslaugos (produktai), priskirti ilgalaikio turto nurašymų sąnaudas, kurios atskirais atvejais yra lygios arba viršija 1 tūkst. Eur, tik tuomet, kai gamtinių dujų įmonė pagrindžia </w:t>
      </w:r>
      <w:r w:rsidR="00101B32" w:rsidRPr="00101B32">
        <w:lastRenderedPageBreak/>
        <w:t>Komisijai šiuos ilgalaikio turto nurašymo atvejus.</w:t>
      </w:r>
      <w:r w:rsidR="00101B32">
        <w:t xml:space="preserve"> </w:t>
      </w:r>
      <w:r w:rsidR="00162732" w:rsidRPr="00162732">
        <w:t>Ilgalaikio turto nurašymo sąnaudos turi būti sumažintos pajamomis, gautomis realizuojant nurašomą ilgalaikį turtą, jeigu gamtinių dujų įmonė tokias pajamas gavo.</w:t>
      </w:r>
      <w:r w:rsidR="00162732">
        <w:t xml:space="preserve"> </w:t>
      </w:r>
      <w:r w:rsidR="00101B32">
        <w:t xml:space="preserve">Taip pat, draudžiama priskirti </w:t>
      </w:r>
      <w:r w:rsidR="00101B32" w:rsidRPr="00101B32">
        <w:t>reguliuojamų kainų paslaugoms (produktams) ir atitinkamiems verslo vienetams,</w:t>
      </w:r>
      <w:r w:rsidR="00101B32">
        <w:t xml:space="preserve"> </w:t>
      </w:r>
      <w:r w:rsidR="00101B32" w:rsidRPr="00101B32">
        <w:t>ilgalaikio turto nurašymo sąnaud</w:t>
      </w:r>
      <w:r w:rsidR="00101B32">
        <w:t>a</w:t>
      </w:r>
      <w:r w:rsidR="00101B32" w:rsidRPr="00101B32">
        <w:t xml:space="preserve">s, kurios yra mažesnės nei </w:t>
      </w:r>
      <w:r w:rsidR="00B0597C">
        <w:br/>
      </w:r>
      <w:r w:rsidR="00101B32" w:rsidRPr="00101B32">
        <w:t>1 tūkst. Eur, ir bendrai sudarančias daugiau kaip 0,0</w:t>
      </w:r>
      <w:r w:rsidR="00F82F60">
        <w:t>3</w:t>
      </w:r>
      <w:r w:rsidR="00101B32" w:rsidRPr="00101B32">
        <w:t xml:space="preserve"> proc. gamtinių dujų įmonės ilgalaikio reguliuojamo turto vertės perdavimo sistemos operatoriaus </w:t>
      </w:r>
      <w:r w:rsidR="00F82F60">
        <w:t xml:space="preserve">ir </w:t>
      </w:r>
      <w:r w:rsidR="00101B32" w:rsidRPr="00101B32">
        <w:t>skirstymo sistemos operatoriaus atvej</w:t>
      </w:r>
      <w:r w:rsidR="00F82F60">
        <w:t>ais</w:t>
      </w:r>
      <w:r w:rsidR="006813C8">
        <w:t xml:space="preserve">. </w:t>
      </w:r>
      <w:r w:rsidR="00F82F60">
        <w:t xml:space="preserve">1 tūkst. Eur riba ir 0,03 proc. lygis buvo nustatytas vadovaujantis gamtinių dujų perdavimo ir skirstymo sistemos operatorių 2016 m. ir 2017 m. faktiniais </w:t>
      </w:r>
      <w:r w:rsidR="006813C8">
        <w:t xml:space="preserve">ilgalaikio turto </w:t>
      </w:r>
      <w:r w:rsidR="00F82F60">
        <w:t xml:space="preserve">nurašymo sąnaudų ir </w:t>
      </w:r>
      <w:r w:rsidR="006813C8">
        <w:t xml:space="preserve">ilgalaikio </w:t>
      </w:r>
      <w:r w:rsidR="00F82F60">
        <w:t>reguliuojamo turto ver</w:t>
      </w:r>
      <w:r w:rsidR="006D7523">
        <w:t>tės</w:t>
      </w:r>
      <w:r w:rsidR="00F82F60">
        <w:t xml:space="preserve"> duomenimis</w:t>
      </w:r>
      <w:r w:rsidR="00101B32">
        <w:t>)</w:t>
      </w:r>
      <w:r>
        <w:t>;</w:t>
      </w:r>
    </w:p>
    <w:p w14:paraId="198BB784" w14:textId="7B62DA83" w:rsidR="00C648A9" w:rsidRDefault="00C648A9" w:rsidP="00533607">
      <w:pPr>
        <w:pStyle w:val="Default"/>
        <w:ind w:firstLine="720"/>
        <w:jc w:val="both"/>
      </w:pPr>
      <w:r>
        <w:t xml:space="preserve">- </w:t>
      </w:r>
      <w:r w:rsidR="00727A03">
        <w:t xml:space="preserve">atsižvelgiant į gamtinių dujų regiono vystymą, </w:t>
      </w:r>
      <w:r w:rsidR="00727A03" w:rsidRPr="00727A03">
        <w:t>Aprašo 4 priedas papildytas</w:t>
      </w:r>
      <w:r w:rsidR="00727A03">
        <w:t xml:space="preserve"> naujomis eilutėmis dėl tarpsisteminio kompensavimo mechanizmo pajamų/mokėjimų;</w:t>
      </w:r>
    </w:p>
    <w:p w14:paraId="1A65C0D7" w14:textId="275C2AB8" w:rsidR="0056518E" w:rsidRDefault="0056518E" w:rsidP="00533607">
      <w:pPr>
        <w:pStyle w:val="Default"/>
        <w:ind w:firstLine="720"/>
        <w:jc w:val="both"/>
      </w:pPr>
      <w:r>
        <w:t>- atsižvelgiant į Energetikos įstatymo 25 straipsnio 5 dalyje numatyt</w:t>
      </w:r>
      <w:r w:rsidR="007544B9">
        <w:t>ą</w:t>
      </w:r>
      <w:r>
        <w:t xml:space="preserve"> įpareigojimą skelbti informaciją apie gamtinių dujų įmonės sąnaudas, siūloma atsisakyti dubliuojančios nuostatos Nutarimo projekte;</w:t>
      </w:r>
    </w:p>
    <w:p w14:paraId="7F470C61" w14:textId="77777777" w:rsidR="00533607" w:rsidRDefault="00533607" w:rsidP="00533607">
      <w:pPr>
        <w:pStyle w:val="Default"/>
        <w:ind w:firstLine="720"/>
        <w:jc w:val="both"/>
      </w:pPr>
      <w:r>
        <w:t xml:space="preserve">- </w:t>
      </w:r>
      <w:r w:rsidR="00C15CFD" w:rsidRPr="00C15CFD">
        <w:t>pakoreguotos sąvokos, suvienodintos kai kurios Aprašo nuostatos, įvertinant reguliuojamų sektorių ypatumus.</w:t>
      </w:r>
    </w:p>
    <w:p w14:paraId="63B2D15C" w14:textId="12BBFD63" w:rsidR="001E7560" w:rsidRPr="00C80B3E" w:rsidRDefault="00050089" w:rsidP="00C80B3E">
      <w:pPr>
        <w:pStyle w:val="Default"/>
        <w:ind w:firstLine="720"/>
        <w:jc w:val="both"/>
      </w:pPr>
      <w:r w:rsidRPr="00C80B3E">
        <w:t>Nutarimo projektas paskelbtas Lietuvos Respublikos Seimo teisės aktų projektų informacinėje sistemoje ir Komisijos interneto svetainėje www.regula.lt. Atskirai Nutarimo projektas siunčiam</w:t>
      </w:r>
      <w:r w:rsidR="00F735FE">
        <w:t>as</w:t>
      </w:r>
      <w:r w:rsidRPr="00C80B3E">
        <w:t xml:space="preserve"> nebus. Vadovaudamasi </w:t>
      </w:r>
      <w:bookmarkStart w:id="1" w:name="html"/>
      <w:r w:rsidRPr="00C80B3E">
        <w:t xml:space="preserve">Viešojo konsultavimosi dėl energetikos veiklą reglamentuojančių teisės aktų projektų taisyklių, patvirtintų Komisijos 2011 m. spalio 28 d. nutarimu Nr. O3-350 „Dėl Viešojo konsultavimosi dėl energetikos veiklą reglamentuojančių teisės aktų projektų taisyklių patvirtinimo“, </w:t>
      </w:r>
      <w:bookmarkEnd w:id="1"/>
      <w:r w:rsidRPr="00C80B3E">
        <w:t>13 punktu, Komisija prašo savo pastabas ir pasiūlymus Nuta</w:t>
      </w:r>
      <w:r w:rsidR="0025621A" w:rsidRPr="00C80B3E">
        <w:t xml:space="preserve">rimo projektui pateikti iki </w:t>
      </w:r>
      <w:r w:rsidR="0025621A" w:rsidRPr="00934584">
        <w:rPr>
          <w:b/>
        </w:rPr>
        <w:t>201</w:t>
      </w:r>
      <w:r w:rsidR="007231BE">
        <w:rPr>
          <w:b/>
        </w:rPr>
        <w:t>8</w:t>
      </w:r>
      <w:r w:rsidRPr="00934584">
        <w:rPr>
          <w:b/>
        </w:rPr>
        <w:t xml:space="preserve"> m. </w:t>
      </w:r>
      <w:r w:rsidR="007231BE">
        <w:rPr>
          <w:b/>
        </w:rPr>
        <w:t>balandžio</w:t>
      </w:r>
      <w:r w:rsidR="006C004E" w:rsidRPr="00934584">
        <w:rPr>
          <w:b/>
        </w:rPr>
        <w:t xml:space="preserve"> </w:t>
      </w:r>
      <w:r w:rsidR="002B5D18">
        <w:rPr>
          <w:b/>
        </w:rPr>
        <w:t>2</w:t>
      </w:r>
      <w:r w:rsidR="00F808E2">
        <w:rPr>
          <w:b/>
        </w:rPr>
        <w:t>7</w:t>
      </w:r>
      <w:r w:rsidRPr="00934584">
        <w:rPr>
          <w:b/>
        </w:rPr>
        <w:t xml:space="preserve"> d.</w:t>
      </w:r>
      <w:r w:rsidRPr="00C80B3E">
        <w:t xml:space="preserve"> paštu Verkių g. 25C-1, Vilnius, LT-08223, faksu ((8 5) 213 5270), elektroniniu paštu </w:t>
      </w:r>
      <w:r w:rsidR="004E37C2" w:rsidRPr="00C80B3E">
        <w:t>rastine@regula.lt</w:t>
      </w:r>
      <w:r w:rsidRPr="00C80B3E">
        <w:t xml:space="preserve"> arba per Seimo teisės aktų informacinę sistemą.</w:t>
      </w:r>
    </w:p>
    <w:p w14:paraId="5E169475" w14:textId="77777777" w:rsidR="00050089" w:rsidRPr="00C80B3E" w:rsidRDefault="00050089" w:rsidP="00C80B3E">
      <w:pPr>
        <w:pStyle w:val="Default"/>
        <w:ind w:firstLine="720"/>
        <w:jc w:val="both"/>
      </w:pPr>
      <w:r w:rsidRPr="00C80B3E">
        <w:t>Nutarimo projektą parengė</w:t>
      </w:r>
      <w:r w:rsidR="0025621A" w:rsidRPr="00C80B3E">
        <w:t xml:space="preserve"> </w:t>
      </w:r>
      <w:r w:rsidR="006C5E5F">
        <w:t>Marta Vorobjova</w:t>
      </w:r>
      <w:r w:rsidRPr="00C80B3E">
        <w:t>,</w:t>
      </w:r>
      <w:r w:rsidR="00F735FE">
        <w:t xml:space="preserve"> Komisijos</w:t>
      </w:r>
      <w:r w:rsidRPr="00C80B3E">
        <w:t xml:space="preserve"> </w:t>
      </w:r>
      <w:r w:rsidR="00C80B3E">
        <w:t xml:space="preserve">Dujų ir Elektros departamento </w:t>
      </w:r>
      <w:r w:rsidR="006C5E5F">
        <w:t>Dujų skyriaus vyr. specialistė</w:t>
      </w:r>
      <w:r w:rsidR="00C80B3E">
        <w:t xml:space="preserve">, </w:t>
      </w:r>
      <w:r w:rsidR="000B34B2">
        <w:t xml:space="preserve">tel. (8 5) </w:t>
      </w:r>
      <w:r w:rsidR="006C5E5F">
        <w:t>250</w:t>
      </w:r>
      <w:r w:rsidR="000B34B2" w:rsidRPr="009A74BF">
        <w:t xml:space="preserve"> </w:t>
      </w:r>
      <w:r w:rsidR="006C5E5F">
        <w:t>6183</w:t>
      </w:r>
      <w:r w:rsidR="000B34B2">
        <w:t xml:space="preserve">, el. p. </w:t>
      </w:r>
      <w:hyperlink r:id="rId10" w:history="1">
        <w:r w:rsidR="00F735FE" w:rsidRPr="00B15F33">
          <w:rPr>
            <w:rStyle w:val="Hyperlink"/>
            <w:color w:val="000000" w:themeColor="text1"/>
            <w:u w:val="none"/>
          </w:rPr>
          <w:t>marta.vorobjova@regula.lt</w:t>
        </w:r>
      </w:hyperlink>
      <w:r w:rsidR="0025621A" w:rsidRPr="00C80B3E">
        <w:t>.</w:t>
      </w:r>
      <w:r w:rsidR="002C16AD">
        <w:t xml:space="preserve"> </w:t>
      </w:r>
    </w:p>
    <w:p w14:paraId="6E71725B" w14:textId="77777777" w:rsidR="007231BE" w:rsidRDefault="00050089" w:rsidP="007231BE">
      <w:pPr>
        <w:pStyle w:val="Default"/>
        <w:ind w:firstLine="720"/>
        <w:jc w:val="both"/>
      </w:pPr>
      <w:r w:rsidRPr="00C80B3E">
        <w:t>PRIDEDAMA</w:t>
      </w:r>
      <w:r w:rsidR="007231BE">
        <w:t>:</w:t>
      </w:r>
      <w:r w:rsidR="00EB67EC" w:rsidRPr="00C80B3E">
        <w:t xml:space="preserve"> </w:t>
      </w:r>
    </w:p>
    <w:p w14:paraId="113CF044" w14:textId="79C60A0E" w:rsidR="00123B78" w:rsidRDefault="007231BE" w:rsidP="007231BE">
      <w:pPr>
        <w:pStyle w:val="Default"/>
        <w:ind w:firstLine="720"/>
        <w:jc w:val="both"/>
      </w:pPr>
      <w:r>
        <w:t xml:space="preserve">1. </w:t>
      </w:r>
      <w:r w:rsidR="00050089" w:rsidRPr="00C80B3E">
        <w:t xml:space="preserve">Komisijos </w:t>
      </w:r>
      <w:r w:rsidR="00A67651" w:rsidRPr="00C80B3E">
        <w:t>nutarimo „</w:t>
      </w:r>
      <w:r w:rsidR="00C80B3E" w:rsidRPr="00C80B3E">
        <w:t xml:space="preserve">Dėl </w:t>
      </w:r>
      <w:r w:rsidR="006C5E5F">
        <w:t>Gamtinių dujų</w:t>
      </w:r>
      <w:r w:rsidR="00C80B3E" w:rsidRPr="00C80B3E">
        <w:t xml:space="preserve"> įmonių apskaitos atskyrimo ir sąnaudų paskirstymo reikalavimų</w:t>
      </w:r>
      <w:r w:rsidR="00C80B3E" w:rsidRPr="00934584" w:rsidDel="00C80B3E">
        <w:t xml:space="preserve"> </w:t>
      </w:r>
      <w:r w:rsidR="00475306" w:rsidRPr="00C80B3E">
        <w:t>aprašo</w:t>
      </w:r>
      <w:r w:rsidR="00395247" w:rsidRPr="00C80B3E">
        <w:t xml:space="preserve">“ </w:t>
      </w:r>
      <w:r w:rsidR="00050089" w:rsidRPr="00C80B3E">
        <w:t xml:space="preserve">projektas, </w:t>
      </w:r>
      <w:r w:rsidR="00C80B3E" w:rsidRPr="00C80B3E">
        <w:t>1</w:t>
      </w:r>
      <w:r w:rsidR="0073570F">
        <w:t>4</w:t>
      </w:r>
      <w:r w:rsidR="00C80B3E" w:rsidRPr="00C80B3E">
        <w:t xml:space="preserve"> </w:t>
      </w:r>
      <w:r w:rsidR="00A67651" w:rsidRPr="00C80B3E">
        <w:t>lapų</w:t>
      </w:r>
      <w:r w:rsidR="00106EF2">
        <w:t>.</w:t>
      </w:r>
    </w:p>
    <w:p w14:paraId="69DA270F" w14:textId="77777777" w:rsidR="00014DB6" w:rsidRDefault="007231BE" w:rsidP="00014DB6">
      <w:pPr>
        <w:pStyle w:val="Default"/>
        <w:ind w:firstLine="720"/>
        <w:jc w:val="both"/>
      </w:pPr>
      <w:r>
        <w:t xml:space="preserve">2. Komisijos nutarimo </w:t>
      </w:r>
      <w:r w:rsidRPr="007231BE">
        <w:t>„Dėl Gamtinių dujų įmonių apskaitos atskyrimo ir sąnaudų paskirstymo reikalavimų aprašo“ projekt</w:t>
      </w:r>
      <w:r>
        <w:t xml:space="preserve">o derinimo pažyma, </w:t>
      </w:r>
      <w:r w:rsidR="00D50BD7">
        <w:t>1</w:t>
      </w:r>
      <w:r w:rsidR="008C265B">
        <w:t>6</w:t>
      </w:r>
      <w:r>
        <w:t xml:space="preserve"> lapų.</w:t>
      </w:r>
    </w:p>
    <w:p w14:paraId="711959CA" w14:textId="76C20543" w:rsidR="00014DB6" w:rsidRPr="00C80B3E" w:rsidRDefault="00014DB6" w:rsidP="00014DB6">
      <w:pPr>
        <w:pStyle w:val="Default"/>
        <w:ind w:firstLine="720"/>
        <w:jc w:val="both"/>
      </w:pPr>
      <w:r>
        <w:t xml:space="preserve">3. </w:t>
      </w:r>
      <w:r w:rsidRPr="00C80B3E">
        <w:t xml:space="preserve">Komisijos nutarimo </w:t>
      </w:r>
      <w:r w:rsidRPr="00014DB6">
        <w:t xml:space="preserve">„Dėl Gamtinių dujų įmonių apskaitos atskyrimo ir sąnaudų paskirstymo reikalavimų aprašo“ </w:t>
      </w:r>
      <w:r>
        <w:t>1–</w:t>
      </w:r>
      <w:r w:rsidR="0073570F">
        <w:t>6</w:t>
      </w:r>
      <w:r>
        <w:t xml:space="preserve"> priedai (</w:t>
      </w:r>
      <w:r w:rsidRPr="00D611A8">
        <w:rPr>
          <w:i/>
        </w:rPr>
        <w:t>Excel</w:t>
      </w:r>
      <w:r>
        <w:t xml:space="preserve"> failas)</w:t>
      </w:r>
      <w:r w:rsidRPr="00C80B3E">
        <w:t>.</w:t>
      </w:r>
    </w:p>
    <w:p w14:paraId="7496976F" w14:textId="77777777" w:rsidR="00AF1531" w:rsidRPr="00C80B3E" w:rsidRDefault="00AF1531" w:rsidP="00C80B3E">
      <w:pPr>
        <w:pStyle w:val="Default"/>
        <w:ind w:firstLine="720"/>
        <w:jc w:val="both"/>
      </w:pPr>
    </w:p>
    <w:p w14:paraId="503C83AC" w14:textId="77777777" w:rsidR="000F0282" w:rsidRPr="00C80B3E" w:rsidRDefault="000F0282" w:rsidP="00C80B3E">
      <w:pPr>
        <w:pStyle w:val="Default"/>
        <w:ind w:firstLine="720"/>
        <w:jc w:val="both"/>
      </w:pPr>
    </w:p>
    <w:p w14:paraId="3C942B30" w14:textId="77777777" w:rsidR="000F0282" w:rsidRPr="00C80B3E" w:rsidRDefault="000F0282" w:rsidP="00C80B3E">
      <w:pPr>
        <w:pStyle w:val="Default"/>
        <w:ind w:firstLine="720"/>
        <w:jc w:val="both"/>
      </w:pPr>
    </w:p>
    <w:p w14:paraId="1B4991C7" w14:textId="77777777" w:rsidR="008B554C" w:rsidRPr="00C80B3E" w:rsidRDefault="00AC474D" w:rsidP="00C80B3E">
      <w:pPr>
        <w:pStyle w:val="Default"/>
        <w:jc w:val="both"/>
      </w:pPr>
      <w:r w:rsidRPr="00C80B3E">
        <w:t>Komisijos pirminink</w:t>
      </w:r>
      <w:r w:rsidR="003774D3">
        <w:t>ė</w:t>
      </w:r>
      <w:r w:rsidR="003774D3">
        <w:tab/>
      </w:r>
      <w:r w:rsidR="003774D3">
        <w:tab/>
      </w:r>
      <w:r w:rsidR="003774D3">
        <w:tab/>
      </w:r>
      <w:r w:rsidR="003774D3">
        <w:tab/>
      </w:r>
      <w:r w:rsidRPr="00C80B3E">
        <w:tab/>
        <w:t xml:space="preserve"> </w:t>
      </w:r>
      <w:r w:rsidRPr="00C80B3E">
        <w:tab/>
      </w:r>
      <w:r w:rsidRPr="00C80B3E">
        <w:tab/>
      </w:r>
      <w:r w:rsidRPr="00C80B3E">
        <w:tab/>
      </w:r>
      <w:r w:rsidRPr="00C80B3E">
        <w:tab/>
      </w:r>
      <w:r w:rsidR="003774D3">
        <w:t xml:space="preserve">         Inga Žilienė</w:t>
      </w:r>
    </w:p>
    <w:p w14:paraId="706A41C0" w14:textId="77777777" w:rsidR="00A76714" w:rsidRPr="00C257BE" w:rsidRDefault="00A76714" w:rsidP="000F0282">
      <w:pPr>
        <w:rPr>
          <w:b w:val="0"/>
          <w:color w:val="auto"/>
        </w:rPr>
      </w:pPr>
    </w:p>
    <w:p w14:paraId="37696760" w14:textId="77777777" w:rsidR="000F0282" w:rsidRPr="00C257BE" w:rsidRDefault="000F0282" w:rsidP="000F0282">
      <w:pPr>
        <w:rPr>
          <w:b w:val="0"/>
          <w:color w:val="auto"/>
        </w:rPr>
      </w:pPr>
    </w:p>
    <w:p w14:paraId="61AF94D5" w14:textId="77777777" w:rsidR="000F0282" w:rsidRPr="00C257BE" w:rsidRDefault="000F0282" w:rsidP="000F0282">
      <w:pPr>
        <w:rPr>
          <w:b w:val="0"/>
          <w:color w:val="auto"/>
        </w:rPr>
      </w:pPr>
    </w:p>
    <w:p w14:paraId="27ED89BF" w14:textId="77777777" w:rsidR="000F0282" w:rsidRPr="00C257BE" w:rsidRDefault="000F0282" w:rsidP="000F0282">
      <w:pPr>
        <w:rPr>
          <w:b w:val="0"/>
          <w:color w:val="auto"/>
        </w:rPr>
      </w:pPr>
    </w:p>
    <w:p w14:paraId="5ECA1A1C" w14:textId="77777777" w:rsidR="000F0282" w:rsidRPr="00C257BE" w:rsidRDefault="000F0282" w:rsidP="000F0282">
      <w:pPr>
        <w:rPr>
          <w:b w:val="0"/>
          <w:color w:val="auto"/>
        </w:rPr>
      </w:pPr>
    </w:p>
    <w:p w14:paraId="0A588715" w14:textId="77777777" w:rsidR="000F0282" w:rsidRPr="00C257BE" w:rsidRDefault="000F0282" w:rsidP="000F0282">
      <w:pPr>
        <w:rPr>
          <w:b w:val="0"/>
          <w:color w:val="auto"/>
        </w:rPr>
      </w:pPr>
    </w:p>
    <w:p w14:paraId="0142DB1E" w14:textId="77777777" w:rsidR="000F0282" w:rsidRPr="00C257BE" w:rsidRDefault="000F0282" w:rsidP="000F0282">
      <w:pPr>
        <w:rPr>
          <w:b w:val="0"/>
          <w:color w:val="auto"/>
        </w:rPr>
      </w:pPr>
    </w:p>
    <w:p w14:paraId="7CDCC0FF" w14:textId="77777777" w:rsidR="000F0282" w:rsidRPr="00C257BE" w:rsidRDefault="000F0282" w:rsidP="000F0282">
      <w:pPr>
        <w:rPr>
          <w:b w:val="0"/>
          <w:color w:val="auto"/>
        </w:rPr>
      </w:pPr>
    </w:p>
    <w:p w14:paraId="3BE4F232" w14:textId="77777777" w:rsidR="000F0282" w:rsidRPr="00C257BE" w:rsidRDefault="000F0282" w:rsidP="000F0282">
      <w:pPr>
        <w:rPr>
          <w:b w:val="0"/>
          <w:color w:val="auto"/>
        </w:rPr>
      </w:pPr>
    </w:p>
    <w:p w14:paraId="33FC8470" w14:textId="77777777" w:rsidR="00934584" w:rsidRDefault="00934584" w:rsidP="00860DCF">
      <w:pPr>
        <w:spacing w:line="360" w:lineRule="auto"/>
        <w:rPr>
          <w:b w:val="0"/>
          <w:color w:val="000000"/>
        </w:rPr>
      </w:pPr>
    </w:p>
    <w:p w14:paraId="7971891C" w14:textId="77777777" w:rsidR="00934584" w:rsidRDefault="003774D3" w:rsidP="00860DCF">
      <w:pPr>
        <w:spacing w:line="360" w:lineRule="auto"/>
        <w:rPr>
          <w:b w:val="0"/>
          <w:color w:val="000000"/>
        </w:rPr>
      </w:pPr>
      <w:r w:rsidRPr="00C257BE">
        <w:rPr>
          <w:noProof/>
          <w:color w:val="auto"/>
          <w:lang w:eastAsia="lt-LT"/>
        </w:rPr>
        <w:drawing>
          <wp:anchor distT="0" distB="0" distL="114300" distR="114300" simplePos="0" relativeHeight="251659776" behindDoc="1" locked="0" layoutInCell="1" allowOverlap="1" wp14:anchorId="2FECAAE8" wp14:editId="25656332">
            <wp:simplePos x="0" y="0"/>
            <wp:positionH relativeFrom="margin">
              <wp:posOffset>4541691</wp:posOffset>
            </wp:positionH>
            <wp:positionV relativeFrom="paragraph">
              <wp:posOffset>10226</wp:posOffset>
            </wp:positionV>
            <wp:extent cx="1663065" cy="716280"/>
            <wp:effectExtent l="0" t="0" r="0" b="7620"/>
            <wp:wrapSquare wrapText="bothSides"/>
            <wp:docPr id="1" name="Picture 1" descr="is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o_b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601DE" w14:textId="77777777" w:rsidR="00934584" w:rsidRDefault="00934584" w:rsidP="00860DCF">
      <w:pPr>
        <w:spacing w:line="360" w:lineRule="auto"/>
        <w:rPr>
          <w:b w:val="0"/>
          <w:color w:val="000000"/>
        </w:rPr>
      </w:pPr>
    </w:p>
    <w:p w14:paraId="62A25D84" w14:textId="77777777" w:rsidR="00AF1531" w:rsidRPr="00934584" w:rsidRDefault="006C5E5F" w:rsidP="00860DCF">
      <w:pPr>
        <w:spacing w:line="360" w:lineRule="auto"/>
        <w:rPr>
          <w:b w:val="0"/>
          <w:bCs/>
          <w:color w:val="auto"/>
        </w:rPr>
      </w:pPr>
      <w:r>
        <w:rPr>
          <w:b w:val="0"/>
          <w:color w:val="auto"/>
        </w:rPr>
        <w:t>M</w:t>
      </w:r>
      <w:r w:rsidR="000B34B2" w:rsidRPr="00934584">
        <w:rPr>
          <w:b w:val="0"/>
          <w:color w:val="auto"/>
        </w:rPr>
        <w:t>.</w:t>
      </w:r>
      <w:r>
        <w:rPr>
          <w:b w:val="0"/>
          <w:color w:val="auto"/>
        </w:rPr>
        <w:t xml:space="preserve"> Vorobjova</w:t>
      </w:r>
      <w:r w:rsidR="000B34B2" w:rsidRPr="00934584">
        <w:rPr>
          <w:b w:val="0"/>
          <w:color w:val="auto"/>
        </w:rPr>
        <w:t>, tel. (8 5) 2</w:t>
      </w:r>
      <w:r>
        <w:rPr>
          <w:b w:val="0"/>
          <w:color w:val="auto"/>
        </w:rPr>
        <w:t>50</w:t>
      </w:r>
      <w:r w:rsidR="000B34B2" w:rsidRPr="00934584">
        <w:rPr>
          <w:b w:val="0"/>
          <w:color w:val="auto"/>
        </w:rPr>
        <w:t xml:space="preserve"> </w:t>
      </w:r>
      <w:r>
        <w:rPr>
          <w:b w:val="0"/>
          <w:color w:val="auto"/>
        </w:rPr>
        <w:t>6183</w:t>
      </w:r>
      <w:r w:rsidR="000B34B2" w:rsidRPr="00934584">
        <w:rPr>
          <w:b w:val="0"/>
          <w:color w:val="auto"/>
        </w:rPr>
        <w:t xml:space="preserve">, el. p. </w:t>
      </w:r>
      <w:r w:rsidR="006E2E1F">
        <w:rPr>
          <w:b w:val="0"/>
          <w:color w:val="auto"/>
        </w:rPr>
        <w:t>marta.vorobjova</w:t>
      </w:r>
      <w:r w:rsidR="000B34B2" w:rsidRPr="00934584">
        <w:rPr>
          <w:b w:val="0"/>
          <w:color w:val="auto"/>
        </w:rPr>
        <w:t>@regula.lt</w:t>
      </w:r>
    </w:p>
    <w:p w14:paraId="09EA6FD1" w14:textId="77777777" w:rsidR="00C1559B" w:rsidRPr="00C257BE" w:rsidRDefault="00C1559B" w:rsidP="00934584">
      <w:pPr>
        <w:pageBreakBefore/>
        <w:jc w:val="center"/>
        <w:rPr>
          <w:rFonts w:eastAsia="Calibri"/>
          <w:color w:val="auto"/>
        </w:rPr>
      </w:pPr>
      <w:r w:rsidRPr="00C257BE">
        <w:rPr>
          <w:rFonts w:eastAsia="Calibri"/>
          <w:color w:val="auto"/>
        </w:rPr>
        <w:lastRenderedPageBreak/>
        <w:t xml:space="preserve">VALSTYBINĖS KAINŲ IR ENERGETIKOS KONTROLĖS KOMISIJOS </w:t>
      </w:r>
      <w:r w:rsidR="000F0282" w:rsidRPr="00C257BE">
        <w:rPr>
          <w:rFonts w:eastAsia="Calibri"/>
          <w:color w:val="auto"/>
        </w:rPr>
        <w:br/>
      </w:r>
      <w:r w:rsidRPr="00C257BE">
        <w:rPr>
          <w:rFonts w:eastAsia="Calibri"/>
          <w:color w:val="auto"/>
        </w:rPr>
        <w:t>201</w:t>
      </w:r>
      <w:r w:rsidR="007231BE">
        <w:rPr>
          <w:rFonts w:eastAsia="Calibri"/>
          <w:color w:val="auto"/>
        </w:rPr>
        <w:t>8</w:t>
      </w:r>
      <w:r w:rsidRPr="00C257BE">
        <w:rPr>
          <w:rFonts w:eastAsia="Calibri"/>
          <w:color w:val="auto"/>
        </w:rPr>
        <w:t>-</w:t>
      </w:r>
      <w:r w:rsidR="000F0282" w:rsidRPr="00C257BE">
        <w:rPr>
          <w:rFonts w:eastAsia="Calibri"/>
          <w:color w:val="auto"/>
        </w:rPr>
        <w:t xml:space="preserve">                        </w:t>
      </w:r>
      <w:r w:rsidRPr="00C257BE">
        <w:rPr>
          <w:rFonts w:eastAsia="Calibri"/>
          <w:color w:val="auto"/>
        </w:rPr>
        <w:t>RAŠTO NR. R2-</w:t>
      </w:r>
      <w:r w:rsidR="0025621A" w:rsidRPr="00C257BE">
        <w:rPr>
          <w:rFonts w:eastAsia="Calibri"/>
          <w:color w:val="auto"/>
        </w:rPr>
        <w:t>(</w:t>
      </w:r>
      <w:r w:rsidR="006C5E5F">
        <w:rPr>
          <w:rFonts w:eastAsia="Calibri"/>
          <w:color w:val="auto"/>
        </w:rPr>
        <w:t>D</w:t>
      </w:r>
      <w:r w:rsidR="0025621A" w:rsidRPr="00C257BE">
        <w:rPr>
          <w:rFonts w:eastAsia="Calibri"/>
          <w:color w:val="auto"/>
        </w:rPr>
        <w:t>)-</w:t>
      </w:r>
      <w:r w:rsidRPr="00C257BE">
        <w:rPr>
          <w:rFonts w:eastAsia="Calibri"/>
          <w:color w:val="auto"/>
        </w:rPr>
        <w:t xml:space="preserve">        ADRESATŲ SĄRAŠAS</w:t>
      </w:r>
    </w:p>
    <w:p w14:paraId="01D056C2" w14:textId="77777777" w:rsidR="00C1559B" w:rsidRPr="00C257BE" w:rsidRDefault="00C1559B" w:rsidP="00C1559B">
      <w:pPr>
        <w:tabs>
          <w:tab w:val="left" w:pos="450"/>
        </w:tabs>
        <w:rPr>
          <w:rFonts w:eastAsia="Calibri"/>
          <w:b w:val="0"/>
          <w:color w:val="auto"/>
        </w:rPr>
      </w:pPr>
    </w:p>
    <w:p w14:paraId="309CFBF0" w14:textId="0C50D853" w:rsidR="00FE7C3D" w:rsidRPr="00934584" w:rsidRDefault="00FE7C3D" w:rsidP="00FE7C3D">
      <w:pPr>
        <w:numPr>
          <w:ilvl w:val="0"/>
          <w:numId w:val="5"/>
        </w:numPr>
        <w:tabs>
          <w:tab w:val="left" w:pos="450"/>
        </w:tabs>
        <w:rPr>
          <w:b w:val="0"/>
          <w:color w:val="auto"/>
        </w:rPr>
      </w:pPr>
      <w:r w:rsidRPr="00934584">
        <w:rPr>
          <w:b w:val="0"/>
          <w:color w:val="auto"/>
        </w:rPr>
        <w:t xml:space="preserve">Lietuvos Respublikos </w:t>
      </w:r>
      <w:r w:rsidR="00ED3C22">
        <w:rPr>
          <w:b w:val="0"/>
          <w:color w:val="auto"/>
        </w:rPr>
        <w:t>energetikos ministerija;</w:t>
      </w:r>
    </w:p>
    <w:p w14:paraId="1179E728" w14:textId="14879ABB" w:rsidR="00FE7C3D" w:rsidRPr="00934584" w:rsidRDefault="00FE7C3D" w:rsidP="00FE7C3D">
      <w:pPr>
        <w:numPr>
          <w:ilvl w:val="0"/>
          <w:numId w:val="5"/>
        </w:numPr>
        <w:rPr>
          <w:rFonts w:eastAsia="Calibri"/>
          <w:b w:val="0"/>
          <w:bCs/>
          <w:color w:val="auto"/>
        </w:rPr>
      </w:pPr>
      <w:r w:rsidRPr="00934584">
        <w:rPr>
          <w:rFonts w:eastAsia="Calibri"/>
          <w:b w:val="0"/>
          <w:bCs/>
          <w:color w:val="auto"/>
        </w:rPr>
        <w:t>Lietuvos R</w:t>
      </w:r>
      <w:r w:rsidR="00ED3C22">
        <w:rPr>
          <w:rFonts w:eastAsia="Calibri"/>
          <w:b w:val="0"/>
          <w:bCs/>
          <w:color w:val="auto"/>
        </w:rPr>
        <w:t>espublikos finansų ministerija;</w:t>
      </w:r>
    </w:p>
    <w:p w14:paraId="0CA5A028" w14:textId="3147C2B7" w:rsidR="00FE7C3D" w:rsidRPr="00934584" w:rsidRDefault="00FE7C3D" w:rsidP="00FE7C3D">
      <w:pPr>
        <w:numPr>
          <w:ilvl w:val="0"/>
          <w:numId w:val="5"/>
        </w:numPr>
        <w:rPr>
          <w:rFonts w:eastAsia="Calibri"/>
          <w:b w:val="0"/>
          <w:bCs/>
          <w:color w:val="auto"/>
        </w:rPr>
      </w:pPr>
      <w:r w:rsidRPr="00934584">
        <w:rPr>
          <w:rFonts w:eastAsia="Calibri"/>
          <w:b w:val="0"/>
          <w:bCs/>
          <w:color w:val="auto"/>
        </w:rPr>
        <w:t>Lietuvos Res</w:t>
      </w:r>
      <w:r w:rsidR="00ED3C22">
        <w:rPr>
          <w:rFonts w:eastAsia="Calibri"/>
          <w:b w:val="0"/>
          <w:bCs/>
          <w:color w:val="auto"/>
        </w:rPr>
        <w:t>publikos konkurencijos taryba;</w:t>
      </w:r>
    </w:p>
    <w:p w14:paraId="48FDE1F7" w14:textId="2905A499" w:rsidR="00FE7C3D" w:rsidRPr="00934584" w:rsidRDefault="00FE7C3D" w:rsidP="00FE7C3D">
      <w:pPr>
        <w:numPr>
          <w:ilvl w:val="0"/>
          <w:numId w:val="5"/>
        </w:numPr>
        <w:tabs>
          <w:tab w:val="left" w:pos="450"/>
        </w:tabs>
        <w:rPr>
          <w:b w:val="0"/>
          <w:color w:val="auto"/>
        </w:rPr>
      </w:pPr>
      <w:r w:rsidRPr="00934584">
        <w:rPr>
          <w:b w:val="0"/>
          <w:color w:val="auto"/>
        </w:rPr>
        <w:t>Valstybinė var</w:t>
      </w:r>
      <w:r w:rsidR="00ED3C22">
        <w:rPr>
          <w:b w:val="0"/>
          <w:color w:val="auto"/>
        </w:rPr>
        <w:t>totojų teisių apsaugos tarnyba;</w:t>
      </w:r>
    </w:p>
    <w:p w14:paraId="4ED2ACDA" w14:textId="58884B4F" w:rsidR="00ED3C22" w:rsidRDefault="00ED3C22" w:rsidP="00247DC8">
      <w:pPr>
        <w:numPr>
          <w:ilvl w:val="0"/>
          <w:numId w:val="5"/>
        </w:numPr>
        <w:rPr>
          <w:rFonts w:eastAsia="Calibri"/>
          <w:b w:val="0"/>
          <w:bCs/>
          <w:color w:val="auto"/>
        </w:rPr>
      </w:pPr>
      <w:r>
        <w:rPr>
          <w:rFonts w:eastAsia="Calibri"/>
          <w:b w:val="0"/>
          <w:bCs/>
          <w:color w:val="auto"/>
        </w:rPr>
        <w:t>Lietuvos bank</w:t>
      </w:r>
      <w:r w:rsidR="00106EF2">
        <w:rPr>
          <w:rFonts w:eastAsia="Calibri"/>
          <w:b w:val="0"/>
          <w:bCs/>
          <w:color w:val="auto"/>
        </w:rPr>
        <w:t>as</w:t>
      </w:r>
      <w:r>
        <w:rPr>
          <w:rFonts w:eastAsia="Calibri"/>
          <w:b w:val="0"/>
          <w:bCs/>
          <w:color w:val="auto"/>
        </w:rPr>
        <w:t>;</w:t>
      </w:r>
    </w:p>
    <w:p w14:paraId="033E0529" w14:textId="7FBE0BB5" w:rsidR="00FE7C3D" w:rsidRPr="00ED3C22" w:rsidRDefault="00FE7C3D" w:rsidP="00247DC8">
      <w:pPr>
        <w:numPr>
          <w:ilvl w:val="0"/>
          <w:numId w:val="5"/>
        </w:numPr>
        <w:rPr>
          <w:rFonts w:eastAsia="Calibri"/>
          <w:b w:val="0"/>
          <w:bCs/>
          <w:color w:val="auto"/>
        </w:rPr>
      </w:pPr>
      <w:r w:rsidRPr="00ED3C22">
        <w:rPr>
          <w:b w:val="0"/>
          <w:color w:val="auto"/>
        </w:rPr>
        <w:t>L</w:t>
      </w:r>
      <w:r w:rsidR="00ED3C22">
        <w:rPr>
          <w:b w:val="0"/>
          <w:color w:val="auto"/>
        </w:rPr>
        <w:t>ietuvos energetikos institut</w:t>
      </w:r>
      <w:r w:rsidR="00106EF2">
        <w:rPr>
          <w:b w:val="0"/>
          <w:color w:val="auto"/>
        </w:rPr>
        <w:t>as</w:t>
      </w:r>
      <w:r w:rsidR="00ED3C22">
        <w:rPr>
          <w:b w:val="0"/>
          <w:color w:val="auto"/>
        </w:rPr>
        <w:t>;</w:t>
      </w:r>
    </w:p>
    <w:p w14:paraId="7D58A0D3" w14:textId="38D4222E" w:rsidR="00FE7C3D" w:rsidRPr="00934584" w:rsidRDefault="00FE7C3D" w:rsidP="00FE7C3D">
      <w:pPr>
        <w:numPr>
          <w:ilvl w:val="0"/>
          <w:numId w:val="5"/>
        </w:numPr>
        <w:rPr>
          <w:rFonts w:eastAsia="Calibri"/>
          <w:b w:val="0"/>
          <w:bCs/>
          <w:color w:val="auto"/>
        </w:rPr>
      </w:pPr>
      <w:r w:rsidRPr="00934584">
        <w:rPr>
          <w:rFonts w:eastAsia="Calibri"/>
          <w:b w:val="0"/>
          <w:bCs/>
          <w:color w:val="auto"/>
        </w:rPr>
        <w:t>Lietuvos pr</w:t>
      </w:r>
      <w:r w:rsidR="00ED3C22">
        <w:rPr>
          <w:rFonts w:eastAsia="Calibri"/>
          <w:b w:val="0"/>
          <w:bCs/>
          <w:color w:val="auto"/>
        </w:rPr>
        <w:t>amoninkų konfederacija;</w:t>
      </w:r>
    </w:p>
    <w:p w14:paraId="4C1EC1EE" w14:textId="3D300944" w:rsidR="00FE7C3D" w:rsidRPr="009B49BF" w:rsidRDefault="009B49BF" w:rsidP="00EA5727">
      <w:pPr>
        <w:pStyle w:val="ListParagraph"/>
        <w:numPr>
          <w:ilvl w:val="0"/>
          <w:numId w:val="5"/>
        </w:numPr>
        <w:rPr>
          <w:rFonts w:eastAsia="Calibri"/>
          <w:b w:val="0"/>
          <w:bCs/>
          <w:color w:val="auto"/>
        </w:rPr>
      </w:pPr>
      <w:r>
        <w:rPr>
          <w:rFonts w:eastAsia="Calibri"/>
          <w:b w:val="0"/>
          <w:bCs/>
          <w:color w:val="auto"/>
        </w:rPr>
        <w:t>Lietuvos auditorių rūma</w:t>
      </w:r>
      <w:r w:rsidR="00106EF2">
        <w:rPr>
          <w:rFonts w:eastAsia="Calibri"/>
          <w:b w:val="0"/>
          <w:bCs/>
          <w:color w:val="auto"/>
        </w:rPr>
        <w:t>i</w:t>
      </w:r>
      <w:r>
        <w:rPr>
          <w:rFonts w:eastAsia="Calibri"/>
          <w:b w:val="0"/>
          <w:bCs/>
          <w:color w:val="auto"/>
        </w:rPr>
        <w:t>;</w:t>
      </w:r>
    </w:p>
    <w:p w14:paraId="53029B01" w14:textId="76E04546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AB „Achema</w:t>
      </w:r>
      <w:r w:rsidR="00106EF2">
        <w:rPr>
          <w:b w:val="0"/>
          <w:color w:val="000000" w:themeColor="text1"/>
        </w:rPr>
        <w:t>“</w:t>
      </w:r>
      <w:r w:rsidRPr="00ED3C22">
        <w:rPr>
          <w:b w:val="0"/>
          <w:color w:val="000000" w:themeColor="text1"/>
        </w:rPr>
        <w:t>;</w:t>
      </w:r>
    </w:p>
    <w:p w14:paraId="26016383" w14:textId="14CE8AE3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AB agrofirma „Josvainiai</w:t>
      </w:r>
      <w:r w:rsidR="00106EF2">
        <w:rPr>
          <w:b w:val="0"/>
          <w:color w:val="000000" w:themeColor="text1"/>
        </w:rPr>
        <w:t>“</w:t>
      </w:r>
      <w:r w:rsidRPr="00ED3C22">
        <w:rPr>
          <w:b w:val="0"/>
          <w:color w:val="000000" w:themeColor="text1"/>
        </w:rPr>
        <w:t>;</w:t>
      </w:r>
    </w:p>
    <w:p w14:paraId="1E534C84" w14:textId="77777777" w:rsidR="00ED3C22" w:rsidRPr="00ED3C22" w:rsidRDefault="00ED3C22" w:rsidP="00ED3C22">
      <w:pPr>
        <w:pStyle w:val="ListParagraph"/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 xml:space="preserve">AB „Amber Grid“; </w:t>
      </w:r>
    </w:p>
    <w:p w14:paraId="7CAB3911" w14:textId="77777777" w:rsidR="00ED3C22" w:rsidRPr="00ED3C22" w:rsidRDefault="00ED3C22" w:rsidP="00ED3C22">
      <w:pPr>
        <w:pStyle w:val="ListParagraph"/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 xml:space="preserve">AB „Energijos skirstymo operatorius“; </w:t>
      </w:r>
    </w:p>
    <w:p w14:paraId="4FB94E91" w14:textId="77777777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bookmarkStart w:id="2" w:name="_Hlk482085021"/>
      <w:r w:rsidRPr="00ED3C22">
        <w:rPr>
          <w:b w:val="0"/>
          <w:color w:val="000000" w:themeColor="text1"/>
        </w:rPr>
        <w:t>AB Lietuvos energijos gamyba</w:t>
      </w:r>
      <w:bookmarkEnd w:id="2"/>
      <w:r w:rsidRPr="00ED3C22">
        <w:rPr>
          <w:b w:val="0"/>
          <w:color w:val="000000" w:themeColor="text1"/>
        </w:rPr>
        <w:t>;</w:t>
      </w:r>
    </w:p>
    <w:p w14:paraId="1307E13A" w14:textId="77777777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AB „Šiaulių energija“;</w:t>
      </w:r>
    </w:p>
    <w:p w14:paraId="418FD813" w14:textId="77777777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„Dolaurus“;</w:t>
      </w:r>
    </w:p>
    <w:p w14:paraId="46611709" w14:textId="52B2F510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„Dujotekana</w:t>
      </w:r>
      <w:r w:rsidR="00106EF2">
        <w:rPr>
          <w:b w:val="0"/>
          <w:color w:val="000000" w:themeColor="text1"/>
        </w:rPr>
        <w:t>“</w:t>
      </w:r>
      <w:r w:rsidRPr="00ED3C22">
        <w:rPr>
          <w:b w:val="0"/>
          <w:color w:val="000000" w:themeColor="text1"/>
        </w:rPr>
        <w:t>;</w:t>
      </w:r>
    </w:p>
    <w:p w14:paraId="15BD8EB6" w14:textId="36705568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„Elektrum Lietuva“</w:t>
      </w:r>
      <w:r w:rsidR="00106EF2">
        <w:rPr>
          <w:b w:val="0"/>
          <w:color w:val="000000" w:themeColor="text1"/>
        </w:rPr>
        <w:t>;</w:t>
      </w:r>
    </w:p>
    <w:p w14:paraId="241898D0" w14:textId="77777777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„Enefit“;</w:t>
      </w:r>
    </w:p>
    <w:p w14:paraId="5EAB1BFB" w14:textId="77777777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„Energijos kodas“;</w:t>
      </w:r>
    </w:p>
    <w:p w14:paraId="655D63C4" w14:textId="77777777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„Energijos prekyba“;</w:t>
      </w:r>
    </w:p>
    <w:p w14:paraId="4AC95282" w14:textId="77777777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„Energijos tiekimo centras“;</w:t>
      </w:r>
    </w:p>
    <w:p w14:paraId="286F2C2E" w14:textId="77777777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„European Gas Trading group“;</w:t>
      </w:r>
    </w:p>
    <w:p w14:paraId="4BFEAA37" w14:textId="0E895485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„Fortum Heat Lietuva</w:t>
      </w:r>
      <w:r w:rsidR="00106EF2">
        <w:rPr>
          <w:b w:val="0"/>
          <w:color w:val="000000" w:themeColor="text1"/>
        </w:rPr>
        <w:t>“</w:t>
      </w:r>
      <w:r w:rsidRPr="00ED3C22">
        <w:rPr>
          <w:b w:val="0"/>
          <w:color w:val="000000" w:themeColor="text1"/>
        </w:rPr>
        <w:t>;</w:t>
      </w:r>
    </w:p>
    <w:p w14:paraId="03D4E117" w14:textId="457C2EB5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„Geros dujos</w:t>
      </w:r>
      <w:r w:rsidR="00106EF2">
        <w:rPr>
          <w:b w:val="0"/>
          <w:color w:val="000000" w:themeColor="text1"/>
        </w:rPr>
        <w:t>“</w:t>
      </w:r>
      <w:r w:rsidRPr="00ED3C22">
        <w:rPr>
          <w:b w:val="0"/>
          <w:color w:val="000000" w:themeColor="text1"/>
        </w:rPr>
        <w:t>;</w:t>
      </w:r>
    </w:p>
    <w:p w14:paraId="631FBC26" w14:textId="7865513F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„Haupas</w:t>
      </w:r>
      <w:r w:rsidR="00106EF2">
        <w:rPr>
          <w:b w:val="0"/>
          <w:color w:val="000000" w:themeColor="text1"/>
        </w:rPr>
        <w:t>“</w:t>
      </w:r>
      <w:r w:rsidRPr="00ED3C22">
        <w:rPr>
          <w:b w:val="0"/>
          <w:color w:val="000000" w:themeColor="text1"/>
        </w:rPr>
        <w:t>;</w:t>
      </w:r>
    </w:p>
    <w:p w14:paraId="5381F05F" w14:textId="61EAD8B1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„Imlitex</w:t>
      </w:r>
      <w:r w:rsidR="00106EF2">
        <w:rPr>
          <w:b w:val="0"/>
          <w:color w:val="000000" w:themeColor="text1"/>
        </w:rPr>
        <w:t>“</w:t>
      </w:r>
      <w:r w:rsidRPr="00ED3C22">
        <w:rPr>
          <w:b w:val="0"/>
          <w:color w:val="000000" w:themeColor="text1"/>
        </w:rPr>
        <w:t>;</w:t>
      </w:r>
    </w:p>
    <w:p w14:paraId="3AEF3BF0" w14:textId="0987F36B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„Intergas</w:t>
      </w:r>
      <w:r w:rsidR="00106EF2">
        <w:rPr>
          <w:b w:val="0"/>
          <w:color w:val="000000" w:themeColor="text1"/>
        </w:rPr>
        <w:t>“</w:t>
      </w:r>
      <w:r w:rsidRPr="00ED3C22">
        <w:rPr>
          <w:b w:val="0"/>
          <w:color w:val="000000" w:themeColor="text1"/>
        </w:rPr>
        <w:t>;</w:t>
      </w:r>
    </w:p>
    <w:p w14:paraId="06DB2E59" w14:textId="77777777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Kauno termofikacijos elektrinė;</w:t>
      </w:r>
    </w:p>
    <w:p w14:paraId="218DBCBD" w14:textId="77777777" w:rsidR="00ED3C22" w:rsidRPr="00ED3C22" w:rsidRDefault="00ED3C22" w:rsidP="00ED3C22">
      <w:pPr>
        <w:pStyle w:val="ListParagraph"/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„Lietuvos dujų tiekimas“;</w:t>
      </w:r>
    </w:p>
    <w:p w14:paraId="558E5F2C" w14:textId="3F91FFAD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„Litgas</w:t>
      </w:r>
      <w:r w:rsidR="00106EF2">
        <w:rPr>
          <w:b w:val="0"/>
          <w:color w:val="000000" w:themeColor="text1"/>
        </w:rPr>
        <w:t>“</w:t>
      </w:r>
      <w:r w:rsidRPr="00ED3C22">
        <w:rPr>
          <w:b w:val="0"/>
          <w:color w:val="000000" w:themeColor="text1"/>
        </w:rPr>
        <w:t>;</w:t>
      </w:r>
    </w:p>
    <w:p w14:paraId="51E603E2" w14:textId="5F0A6557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„Scener</w:t>
      </w:r>
      <w:r w:rsidR="00106EF2">
        <w:rPr>
          <w:b w:val="0"/>
          <w:color w:val="000000" w:themeColor="text1"/>
        </w:rPr>
        <w:t>“</w:t>
      </w:r>
      <w:r w:rsidRPr="00ED3C22">
        <w:rPr>
          <w:b w:val="0"/>
          <w:color w:val="000000" w:themeColor="text1"/>
        </w:rPr>
        <w:t>;</w:t>
      </w:r>
    </w:p>
    <w:p w14:paraId="002FDA55" w14:textId="77777777" w:rsidR="00ED3C22" w:rsidRPr="00ED3C22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„Stella Vitae“;</w:t>
      </w:r>
    </w:p>
    <w:p w14:paraId="35F71685" w14:textId="1A29FE5B" w:rsidR="0042305C" w:rsidRDefault="00ED3C22" w:rsidP="00ED3C22">
      <w:pPr>
        <w:numPr>
          <w:ilvl w:val="0"/>
          <w:numId w:val="5"/>
        </w:numPr>
        <w:rPr>
          <w:b w:val="0"/>
          <w:color w:val="000000" w:themeColor="text1"/>
        </w:rPr>
      </w:pPr>
      <w:r w:rsidRPr="00ED3C22">
        <w:rPr>
          <w:b w:val="0"/>
          <w:color w:val="000000" w:themeColor="text1"/>
        </w:rPr>
        <w:t>UAB „Vokadis“</w:t>
      </w:r>
      <w:r w:rsidR="0042305C">
        <w:rPr>
          <w:b w:val="0"/>
          <w:color w:val="000000" w:themeColor="text1"/>
        </w:rPr>
        <w:t>;</w:t>
      </w:r>
    </w:p>
    <w:p w14:paraId="46D7B191" w14:textId="580F9DCF" w:rsidR="00ED3C22" w:rsidRPr="00ED3C22" w:rsidRDefault="0042305C" w:rsidP="0042305C">
      <w:pPr>
        <w:numPr>
          <w:ilvl w:val="0"/>
          <w:numId w:val="5"/>
        </w:numPr>
        <w:rPr>
          <w:b w:val="0"/>
          <w:color w:val="000000" w:themeColor="text1"/>
        </w:rPr>
      </w:pPr>
      <w:r w:rsidRPr="0042305C">
        <w:rPr>
          <w:b w:val="0"/>
          <w:color w:val="000000" w:themeColor="text1"/>
        </w:rPr>
        <w:t>CRYOGAS M&amp;T POLAND S.A.</w:t>
      </w:r>
    </w:p>
    <w:p w14:paraId="5BC3D47A" w14:textId="77777777" w:rsidR="00ED3C22" w:rsidRPr="00934584" w:rsidRDefault="00ED3C22" w:rsidP="00ED3C22">
      <w:pPr>
        <w:pStyle w:val="ListParagraph"/>
        <w:rPr>
          <w:b w:val="0"/>
          <w:color w:val="000000"/>
          <w:lang w:eastAsia="lt-LT"/>
        </w:rPr>
      </w:pPr>
    </w:p>
    <w:sectPr w:rsidR="00ED3C22" w:rsidRPr="00934584" w:rsidSect="002E731E">
      <w:headerReference w:type="default" r:id="rId12"/>
      <w:footerReference w:type="even" r:id="rId13"/>
      <w:footerReference w:type="first" r:id="rId14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B295" w14:textId="77777777" w:rsidR="00052D4D" w:rsidRDefault="00052D4D">
      <w:r>
        <w:separator/>
      </w:r>
    </w:p>
  </w:endnote>
  <w:endnote w:type="continuationSeparator" w:id="0">
    <w:p w14:paraId="0183285C" w14:textId="77777777" w:rsidR="00052D4D" w:rsidRDefault="0005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5D86" w14:textId="77777777" w:rsidR="00332EB7" w:rsidRDefault="00332E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E297D3" w14:textId="77777777" w:rsidR="00332EB7" w:rsidRDefault="00332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DD8C" w14:textId="77777777" w:rsidR="00332EB7" w:rsidRDefault="00332EB7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CEFD" w14:textId="77777777" w:rsidR="00052D4D" w:rsidRDefault="00052D4D">
      <w:r>
        <w:separator/>
      </w:r>
    </w:p>
  </w:footnote>
  <w:footnote w:type="continuationSeparator" w:id="0">
    <w:p w14:paraId="7FB5AFED" w14:textId="77777777" w:rsidR="00052D4D" w:rsidRDefault="0005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71822"/>
      <w:docPartObj>
        <w:docPartGallery w:val="Page Numbers (Top of Page)"/>
        <w:docPartUnique/>
      </w:docPartObj>
    </w:sdtPr>
    <w:sdtEndPr>
      <w:rPr>
        <w:b w:val="0"/>
        <w:noProof/>
        <w:color w:val="auto"/>
      </w:rPr>
    </w:sdtEndPr>
    <w:sdtContent>
      <w:p w14:paraId="76B73D2B" w14:textId="77777777" w:rsidR="00DD1015" w:rsidRPr="003A0B5C" w:rsidRDefault="00DD1015">
        <w:pPr>
          <w:pStyle w:val="Header"/>
          <w:jc w:val="center"/>
          <w:rPr>
            <w:b w:val="0"/>
            <w:color w:val="auto"/>
          </w:rPr>
        </w:pPr>
        <w:r w:rsidRPr="003A0B5C">
          <w:rPr>
            <w:b w:val="0"/>
            <w:color w:val="auto"/>
          </w:rPr>
          <w:fldChar w:fldCharType="begin"/>
        </w:r>
        <w:r w:rsidRPr="003A0B5C">
          <w:rPr>
            <w:b w:val="0"/>
            <w:color w:val="auto"/>
          </w:rPr>
          <w:instrText xml:space="preserve"> PAGE   \* MERGEFORMAT </w:instrText>
        </w:r>
        <w:r w:rsidRPr="003A0B5C">
          <w:rPr>
            <w:b w:val="0"/>
            <w:color w:val="auto"/>
          </w:rPr>
          <w:fldChar w:fldCharType="separate"/>
        </w:r>
        <w:r w:rsidR="00106EF2">
          <w:rPr>
            <w:b w:val="0"/>
            <w:noProof/>
            <w:color w:val="auto"/>
          </w:rPr>
          <w:t>2</w:t>
        </w:r>
        <w:r w:rsidRPr="003A0B5C">
          <w:rPr>
            <w:b w:val="0"/>
            <w:noProof/>
            <w:color w:val="auto"/>
          </w:rPr>
          <w:fldChar w:fldCharType="end"/>
        </w:r>
      </w:p>
    </w:sdtContent>
  </w:sdt>
  <w:p w14:paraId="6EB29DBF" w14:textId="77777777" w:rsidR="00DD1015" w:rsidRPr="003A0B5C" w:rsidRDefault="00DD1015">
    <w:pPr>
      <w:pStyle w:val="Head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A0"/>
    <w:multiLevelType w:val="hybridMultilevel"/>
    <w:tmpl w:val="B3D0D896"/>
    <w:lvl w:ilvl="0" w:tplc="B1BAD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12A48"/>
    <w:multiLevelType w:val="hybridMultilevel"/>
    <w:tmpl w:val="27A2F76A"/>
    <w:lvl w:ilvl="0" w:tplc="DC648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74AC0"/>
    <w:multiLevelType w:val="hybridMultilevel"/>
    <w:tmpl w:val="D3FC0BA8"/>
    <w:lvl w:ilvl="0" w:tplc="B2446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2B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C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E4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C7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5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88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E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A2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940D9E"/>
    <w:multiLevelType w:val="hybridMultilevel"/>
    <w:tmpl w:val="1C1495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1820"/>
    <w:multiLevelType w:val="hybridMultilevel"/>
    <w:tmpl w:val="1BAE3C2E"/>
    <w:lvl w:ilvl="0" w:tplc="9640A7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A794A"/>
    <w:multiLevelType w:val="multilevel"/>
    <w:tmpl w:val="409277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A8D2BC3"/>
    <w:multiLevelType w:val="multilevel"/>
    <w:tmpl w:val="661CD4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593D"/>
    <w:multiLevelType w:val="hybridMultilevel"/>
    <w:tmpl w:val="70E6B336"/>
    <w:lvl w:ilvl="0" w:tplc="077C8A0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64459D"/>
    <w:multiLevelType w:val="hybridMultilevel"/>
    <w:tmpl w:val="A46A1ECC"/>
    <w:lvl w:ilvl="0" w:tplc="818EC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A4C58"/>
    <w:multiLevelType w:val="hybridMultilevel"/>
    <w:tmpl w:val="7840D3DC"/>
    <w:lvl w:ilvl="0" w:tplc="118EE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064CAF"/>
    <w:multiLevelType w:val="hybridMultilevel"/>
    <w:tmpl w:val="7EAE7F5E"/>
    <w:lvl w:ilvl="0" w:tplc="8466C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8C48A3"/>
    <w:multiLevelType w:val="multilevel"/>
    <w:tmpl w:val="166EC0A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9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6ACD083D"/>
    <w:multiLevelType w:val="hybridMultilevel"/>
    <w:tmpl w:val="64F212BA"/>
    <w:lvl w:ilvl="0" w:tplc="118EE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035F3D"/>
    <w:multiLevelType w:val="hybridMultilevel"/>
    <w:tmpl w:val="C4A801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84DF1"/>
    <w:multiLevelType w:val="hybridMultilevel"/>
    <w:tmpl w:val="76FE6F04"/>
    <w:lvl w:ilvl="0" w:tplc="46C6769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200098"/>
    <w:multiLevelType w:val="hybridMultilevel"/>
    <w:tmpl w:val="FDE62DA6"/>
    <w:lvl w:ilvl="0" w:tplc="06927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050AD2"/>
    <w:multiLevelType w:val="hybridMultilevel"/>
    <w:tmpl w:val="DF904292"/>
    <w:lvl w:ilvl="0" w:tplc="72221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1"/>
  </w:num>
  <w:num w:numId="9">
    <w:abstractNumId w:val="15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  <w:num w:numId="14">
    <w:abstractNumId w:val="4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C7"/>
    <w:rsid w:val="000025CD"/>
    <w:rsid w:val="0000280E"/>
    <w:rsid w:val="00003F54"/>
    <w:rsid w:val="000068E8"/>
    <w:rsid w:val="00011DAB"/>
    <w:rsid w:val="00014DB6"/>
    <w:rsid w:val="000207E2"/>
    <w:rsid w:val="00020DE0"/>
    <w:rsid w:val="00021F34"/>
    <w:rsid w:val="000255C5"/>
    <w:rsid w:val="00030C49"/>
    <w:rsid w:val="00033E73"/>
    <w:rsid w:val="00041B74"/>
    <w:rsid w:val="00050089"/>
    <w:rsid w:val="000510DA"/>
    <w:rsid w:val="00052D4D"/>
    <w:rsid w:val="00055E33"/>
    <w:rsid w:val="000604C1"/>
    <w:rsid w:val="000624B1"/>
    <w:rsid w:val="00063F29"/>
    <w:rsid w:val="000644B8"/>
    <w:rsid w:val="000676F4"/>
    <w:rsid w:val="00072FCB"/>
    <w:rsid w:val="000A4F27"/>
    <w:rsid w:val="000B34B2"/>
    <w:rsid w:val="000B4625"/>
    <w:rsid w:val="000C03C7"/>
    <w:rsid w:val="000C1CEF"/>
    <w:rsid w:val="000C4DD5"/>
    <w:rsid w:val="000D60DE"/>
    <w:rsid w:val="000E4385"/>
    <w:rsid w:val="000E5017"/>
    <w:rsid w:val="000E65B3"/>
    <w:rsid w:val="000E7E5B"/>
    <w:rsid w:val="000F0282"/>
    <w:rsid w:val="000F4F13"/>
    <w:rsid w:val="001008A3"/>
    <w:rsid w:val="00101B32"/>
    <w:rsid w:val="001048A8"/>
    <w:rsid w:val="00106EF2"/>
    <w:rsid w:val="0011024B"/>
    <w:rsid w:val="001111FC"/>
    <w:rsid w:val="001120E1"/>
    <w:rsid w:val="001122E6"/>
    <w:rsid w:val="00116179"/>
    <w:rsid w:val="00123B78"/>
    <w:rsid w:val="00131C62"/>
    <w:rsid w:val="0013227B"/>
    <w:rsid w:val="001440DA"/>
    <w:rsid w:val="00156B93"/>
    <w:rsid w:val="00162732"/>
    <w:rsid w:val="00167E28"/>
    <w:rsid w:val="001737F8"/>
    <w:rsid w:val="00175BA3"/>
    <w:rsid w:val="001761CE"/>
    <w:rsid w:val="00180A3F"/>
    <w:rsid w:val="00180E01"/>
    <w:rsid w:val="00181AB8"/>
    <w:rsid w:val="00187618"/>
    <w:rsid w:val="00193E14"/>
    <w:rsid w:val="001964FC"/>
    <w:rsid w:val="00196B50"/>
    <w:rsid w:val="001A26EB"/>
    <w:rsid w:val="001A3637"/>
    <w:rsid w:val="001A674C"/>
    <w:rsid w:val="001B2087"/>
    <w:rsid w:val="001B4173"/>
    <w:rsid w:val="001B5844"/>
    <w:rsid w:val="001C6F8A"/>
    <w:rsid w:val="001D169A"/>
    <w:rsid w:val="001D4263"/>
    <w:rsid w:val="001D4A4C"/>
    <w:rsid w:val="001D4D57"/>
    <w:rsid w:val="001E02A9"/>
    <w:rsid w:val="001E0E01"/>
    <w:rsid w:val="001E1B6B"/>
    <w:rsid w:val="001E5FF8"/>
    <w:rsid w:val="001E7560"/>
    <w:rsid w:val="001F1BB7"/>
    <w:rsid w:val="001F2F16"/>
    <w:rsid w:val="001F3D87"/>
    <w:rsid w:val="001F5467"/>
    <w:rsid w:val="001F5DC5"/>
    <w:rsid w:val="0020341A"/>
    <w:rsid w:val="002034DF"/>
    <w:rsid w:val="00234D96"/>
    <w:rsid w:val="00242CD5"/>
    <w:rsid w:val="00251128"/>
    <w:rsid w:val="002542C2"/>
    <w:rsid w:val="002549F3"/>
    <w:rsid w:val="0025621A"/>
    <w:rsid w:val="002563FA"/>
    <w:rsid w:val="00257702"/>
    <w:rsid w:val="00267E18"/>
    <w:rsid w:val="00274F74"/>
    <w:rsid w:val="00280A99"/>
    <w:rsid w:val="00280AC9"/>
    <w:rsid w:val="00281698"/>
    <w:rsid w:val="00286C1D"/>
    <w:rsid w:val="00295F87"/>
    <w:rsid w:val="002A324E"/>
    <w:rsid w:val="002A39F3"/>
    <w:rsid w:val="002A59F3"/>
    <w:rsid w:val="002A5CF9"/>
    <w:rsid w:val="002B0579"/>
    <w:rsid w:val="002B3256"/>
    <w:rsid w:val="002B37D3"/>
    <w:rsid w:val="002B4CE2"/>
    <w:rsid w:val="002B4CFD"/>
    <w:rsid w:val="002B4EA3"/>
    <w:rsid w:val="002B4ED4"/>
    <w:rsid w:val="002B51DA"/>
    <w:rsid w:val="002B5D18"/>
    <w:rsid w:val="002B753E"/>
    <w:rsid w:val="002C16AD"/>
    <w:rsid w:val="002C276D"/>
    <w:rsid w:val="002D5A52"/>
    <w:rsid w:val="002E0BB2"/>
    <w:rsid w:val="002E731E"/>
    <w:rsid w:val="002F4426"/>
    <w:rsid w:val="00311140"/>
    <w:rsid w:val="00323BA1"/>
    <w:rsid w:val="00330908"/>
    <w:rsid w:val="00332B12"/>
    <w:rsid w:val="00332EB7"/>
    <w:rsid w:val="00342F61"/>
    <w:rsid w:val="003432EE"/>
    <w:rsid w:val="0034658E"/>
    <w:rsid w:val="0034713E"/>
    <w:rsid w:val="0035309D"/>
    <w:rsid w:val="003568ED"/>
    <w:rsid w:val="003675C8"/>
    <w:rsid w:val="0037683E"/>
    <w:rsid w:val="003774D3"/>
    <w:rsid w:val="00385E96"/>
    <w:rsid w:val="00395247"/>
    <w:rsid w:val="003A0B5C"/>
    <w:rsid w:val="003A49FA"/>
    <w:rsid w:val="003B19FB"/>
    <w:rsid w:val="003C469D"/>
    <w:rsid w:val="003C562F"/>
    <w:rsid w:val="003D11CC"/>
    <w:rsid w:val="003D404D"/>
    <w:rsid w:val="003D6AC5"/>
    <w:rsid w:val="003F0D9A"/>
    <w:rsid w:val="003F1BCB"/>
    <w:rsid w:val="004003A9"/>
    <w:rsid w:val="004133D5"/>
    <w:rsid w:val="00413873"/>
    <w:rsid w:val="00416087"/>
    <w:rsid w:val="004177B3"/>
    <w:rsid w:val="0042050C"/>
    <w:rsid w:val="00422E06"/>
    <w:rsid w:val="0042305C"/>
    <w:rsid w:val="0043183B"/>
    <w:rsid w:val="0043520D"/>
    <w:rsid w:val="00436DA8"/>
    <w:rsid w:val="004378D8"/>
    <w:rsid w:val="00437A23"/>
    <w:rsid w:val="004440EA"/>
    <w:rsid w:val="00447932"/>
    <w:rsid w:val="00461861"/>
    <w:rsid w:val="0046596B"/>
    <w:rsid w:val="00470D0E"/>
    <w:rsid w:val="00475306"/>
    <w:rsid w:val="00476006"/>
    <w:rsid w:val="00480464"/>
    <w:rsid w:val="004813CD"/>
    <w:rsid w:val="00483ADA"/>
    <w:rsid w:val="00486414"/>
    <w:rsid w:val="004875F0"/>
    <w:rsid w:val="00491B6F"/>
    <w:rsid w:val="004921B5"/>
    <w:rsid w:val="004961C7"/>
    <w:rsid w:val="00497A12"/>
    <w:rsid w:val="004C0266"/>
    <w:rsid w:val="004C77F7"/>
    <w:rsid w:val="004D096D"/>
    <w:rsid w:val="004D0FF5"/>
    <w:rsid w:val="004D1AF0"/>
    <w:rsid w:val="004D48DB"/>
    <w:rsid w:val="004D73E9"/>
    <w:rsid w:val="004E37C2"/>
    <w:rsid w:val="004E4C59"/>
    <w:rsid w:val="004E5BCC"/>
    <w:rsid w:val="004F62E4"/>
    <w:rsid w:val="005054E8"/>
    <w:rsid w:val="005114AC"/>
    <w:rsid w:val="005146D8"/>
    <w:rsid w:val="00520587"/>
    <w:rsid w:val="005205C5"/>
    <w:rsid w:val="00533607"/>
    <w:rsid w:val="00533B41"/>
    <w:rsid w:val="00533F01"/>
    <w:rsid w:val="00534042"/>
    <w:rsid w:val="00536660"/>
    <w:rsid w:val="00536EA7"/>
    <w:rsid w:val="005424D4"/>
    <w:rsid w:val="00545E0E"/>
    <w:rsid w:val="00556C82"/>
    <w:rsid w:val="005635BB"/>
    <w:rsid w:val="00563E4E"/>
    <w:rsid w:val="00564337"/>
    <w:rsid w:val="0056518E"/>
    <w:rsid w:val="00576FDF"/>
    <w:rsid w:val="00582CB8"/>
    <w:rsid w:val="00584565"/>
    <w:rsid w:val="00585BA8"/>
    <w:rsid w:val="0058612A"/>
    <w:rsid w:val="005A32BF"/>
    <w:rsid w:val="005A3529"/>
    <w:rsid w:val="005A599C"/>
    <w:rsid w:val="005B23AE"/>
    <w:rsid w:val="005C299E"/>
    <w:rsid w:val="005C4CCC"/>
    <w:rsid w:val="005C4F75"/>
    <w:rsid w:val="005D2677"/>
    <w:rsid w:val="005D3268"/>
    <w:rsid w:val="005E1986"/>
    <w:rsid w:val="005F16C6"/>
    <w:rsid w:val="005F5691"/>
    <w:rsid w:val="005F5C3D"/>
    <w:rsid w:val="00601CEF"/>
    <w:rsid w:val="006040F7"/>
    <w:rsid w:val="00622AC2"/>
    <w:rsid w:val="0062557F"/>
    <w:rsid w:val="00625ACC"/>
    <w:rsid w:val="0063291C"/>
    <w:rsid w:val="0063296D"/>
    <w:rsid w:val="00634495"/>
    <w:rsid w:val="00645B3F"/>
    <w:rsid w:val="0066369D"/>
    <w:rsid w:val="00665BAE"/>
    <w:rsid w:val="0066746A"/>
    <w:rsid w:val="00674CEA"/>
    <w:rsid w:val="00675B49"/>
    <w:rsid w:val="006813C8"/>
    <w:rsid w:val="00682BFD"/>
    <w:rsid w:val="00685A3A"/>
    <w:rsid w:val="00686E7E"/>
    <w:rsid w:val="006945C7"/>
    <w:rsid w:val="006A0A08"/>
    <w:rsid w:val="006B183D"/>
    <w:rsid w:val="006B3FBF"/>
    <w:rsid w:val="006B4391"/>
    <w:rsid w:val="006C004E"/>
    <w:rsid w:val="006C0142"/>
    <w:rsid w:val="006C2DC0"/>
    <w:rsid w:val="006C5E5F"/>
    <w:rsid w:val="006D2B86"/>
    <w:rsid w:val="006D479A"/>
    <w:rsid w:val="006D6B8E"/>
    <w:rsid w:val="006D711D"/>
    <w:rsid w:val="006D7523"/>
    <w:rsid w:val="006E1911"/>
    <w:rsid w:val="006E2E1F"/>
    <w:rsid w:val="006E476B"/>
    <w:rsid w:val="006F1CF5"/>
    <w:rsid w:val="006F4B36"/>
    <w:rsid w:val="006F67F6"/>
    <w:rsid w:val="00703E25"/>
    <w:rsid w:val="00704259"/>
    <w:rsid w:val="00705DB0"/>
    <w:rsid w:val="007231BE"/>
    <w:rsid w:val="00723305"/>
    <w:rsid w:val="00727A03"/>
    <w:rsid w:val="00730EF1"/>
    <w:rsid w:val="007344AE"/>
    <w:rsid w:val="007354E3"/>
    <w:rsid w:val="00735617"/>
    <w:rsid w:val="0073570F"/>
    <w:rsid w:val="00741B77"/>
    <w:rsid w:val="007429D1"/>
    <w:rsid w:val="0074433A"/>
    <w:rsid w:val="007525A9"/>
    <w:rsid w:val="007544B9"/>
    <w:rsid w:val="007558F6"/>
    <w:rsid w:val="00764B9D"/>
    <w:rsid w:val="00765B53"/>
    <w:rsid w:val="007769AC"/>
    <w:rsid w:val="0078473A"/>
    <w:rsid w:val="00785C48"/>
    <w:rsid w:val="00790B47"/>
    <w:rsid w:val="007916A3"/>
    <w:rsid w:val="00791B1F"/>
    <w:rsid w:val="00791B56"/>
    <w:rsid w:val="00792B83"/>
    <w:rsid w:val="007948C1"/>
    <w:rsid w:val="00795BF4"/>
    <w:rsid w:val="007965EE"/>
    <w:rsid w:val="0079664F"/>
    <w:rsid w:val="00796758"/>
    <w:rsid w:val="007A4D14"/>
    <w:rsid w:val="007A5177"/>
    <w:rsid w:val="007B6A0A"/>
    <w:rsid w:val="007C07A8"/>
    <w:rsid w:val="007D1414"/>
    <w:rsid w:val="007D20D9"/>
    <w:rsid w:val="007F538F"/>
    <w:rsid w:val="007F7707"/>
    <w:rsid w:val="007F7F92"/>
    <w:rsid w:val="00802BCB"/>
    <w:rsid w:val="00813EDA"/>
    <w:rsid w:val="0081573F"/>
    <w:rsid w:val="00816376"/>
    <w:rsid w:val="008262E5"/>
    <w:rsid w:val="00832CAF"/>
    <w:rsid w:val="00840D14"/>
    <w:rsid w:val="008420A9"/>
    <w:rsid w:val="00842760"/>
    <w:rsid w:val="00851A38"/>
    <w:rsid w:val="00853EE9"/>
    <w:rsid w:val="00860DCF"/>
    <w:rsid w:val="00863180"/>
    <w:rsid w:val="00864C95"/>
    <w:rsid w:val="008717D2"/>
    <w:rsid w:val="008805EE"/>
    <w:rsid w:val="00884133"/>
    <w:rsid w:val="00890FD0"/>
    <w:rsid w:val="008935C4"/>
    <w:rsid w:val="00894015"/>
    <w:rsid w:val="008A3C46"/>
    <w:rsid w:val="008A6EA9"/>
    <w:rsid w:val="008B4646"/>
    <w:rsid w:val="008B554C"/>
    <w:rsid w:val="008B7586"/>
    <w:rsid w:val="008C265B"/>
    <w:rsid w:val="008F48EC"/>
    <w:rsid w:val="009066C7"/>
    <w:rsid w:val="00921C74"/>
    <w:rsid w:val="0092346D"/>
    <w:rsid w:val="009310A7"/>
    <w:rsid w:val="00934584"/>
    <w:rsid w:val="00937B37"/>
    <w:rsid w:val="0094048A"/>
    <w:rsid w:val="00946B8B"/>
    <w:rsid w:val="00951965"/>
    <w:rsid w:val="00960CE9"/>
    <w:rsid w:val="00971CC6"/>
    <w:rsid w:val="00972E78"/>
    <w:rsid w:val="00975E13"/>
    <w:rsid w:val="0098482B"/>
    <w:rsid w:val="00985DD1"/>
    <w:rsid w:val="00994B2C"/>
    <w:rsid w:val="00995DB4"/>
    <w:rsid w:val="009968F8"/>
    <w:rsid w:val="009A104B"/>
    <w:rsid w:val="009A7297"/>
    <w:rsid w:val="009B15D3"/>
    <w:rsid w:val="009B4704"/>
    <w:rsid w:val="009B49BF"/>
    <w:rsid w:val="009C2153"/>
    <w:rsid w:val="009C35B0"/>
    <w:rsid w:val="009D15D1"/>
    <w:rsid w:val="009E17F3"/>
    <w:rsid w:val="009E1D77"/>
    <w:rsid w:val="009E202F"/>
    <w:rsid w:val="009E7597"/>
    <w:rsid w:val="009F100A"/>
    <w:rsid w:val="009F1282"/>
    <w:rsid w:val="009F3EEC"/>
    <w:rsid w:val="009F785D"/>
    <w:rsid w:val="00A00DAF"/>
    <w:rsid w:val="00A01088"/>
    <w:rsid w:val="00A0522A"/>
    <w:rsid w:val="00A059CE"/>
    <w:rsid w:val="00A1540B"/>
    <w:rsid w:val="00A16566"/>
    <w:rsid w:val="00A1661D"/>
    <w:rsid w:val="00A220BE"/>
    <w:rsid w:val="00A31A8B"/>
    <w:rsid w:val="00A4558E"/>
    <w:rsid w:val="00A6127D"/>
    <w:rsid w:val="00A61464"/>
    <w:rsid w:val="00A62D14"/>
    <w:rsid w:val="00A63DF4"/>
    <w:rsid w:val="00A64574"/>
    <w:rsid w:val="00A6482E"/>
    <w:rsid w:val="00A67651"/>
    <w:rsid w:val="00A67685"/>
    <w:rsid w:val="00A7005A"/>
    <w:rsid w:val="00A7117B"/>
    <w:rsid w:val="00A76714"/>
    <w:rsid w:val="00A76DA8"/>
    <w:rsid w:val="00A820CF"/>
    <w:rsid w:val="00A847AC"/>
    <w:rsid w:val="00A86A5D"/>
    <w:rsid w:val="00A9162E"/>
    <w:rsid w:val="00A94948"/>
    <w:rsid w:val="00A9652F"/>
    <w:rsid w:val="00AA2776"/>
    <w:rsid w:val="00AA486B"/>
    <w:rsid w:val="00AB500A"/>
    <w:rsid w:val="00AB7A51"/>
    <w:rsid w:val="00AC2016"/>
    <w:rsid w:val="00AC474D"/>
    <w:rsid w:val="00AC5A73"/>
    <w:rsid w:val="00AD30D4"/>
    <w:rsid w:val="00AD56E6"/>
    <w:rsid w:val="00AD7782"/>
    <w:rsid w:val="00AE52B6"/>
    <w:rsid w:val="00AE5EF8"/>
    <w:rsid w:val="00AE7EA6"/>
    <w:rsid w:val="00AF0A55"/>
    <w:rsid w:val="00AF1531"/>
    <w:rsid w:val="00AF36C6"/>
    <w:rsid w:val="00AF538A"/>
    <w:rsid w:val="00AF5D1A"/>
    <w:rsid w:val="00AF748B"/>
    <w:rsid w:val="00AF7988"/>
    <w:rsid w:val="00B01E9C"/>
    <w:rsid w:val="00B04F1A"/>
    <w:rsid w:val="00B0597C"/>
    <w:rsid w:val="00B136FC"/>
    <w:rsid w:val="00B15F33"/>
    <w:rsid w:val="00B176E9"/>
    <w:rsid w:val="00B21BBF"/>
    <w:rsid w:val="00B23BB5"/>
    <w:rsid w:val="00B2420C"/>
    <w:rsid w:val="00B24A66"/>
    <w:rsid w:val="00B30D2B"/>
    <w:rsid w:val="00B3118F"/>
    <w:rsid w:val="00B44FC3"/>
    <w:rsid w:val="00B46429"/>
    <w:rsid w:val="00B50877"/>
    <w:rsid w:val="00B51EED"/>
    <w:rsid w:val="00B6525C"/>
    <w:rsid w:val="00B7229B"/>
    <w:rsid w:val="00B75C3E"/>
    <w:rsid w:val="00B913FB"/>
    <w:rsid w:val="00B93E46"/>
    <w:rsid w:val="00BA2994"/>
    <w:rsid w:val="00BA6499"/>
    <w:rsid w:val="00BB369C"/>
    <w:rsid w:val="00BC7113"/>
    <w:rsid w:val="00BD6811"/>
    <w:rsid w:val="00BD78C3"/>
    <w:rsid w:val="00BF7BF2"/>
    <w:rsid w:val="00C0152B"/>
    <w:rsid w:val="00C067D4"/>
    <w:rsid w:val="00C1559B"/>
    <w:rsid w:val="00C15CFD"/>
    <w:rsid w:val="00C15D41"/>
    <w:rsid w:val="00C15D56"/>
    <w:rsid w:val="00C1643E"/>
    <w:rsid w:val="00C21048"/>
    <w:rsid w:val="00C257BE"/>
    <w:rsid w:val="00C32A0C"/>
    <w:rsid w:val="00C4135E"/>
    <w:rsid w:val="00C469D6"/>
    <w:rsid w:val="00C55DA9"/>
    <w:rsid w:val="00C569CB"/>
    <w:rsid w:val="00C648A9"/>
    <w:rsid w:val="00C652B2"/>
    <w:rsid w:val="00C663D1"/>
    <w:rsid w:val="00C711FB"/>
    <w:rsid w:val="00C7355D"/>
    <w:rsid w:val="00C74C07"/>
    <w:rsid w:val="00C7624B"/>
    <w:rsid w:val="00C80B3E"/>
    <w:rsid w:val="00C82807"/>
    <w:rsid w:val="00C8389E"/>
    <w:rsid w:val="00C850A7"/>
    <w:rsid w:val="00C916FC"/>
    <w:rsid w:val="00C92135"/>
    <w:rsid w:val="00C92FFF"/>
    <w:rsid w:val="00CB5446"/>
    <w:rsid w:val="00CC1768"/>
    <w:rsid w:val="00CC6D09"/>
    <w:rsid w:val="00CD1136"/>
    <w:rsid w:val="00CD5FEA"/>
    <w:rsid w:val="00CD6DE6"/>
    <w:rsid w:val="00CE7943"/>
    <w:rsid w:val="00CE7FD1"/>
    <w:rsid w:val="00CF153C"/>
    <w:rsid w:val="00CF2C5B"/>
    <w:rsid w:val="00CF417E"/>
    <w:rsid w:val="00CF4256"/>
    <w:rsid w:val="00CF6484"/>
    <w:rsid w:val="00CF7104"/>
    <w:rsid w:val="00D000D2"/>
    <w:rsid w:val="00D02789"/>
    <w:rsid w:val="00D1246C"/>
    <w:rsid w:val="00D137F7"/>
    <w:rsid w:val="00D22FFC"/>
    <w:rsid w:val="00D30E35"/>
    <w:rsid w:val="00D3246F"/>
    <w:rsid w:val="00D336F6"/>
    <w:rsid w:val="00D50BD7"/>
    <w:rsid w:val="00D63E5C"/>
    <w:rsid w:val="00D648FC"/>
    <w:rsid w:val="00D6525B"/>
    <w:rsid w:val="00D737F7"/>
    <w:rsid w:val="00D83E6A"/>
    <w:rsid w:val="00D856E5"/>
    <w:rsid w:val="00D91D96"/>
    <w:rsid w:val="00D91F3C"/>
    <w:rsid w:val="00D928AA"/>
    <w:rsid w:val="00D963A1"/>
    <w:rsid w:val="00DA3B77"/>
    <w:rsid w:val="00DA3DFA"/>
    <w:rsid w:val="00DA55D5"/>
    <w:rsid w:val="00DB6C6A"/>
    <w:rsid w:val="00DB716F"/>
    <w:rsid w:val="00DC5275"/>
    <w:rsid w:val="00DC61D1"/>
    <w:rsid w:val="00DD1015"/>
    <w:rsid w:val="00DE2644"/>
    <w:rsid w:val="00DE6087"/>
    <w:rsid w:val="00DF2B29"/>
    <w:rsid w:val="00DF53F2"/>
    <w:rsid w:val="00E035A3"/>
    <w:rsid w:val="00E045F6"/>
    <w:rsid w:val="00E07B3A"/>
    <w:rsid w:val="00E114D4"/>
    <w:rsid w:val="00E16C9E"/>
    <w:rsid w:val="00E2078A"/>
    <w:rsid w:val="00E23BED"/>
    <w:rsid w:val="00E311A8"/>
    <w:rsid w:val="00E326C1"/>
    <w:rsid w:val="00E33661"/>
    <w:rsid w:val="00E348F3"/>
    <w:rsid w:val="00E36EC6"/>
    <w:rsid w:val="00E4114A"/>
    <w:rsid w:val="00E41381"/>
    <w:rsid w:val="00E442AC"/>
    <w:rsid w:val="00E46763"/>
    <w:rsid w:val="00E514AC"/>
    <w:rsid w:val="00E52758"/>
    <w:rsid w:val="00E52D43"/>
    <w:rsid w:val="00E56199"/>
    <w:rsid w:val="00E60349"/>
    <w:rsid w:val="00E62C44"/>
    <w:rsid w:val="00E6498E"/>
    <w:rsid w:val="00E66072"/>
    <w:rsid w:val="00E7102F"/>
    <w:rsid w:val="00E754B4"/>
    <w:rsid w:val="00E856FE"/>
    <w:rsid w:val="00E86822"/>
    <w:rsid w:val="00E91EB4"/>
    <w:rsid w:val="00EA3EFD"/>
    <w:rsid w:val="00EA71B2"/>
    <w:rsid w:val="00EB5506"/>
    <w:rsid w:val="00EB67EC"/>
    <w:rsid w:val="00ED0D65"/>
    <w:rsid w:val="00ED1023"/>
    <w:rsid w:val="00ED2FE7"/>
    <w:rsid w:val="00ED3C22"/>
    <w:rsid w:val="00EE6520"/>
    <w:rsid w:val="00EE6CE6"/>
    <w:rsid w:val="00F0213F"/>
    <w:rsid w:val="00F02D55"/>
    <w:rsid w:val="00F0335A"/>
    <w:rsid w:val="00F1296D"/>
    <w:rsid w:val="00F136D3"/>
    <w:rsid w:val="00F170A8"/>
    <w:rsid w:val="00F270D6"/>
    <w:rsid w:val="00F31FCC"/>
    <w:rsid w:val="00F42A0B"/>
    <w:rsid w:val="00F44B57"/>
    <w:rsid w:val="00F56E91"/>
    <w:rsid w:val="00F60B8D"/>
    <w:rsid w:val="00F6285B"/>
    <w:rsid w:val="00F64243"/>
    <w:rsid w:val="00F64D32"/>
    <w:rsid w:val="00F6524C"/>
    <w:rsid w:val="00F67829"/>
    <w:rsid w:val="00F71F38"/>
    <w:rsid w:val="00F7301E"/>
    <w:rsid w:val="00F735FE"/>
    <w:rsid w:val="00F779AF"/>
    <w:rsid w:val="00F808E2"/>
    <w:rsid w:val="00F82F60"/>
    <w:rsid w:val="00F90783"/>
    <w:rsid w:val="00F90F52"/>
    <w:rsid w:val="00F9389A"/>
    <w:rsid w:val="00FA4BEB"/>
    <w:rsid w:val="00FA5EE4"/>
    <w:rsid w:val="00FB5B2A"/>
    <w:rsid w:val="00FB6E77"/>
    <w:rsid w:val="00FC4E82"/>
    <w:rsid w:val="00FD20F7"/>
    <w:rsid w:val="00FD4EE3"/>
    <w:rsid w:val="00FD550F"/>
    <w:rsid w:val="00FD6409"/>
    <w:rsid w:val="00FD769E"/>
    <w:rsid w:val="00FE06FD"/>
    <w:rsid w:val="00FE6B61"/>
    <w:rsid w:val="00FE6EA0"/>
    <w:rsid w:val="00FE7C3D"/>
    <w:rsid w:val="00FF37E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282E7"/>
  <w15:docId w15:val="{4CF00B5C-36CE-474D-B2F2-44F6BEF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b/>
      <w:color w:val="FF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BodyText1">
    <w:name w:val="Body Text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Title">
    <w:name w:val="Title"/>
    <w:basedOn w:val="Normal"/>
    <w:link w:val="TitleChar"/>
    <w:qFormat/>
    <w:pPr>
      <w:spacing w:before="160"/>
      <w:jc w:val="center"/>
    </w:pPr>
    <w:rPr>
      <w:caps/>
      <w:color w:val="000000"/>
    </w:rPr>
  </w:style>
  <w:style w:type="character" w:customStyle="1" w:styleId="TitleChar">
    <w:name w:val="Title Char"/>
    <w:link w:val="Title"/>
    <w:locked/>
    <w:rsid w:val="00DB6C6A"/>
    <w:rPr>
      <w:b/>
      <w:caps/>
      <w:color w:val="000000"/>
      <w:sz w:val="24"/>
      <w:szCs w:val="24"/>
      <w:lang w:val="lt-LT" w:eastAsia="en-US" w:bidi="ar-SA"/>
    </w:rPr>
  </w:style>
  <w:style w:type="paragraph" w:styleId="ListParagraph">
    <w:name w:val="List Paragraph"/>
    <w:basedOn w:val="Normal"/>
    <w:uiPriority w:val="34"/>
    <w:qFormat/>
    <w:rsid w:val="00EA71B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B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B78"/>
    <w:rPr>
      <w:b/>
      <w:color w:val="FF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A1"/>
    <w:rPr>
      <w:rFonts w:ascii="Tahoma" w:hAnsi="Tahoma" w:cs="Tahoma"/>
      <w:b/>
      <w:color w:val="FF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3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BA1"/>
    <w:rPr>
      <w:b/>
      <w:color w:val="FF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BA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BA1"/>
    <w:rPr>
      <w:b/>
      <w:bCs/>
      <w:color w:val="FF0000"/>
      <w:lang w:eastAsia="en-US"/>
    </w:rPr>
  </w:style>
  <w:style w:type="paragraph" w:customStyle="1" w:styleId="Default">
    <w:name w:val="Default"/>
    <w:rsid w:val="00A6457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1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015"/>
    <w:rPr>
      <w:b/>
      <w:color w:val="FF0000"/>
      <w:sz w:val="24"/>
      <w:szCs w:val="24"/>
      <w:lang w:eastAsia="en-US"/>
    </w:rPr>
  </w:style>
  <w:style w:type="paragraph" w:customStyle="1" w:styleId="tajtip">
    <w:name w:val="tajtip"/>
    <w:basedOn w:val="Normal"/>
    <w:rsid w:val="00F31FCC"/>
    <w:pPr>
      <w:spacing w:after="150"/>
      <w:jc w:val="left"/>
    </w:pPr>
    <w:rPr>
      <w:b w:val="0"/>
      <w:color w:val="auto"/>
      <w:lang w:eastAsia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131C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C62"/>
    <w:rPr>
      <w:b/>
      <w:color w:val="FF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02BCB"/>
    <w:pPr>
      <w:spacing w:before="100" w:beforeAutospacing="1" w:after="100" w:afterAutospacing="1"/>
      <w:jc w:val="left"/>
    </w:pPr>
    <w:rPr>
      <w:b w:val="0"/>
      <w:color w:val="auto"/>
      <w:lang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C3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3C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C469D"/>
    <w:rPr>
      <w:b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ta.vorobjova@regula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tine@regula.l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0911-F1ED-4AB7-9A7D-404FB7EA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6555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KAINŲ IR ENERGETIKOS KONTROLĖS KOMISIJA</vt:lpstr>
    </vt:vector>
  </TitlesOfParts>
  <Company>KPC</Company>
  <LinksUpToDate>false</LinksUpToDate>
  <CharactersWithSpaces>7501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mailto:rastine@regula.lt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Irena</dc:creator>
  <cp:lastModifiedBy>Aleksandra Prokopjeva</cp:lastModifiedBy>
  <cp:revision>2</cp:revision>
  <cp:lastPrinted>2018-04-10T07:42:00Z</cp:lastPrinted>
  <dcterms:created xsi:type="dcterms:W3CDTF">2018-04-16T05:20:00Z</dcterms:created>
  <dcterms:modified xsi:type="dcterms:W3CDTF">2018-04-16T05:20:00Z</dcterms:modified>
</cp:coreProperties>
</file>