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5630" w14:textId="77777777" w:rsidR="0022158B" w:rsidRPr="00DB6D8A" w:rsidRDefault="00F82F27" w:rsidP="00DB6D8A">
      <w:pPr>
        <w:pStyle w:val="Title"/>
        <w:spacing w:before="0"/>
        <w:rPr>
          <w:color w:val="auto"/>
        </w:rPr>
      </w:pPr>
      <w:bookmarkStart w:id="0" w:name="_GoBack"/>
      <w:bookmarkEnd w:id="0"/>
      <w:r w:rsidRPr="00DB6D8A">
        <w:rPr>
          <w:noProof/>
          <w:color w:val="auto"/>
        </w:rPr>
        <w:drawing>
          <wp:anchor distT="0" distB="0" distL="114300" distR="123190" simplePos="0" relativeHeight="2" behindDoc="0" locked="0" layoutInCell="1" allowOverlap="1" wp14:anchorId="64254E00" wp14:editId="062E481F">
            <wp:simplePos x="0" y="0"/>
            <wp:positionH relativeFrom="page">
              <wp:posOffset>3776980</wp:posOffset>
            </wp:positionH>
            <wp:positionV relativeFrom="page">
              <wp:posOffset>720090</wp:posOffset>
            </wp:positionV>
            <wp:extent cx="543560" cy="595630"/>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a:stretch>
                      <a:fillRect/>
                    </a:stretch>
                  </pic:blipFill>
                  <pic:spPr bwMode="auto">
                    <a:xfrm>
                      <a:off x="0" y="0"/>
                      <a:ext cx="543560" cy="595630"/>
                    </a:xfrm>
                    <a:prstGeom prst="rect">
                      <a:avLst/>
                    </a:prstGeom>
                  </pic:spPr>
                </pic:pic>
              </a:graphicData>
            </a:graphic>
          </wp:anchor>
        </w:drawing>
      </w:r>
      <w:r w:rsidRPr="00DB6D8A">
        <w:rPr>
          <w:color w:val="auto"/>
        </w:rPr>
        <w:t>VALSTYBINĖ KAINŲ IR ENERGETIKOS KONTROLĖS KOMISIJA</w:t>
      </w:r>
    </w:p>
    <w:p w14:paraId="133B4934" w14:textId="77777777" w:rsidR="0022158B" w:rsidRPr="00DB6D8A" w:rsidRDefault="0022158B" w:rsidP="00DB6D8A">
      <w:pPr>
        <w:pStyle w:val="Title"/>
        <w:spacing w:before="0"/>
        <w:rPr>
          <w:b w:val="0"/>
          <w:color w:val="auto"/>
          <w:sz w:val="16"/>
          <w:szCs w:val="16"/>
        </w:rPr>
      </w:pPr>
    </w:p>
    <w:p w14:paraId="64741A98" w14:textId="77777777" w:rsidR="0022158B" w:rsidRPr="00DB6D8A" w:rsidRDefault="00F82F27" w:rsidP="00DB6D8A">
      <w:pPr>
        <w:pBdr>
          <w:bottom w:val="single" w:sz="4" w:space="1" w:color="00000A"/>
        </w:pBdr>
        <w:jc w:val="center"/>
        <w:rPr>
          <w:color w:val="auto"/>
        </w:rPr>
      </w:pPr>
      <w:r w:rsidRPr="00DB6D8A">
        <w:rPr>
          <w:b w:val="0"/>
          <w:color w:val="auto"/>
          <w:sz w:val="18"/>
        </w:rPr>
        <w:t xml:space="preserve">Biudžetinė įstaiga, Verkių g. 25C-1, LT-08223 Vilnius, tel. (8 5) 213 5166, faks. (8 5) 213 5270, el. p. </w:t>
      </w:r>
      <w:hyperlink r:id="rId8">
        <w:r w:rsidRPr="00DB6D8A">
          <w:rPr>
            <w:rStyle w:val="InternetLink"/>
            <w:b w:val="0"/>
            <w:color w:val="auto"/>
            <w:sz w:val="18"/>
            <w:u w:val="none"/>
          </w:rPr>
          <w:t>rastine@regula.lt</w:t>
        </w:r>
      </w:hyperlink>
    </w:p>
    <w:p w14:paraId="552D16BA" w14:textId="77777777" w:rsidR="0022158B" w:rsidRPr="00DB6D8A" w:rsidRDefault="00F82F27" w:rsidP="00DB6D8A">
      <w:pPr>
        <w:pBdr>
          <w:bottom w:val="single" w:sz="4" w:space="1" w:color="00000A"/>
        </w:pBdr>
        <w:jc w:val="center"/>
        <w:rPr>
          <w:b w:val="0"/>
          <w:caps/>
          <w:color w:val="auto"/>
        </w:rPr>
      </w:pPr>
      <w:r w:rsidRPr="00DB6D8A">
        <w:rPr>
          <w:b w:val="0"/>
          <w:color w:val="auto"/>
          <w:sz w:val="18"/>
        </w:rPr>
        <w:t>Duomenys kaupiami ir saugomi Juridinių asmenų registre, kodas 188706554</w:t>
      </w:r>
    </w:p>
    <w:p w14:paraId="3DCDD1C9" w14:textId="77777777" w:rsidR="0022158B" w:rsidRPr="00DB6D8A" w:rsidRDefault="0022158B" w:rsidP="00DB6D8A">
      <w:pPr>
        <w:rPr>
          <w:caps/>
          <w:color w:val="auto"/>
        </w:rPr>
      </w:pPr>
    </w:p>
    <w:tbl>
      <w:tblPr>
        <w:tblW w:w="9294" w:type="dxa"/>
        <w:tblCellMar>
          <w:left w:w="14" w:type="dxa"/>
          <w:right w:w="14" w:type="dxa"/>
        </w:tblCellMar>
        <w:tblLook w:val="0000" w:firstRow="0" w:lastRow="0" w:firstColumn="0" w:lastColumn="0" w:noHBand="0" w:noVBand="0"/>
      </w:tblPr>
      <w:tblGrid>
        <w:gridCol w:w="34"/>
        <w:gridCol w:w="4625"/>
        <w:gridCol w:w="426"/>
        <w:gridCol w:w="1555"/>
        <w:gridCol w:w="2654"/>
      </w:tblGrid>
      <w:tr w:rsidR="00DB6D8A" w:rsidRPr="00DB6D8A" w14:paraId="0C047806" w14:textId="77777777">
        <w:trPr>
          <w:cantSplit/>
        </w:trPr>
        <w:tc>
          <w:tcPr>
            <w:tcW w:w="13" w:type="dxa"/>
            <w:shd w:val="clear" w:color="auto" w:fill="auto"/>
          </w:tcPr>
          <w:p w14:paraId="1BF5DB4C" w14:textId="77777777" w:rsidR="0022158B" w:rsidRPr="00DB6D8A" w:rsidRDefault="0022158B" w:rsidP="00DB6D8A">
            <w:pPr>
              <w:rPr>
                <w:caps/>
                <w:color w:val="auto"/>
              </w:rPr>
            </w:pPr>
          </w:p>
        </w:tc>
        <w:tc>
          <w:tcPr>
            <w:tcW w:w="4635" w:type="dxa"/>
            <w:vMerge w:val="restart"/>
            <w:shd w:val="clear" w:color="auto" w:fill="auto"/>
          </w:tcPr>
          <w:p w14:paraId="41EAACD4" w14:textId="77777777" w:rsidR="0022158B" w:rsidRPr="00DB6D8A" w:rsidRDefault="00F82F27" w:rsidP="00DB6D8A">
            <w:pPr>
              <w:rPr>
                <w:b w:val="0"/>
                <w:color w:val="auto"/>
              </w:rPr>
            </w:pPr>
            <w:r w:rsidRPr="00DB6D8A">
              <w:rPr>
                <w:b w:val="0"/>
                <w:color w:val="auto"/>
              </w:rPr>
              <w:t>Pagal adresatų sąrašą</w:t>
            </w:r>
          </w:p>
        </w:tc>
        <w:tc>
          <w:tcPr>
            <w:tcW w:w="427" w:type="dxa"/>
            <w:shd w:val="clear" w:color="auto" w:fill="auto"/>
          </w:tcPr>
          <w:p w14:paraId="62F52006" w14:textId="77777777" w:rsidR="0022158B" w:rsidRPr="00DB6D8A" w:rsidRDefault="0022158B" w:rsidP="00DB6D8A">
            <w:pPr>
              <w:rPr>
                <w:b w:val="0"/>
                <w:color w:val="auto"/>
              </w:rPr>
            </w:pPr>
          </w:p>
        </w:tc>
        <w:tc>
          <w:tcPr>
            <w:tcW w:w="1559" w:type="dxa"/>
            <w:shd w:val="clear" w:color="auto" w:fill="auto"/>
          </w:tcPr>
          <w:p w14:paraId="70DA6C4E" w14:textId="77777777" w:rsidR="0022158B" w:rsidRPr="00DB6D8A" w:rsidRDefault="0022158B" w:rsidP="00DB6D8A">
            <w:pPr>
              <w:rPr>
                <w:b w:val="0"/>
                <w:color w:val="auto"/>
              </w:rPr>
            </w:pPr>
          </w:p>
        </w:tc>
        <w:tc>
          <w:tcPr>
            <w:tcW w:w="2660" w:type="dxa"/>
            <w:shd w:val="clear" w:color="auto" w:fill="auto"/>
          </w:tcPr>
          <w:p w14:paraId="0679DC48" w14:textId="77777777" w:rsidR="0022158B" w:rsidRPr="00DB6D8A" w:rsidRDefault="00F82F27" w:rsidP="00DB6D8A">
            <w:pPr>
              <w:rPr>
                <w:b w:val="0"/>
                <w:color w:val="auto"/>
              </w:rPr>
            </w:pPr>
            <w:r w:rsidRPr="00DB6D8A">
              <w:rPr>
                <w:b w:val="0"/>
                <w:color w:val="auto"/>
              </w:rPr>
              <w:t>Nr. R2-(D)-</w:t>
            </w:r>
          </w:p>
        </w:tc>
      </w:tr>
      <w:tr w:rsidR="00DB6D8A" w:rsidRPr="00DB6D8A" w14:paraId="36CF16B9" w14:textId="77777777">
        <w:trPr>
          <w:cantSplit/>
        </w:trPr>
        <w:tc>
          <w:tcPr>
            <w:tcW w:w="13" w:type="dxa"/>
            <w:shd w:val="clear" w:color="auto" w:fill="auto"/>
          </w:tcPr>
          <w:p w14:paraId="227D24B2" w14:textId="77777777" w:rsidR="0022158B" w:rsidRPr="00DB6D8A" w:rsidRDefault="0022158B" w:rsidP="00DB6D8A">
            <w:pPr>
              <w:rPr>
                <w:color w:val="auto"/>
              </w:rPr>
            </w:pPr>
          </w:p>
        </w:tc>
        <w:tc>
          <w:tcPr>
            <w:tcW w:w="4635" w:type="dxa"/>
            <w:vMerge/>
            <w:shd w:val="clear" w:color="auto" w:fill="auto"/>
          </w:tcPr>
          <w:p w14:paraId="35F58214" w14:textId="77777777" w:rsidR="0022158B" w:rsidRPr="00DB6D8A" w:rsidRDefault="0022158B" w:rsidP="00DB6D8A">
            <w:pPr>
              <w:rPr>
                <w:b w:val="0"/>
                <w:color w:val="auto"/>
              </w:rPr>
            </w:pPr>
          </w:p>
        </w:tc>
        <w:tc>
          <w:tcPr>
            <w:tcW w:w="427" w:type="dxa"/>
            <w:shd w:val="clear" w:color="auto" w:fill="auto"/>
          </w:tcPr>
          <w:p w14:paraId="268C02B2" w14:textId="77777777" w:rsidR="0022158B" w:rsidRPr="00DB6D8A" w:rsidRDefault="0022158B" w:rsidP="00DB6D8A">
            <w:pPr>
              <w:rPr>
                <w:b w:val="0"/>
                <w:color w:val="auto"/>
              </w:rPr>
            </w:pPr>
          </w:p>
        </w:tc>
        <w:tc>
          <w:tcPr>
            <w:tcW w:w="1559" w:type="dxa"/>
            <w:shd w:val="clear" w:color="auto" w:fill="auto"/>
          </w:tcPr>
          <w:p w14:paraId="645040CD" w14:textId="77777777" w:rsidR="0022158B" w:rsidRPr="00DB6D8A" w:rsidRDefault="0022158B" w:rsidP="00DB6D8A">
            <w:pPr>
              <w:rPr>
                <w:b w:val="0"/>
                <w:color w:val="auto"/>
              </w:rPr>
            </w:pPr>
          </w:p>
        </w:tc>
        <w:tc>
          <w:tcPr>
            <w:tcW w:w="2660" w:type="dxa"/>
            <w:shd w:val="clear" w:color="auto" w:fill="auto"/>
          </w:tcPr>
          <w:p w14:paraId="75D2E604" w14:textId="77777777" w:rsidR="0022158B" w:rsidRPr="00DB6D8A" w:rsidRDefault="0022158B" w:rsidP="00DB6D8A">
            <w:pPr>
              <w:rPr>
                <w:b w:val="0"/>
                <w:color w:val="auto"/>
              </w:rPr>
            </w:pPr>
          </w:p>
        </w:tc>
      </w:tr>
      <w:tr w:rsidR="00DB6D8A" w:rsidRPr="00DB6D8A" w14:paraId="52F31C5C" w14:textId="77777777">
        <w:trPr>
          <w:cantSplit/>
        </w:trPr>
        <w:tc>
          <w:tcPr>
            <w:tcW w:w="9294" w:type="dxa"/>
            <w:gridSpan w:val="5"/>
            <w:shd w:val="clear" w:color="auto" w:fill="auto"/>
          </w:tcPr>
          <w:p w14:paraId="41A78702" w14:textId="77777777" w:rsidR="0022158B" w:rsidRPr="00DB6D8A" w:rsidRDefault="00F82F27" w:rsidP="00DB6D8A">
            <w:pPr>
              <w:rPr>
                <w:rFonts w:eastAsia="Calibri"/>
                <w:caps/>
                <w:color w:val="auto"/>
                <w:highlight w:val="yellow"/>
              </w:rPr>
            </w:pPr>
            <w:r w:rsidRPr="00DB6D8A">
              <w:rPr>
                <w:rFonts w:eastAsia="Calibri"/>
                <w:caps/>
                <w:color w:val="auto"/>
              </w:rPr>
              <w:t>Dėl gamtinių dujų perdavimo sistemos operatoriaus AB „AMBER GRID“ dešimties metų (2017–2026 m.) tinklo plėtros plano derinimo</w:t>
            </w:r>
          </w:p>
        </w:tc>
      </w:tr>
    </w:tbl>
    <w:p w14:paraId="5393DDF2" w14:textId="77777777" w:rsidR="0022158B" w:rsidRPr="00DB6D8A" w:rsidRDefault="0022158B" w:rsidP="00DB6D8A">
      <w:pPr>
        <w:pStyle w:val="Default"/>
        <w:jc w:val="both"/>
        <w:rPr>
          <w:color w:val="auto"/>
        </w:rPr>
      </w:pPr>
    </w:p>
    <w:p w14:paraId="6AB675A9" w14:textId="77777777" w:rsidR="0022158B" w:rsidRPr="00DB6D8A" w:rsidRDefault="00F82F27" w:rsidP="00DB6D8A">
      <w:pPr>
        <w:pStyle w:val="Default"/>
        <w:ind w:firstLine="720"/>
        <w:jc w:val="both"/>
        <w:rPr>
          <w:color w:val="auto"/>
        </w:rPr>
      </w:pPr>
      <w:r w:rsidRPr="00DB6D8A">
        <w:rPr>
          <w:color w:val="auto"/>
        </w:rPr>
        <w:t xml:space="preserve">Vadovaudamasi Lietuvos Respublikos gamtinių dujų įstatymo (toliau – Įstatymas) </w:t>
      </w:r>
      <w:r w:rsidRPr="00DB6D8A">
        <w:rPr>
          <w:color w:val="auto"/>
        </w:rPr>
        <w:br/>
        <w:t xml:space="preserve">31 straipsnio 5 dalimi bei Energetikos įmonių investicijų vertinimo ir derinimo Valstybinėje kainų ir energetikos kontrolės komisijoje tvarkos aprašo, patvirtinto Valstybinės kainų ir energetikos kontrolės komisijos (toliau – Komisija) 2009 m. liepos 10 d. nutarimu Nr. O3-100 ,,Dėl </w:t>
      </w:r>
      <w:r w:rsidRPr="00DB6D8A">
        <w:rPr>
          <w:bCs/>
          <w:color w:val="auto"/>
        </w:rPr>
        <w:t>Valstybinės kainų ir energetikos kontrolės komisijos 2003 m. birželio 17 d. nutarimo Nr. O3-35 „Dėl Energetikos įmonių investicijų projektų derinimo Valstybinėje kainų ir energetikos kontrolės komisijoje tvarkos patvirtinimo“ pakeitimo“</w:t>
      </w:r>
      <w:r w:rsidRPr="00DB6D8A">
        <w:rPr>
          <w:color w:val="auto"/>
        </w:rPr>
        <w:t xml:space="preserve">, trečiuoju skirsniu, Komisija atlieka perdavimo sistemos operatoriaus pateikto 10 metų perdavimo sistemos plėtros plano derinimą. </w:t>
      </w:r>
    </w:p>
    <w:p w14:paraId="74CCD20C" w14:textId="77777777" w:rsidR="0022158B" w:rsidRPr="00DB6D8A" w:rsidRDefault="00F82F27" w:rsidP="00DB6D8A">
      <w:pPr>
        <w:pStyle w:val="Default"/>
        <w:ind w:firstLine="720"/>
        <w:jc w:val="both"/>
        <w:rPr>
          <w:color w:val="auto"/>
        </w:rPr>
      </w:pPr>
      <w:r w:rsidRPr="00DB6D8A">
        <w:rPr>
          <w:color w:val="auto"/>
        </w:rPr>
        <w:t xml:space="preserve">Lietuvos gamtinių dujų perdavimo sistemos operatoriaus dešimties metų tinklo plėtros planas privalo būti parengtas vadovaujantis Įstatymo 31 straipsniu. Rengdamas minėtą planą perdavimo sistemos operatorius yra įpareigotas daryti pagrįstas prielaidas apie gamtinių dujų gavybos, tiekimo, vartojimo ir mainų su kitomis šalimis raidą, atsižvelgdamas į regioniniams kelių valstybių narių ir visos Europos Sąjungos tinklams skirtus investicijų planus, taip pat laikymo ir pakartotinio dujinimo suskystintų gamtinių dujų įrenginiams skirtus investicijų planus. </w:t>
      </w:r>
    </w:p>
    <w:p w14:paraId="70A307A6" w14:textId="77777777" w:rsidR="0022158B" w:rsidRPr="00DB6D8A" w:rsidRDefault="00F82F27" w:rsidP="00DB6D8A">
      <w:pPr>
        <w:pStyle w:val="Default"/>
        <w:ind w:firstLine="720"/>
        <w:jc w:val="both"/>
        <w:rPr>
          <w:color w:val="auto"/>
        </w:rPr>
      </w:pPr>
      <w:r w:rsidRPr="00DB6D8A">
        <w:rPr>
          <w:color w:val="auto"/>
        </w:rPr>
        <w:t xml:space="preserve">Plane turi būti nurodyta: </w:t>
      </w:r>
    </w:p>
    <w:p w14:paraId="39695DB9" w14:textId="77777777" w:rsidR="0022158B" w:rsidRPr="00DB6D8A" w:rsidRDefault="00F82F27" w:rsidP="00DB6D8A">
      <w:pPr>
        <w:pStyle w:val="Default"/>
        <w:ind w:firstLine="720"/>
        <w:jc w:val="both"/>
        <w:rPr>
          <w:color w:val="auto"/>
        </w:rPr>
      </w:pPr>
      <w:r w:rsidRPr="00DB6D8A">
        <w:rPr>
          <w:color w:val="auto"/>
        </w:rPr>
        <w:t xml:space="preserve">- svarbiausia perdavimo sistemos infrastruktūra, kurią reikia sukurti ar atnaujinti per artimiausius dešimt metų; </w:t>
      </w:r>
    </w:p>
    <w:p w14:paraId="1A3D43C6" w14:textId="77777777" w:rsidR="0022158B" w:rsidRPr="00DB6D8A" w:rsidRDefault="00F82F27" w:rsidP="00DB6D8A">
      <w:pPr>
        <w:pStyle w:val="Default"/>
        <w:ind w:firstLine="720"/>
        <w:jc w:val="both"/>
        <w:rPr>
          <w:color w:val="auto"/>
        </w:rPr>
      </w:pPr>
      <w:r w:rsidRPr="00DB6D8A">
        <w:rPr>
          <w:color w:val="auto"/>
        </w:rPr>
        <w:t xml:space="preserve">- visos investicijos, dėl kurių jau priimtas sprendimas, ir nustatomos naujos investicijos, kurias reikės atlikti per artimiausius trejus metus; </w:t>
      </w:r>
    </w:p>
    <w:p w14:paraId="3B5DB3EF" w14:textId="77777777" w:rsidR="0022158B" w:rsidRPr="00DB6D8A" w:rsidRDefault="00F82F27" w:rsidP="00DB6D8A">
      <w:pPr>
        <w:ind w:firstLine="720"/>
        <w:rPr>
          <w:rFonts w:eastAsia="Calibri"/>
          <w:b w:val="0"/>
          <w:color w:val="auto"/>
          <w:highlight w:val="yellow"/>
        </w:rPr>
      </w:pPr>
      <w:r w:rsidRPr="00DB6D8A">
        <w:rPr>
          <w:b w:val="0"/>
          <w:color w:val="auto"/>
        </w:rPr>
        <w:t>- visų investicinių projektų terminas.</w:t>
      </w:r>
    </w:p>
    <w:p w14:paraId="14CCA9B9" w14:textId="77777777" w:rsidR="0022158B" w:rsidRPr="00DB6D8A" w:rsidRDefault="00F82F27" w:rsidP="00DB6D8A">
      <w:pPr>
        <w:ind w:firstLine="720"/>
        <w:rPr>
          <w:b w:val="0"/>
          <w:color w:val="auto"/>
        </w:rPr>
      </w:pPr>
      <w:r w:rsidRPr="00DB6D8A">
        <w:rPr>
          <w:b w:val="0"/>
          <w:color w:val="auto"/>
        </w:rPr>
        <w:t>AB „Amber Grid“ (toliau – Bendrovė) 2017 m. birželio 22 d. raštu Nr. 7-291-630 pateikė gamtinių dujų perdavimo sistemos operatoriaus dešimties metų (2017–2026 m.) tinklo plėtros planą (toliau – Planas). Bendrovė rašte nurodė, kad Planas buvo pateiktas viešai konsultacijai Bendrovės internetiniame puslapyje, kuri vyko nuo 2017 m. gegužės 26 d. iki 2017 m. birželio 9 d. Bendrovė pastabų ir pasiūlymų iš suinteresuotų subjektų negavo.</w:t>
      </w:r>
    </w:p>
    <w:p w14:paraId="0A97E624" w14:textId="77777777" w:rsidR="0022158B" w:rsidRPr="00DB6D8A" w:rsidRDefault="00F82F27" w:rsidP="00DB6D8A">
      <w:pPr>
        <w:ind w:firstLine="720"/>
        <w:rPr>
          <w:color w:val="auto"/>
        </w:rPr>
      </w:pPr>
      <w:r w:rsidRPr="00DB6D8A">
        <w:rPr>
          <w:b w:val="0"/>
          <w:color w:val="auto"/>
        </w:rPr>
        <w:t xml:space="preserve">Raštu Bendrovė informavo, kad Planas parengtas atsižvelgiant į </w:t>
      </w:r>
      <w:hyperlink r:id="rId9">
        <w:r w:rsidRPr="00DB6D8A">
          <w:rPr>
            <w:rStyle w:val="InternetLink"/>
            <w:b w:val="0"/>
            <w:color w:val="auto"/>
          </w:rPr>
          <w:t>Nacionalinę energetinės nepriklausomybės strategiją</w:t>
        </w:r>
      </w:hyperlink>
      <w:r w:rsidRPr="00DB6D8A">
        <w:rPr>
          <w:b w:val="0"/>
          <w:color w:val="auto"/>
        </w:rPr>
        <w:t xml:space="preserve"> bei surinktus sistemos naudotojų duomenis dėl būsimos gamtinių dujų transportavimo paklausos.</w:t>
      </w:r>
    </w:p>
    <w:p w14:paraId="0064B4F2" w14:textId="77777777" w:rsidR="0022158B" w:rsidRPr="00DB6D8A" w:rsidRDefault="0022158B" w:rsidP="00DB6D8A">
      <w:pPr>
        <w:rPr>
          <w:rFonts w:eastAsia="Calibri"/>
          <w:color w:val="auto"/>
          <w:highlight w:val="yellow"/>
        </w:rPr>
      </w:pPr>
    </w:p>
    <w:p w14:paraId="327E4E6E" w14:textId="77777777" w:rsidR="0022158B" w:rsidRPr="00DB6D8A" w:rsidRDefault="00F82F27" w:rsidP="00DB6D8A">
      <w:pPr>
        <w:tabs>
          <w:tab w:val="left" w:pos="0"/>
          <w:tab w:val="left" w:pos="567"/>
        </w:tabs>
        <w:spacing w:after="200"/>
        <w:contextualSpacing/>
        <w:rPr>
          <w:color w:val="auto"/>
        </w:rPr>
      </w:pPr>
      <w:r w:rsidRPr="00DB6D8A">
        <w:rPr>
          <w:color w:val="auto"/>
        </w:rPr>
        <w:tab/>
        <w:t>Plano pasikeitimai, lyginant su 2016 m. parengtu dešimties metų (2016–2025 m.) tinklo plėtros planu:</w:t>
      </w:r>
    </w:p>
    <w:p w14:paraId="32939360" w14:textId="77777777" w:rsidR="0022158B" w:rsidRPr="00DB6D8A" w:rsidRDefault="0022158B" w:rsidP="00DB6D8A">
      <w:pPr>
        <w:tabs>
          <w:tab w:val="left" w:pos="0"/>
          <w:tab w:val="left" w:pos="567"/>
        </w:tabs>
        <w:spacing w:after="200"/>
        <w:ind w:left="567"/>
        <w:contextualSpacing/>
        <w:rPr>
          <w:b w:val="0"/>
          <w:color w:val="auto"/>
        </w:rPr>
      </w:pPr>
    </w:p>
    <w:p w14:paraId="6289A1B0" w14:textId="77777777" w:rsidR="0022158B" w:rsidRPr="00DB6D8A" w:rsidRDefault="00F82F27" w:rsidP="00DB6D8A">
      <w:pPr>
        <w:tabs>
          <w:tab w:val="left" w:pos="0"/>
          <w:tab w:val="left" w:pos="567"/>
        </w:tabs>
        <w:spacing w:after="200"/>
        <w:contextualSpacing/>
        <w:rPr>
          <w:i/>
          <w:color w:val="auto"/>
        </w:rPr>
      </w:pPr>
      <w:r w:rsidRPr="00DB6D8A">
        <w:rPr>
          <w:i/>
          <w:color w:val="auto"/>
        </w:rPr>
        <w:t>Perduodamų gamtinių dujų kiekiai:</w:t>
      </w:r>
    </w:p>
    <w:p w14:paraId="550CD8A5" w14:textId="77777777" w:rsidR="0022158B" w:rsidRPr="00DB6D8A" w:rsidRDefault="0022158B" w:rsidP="00DB6D8A">
      <w:pPr>
        <w:tabs>
          <w:tab w:val="left" w:pos="0"/>
          <w:tab w:val="left" w:pos="567"/>
        </w:tabs>
        <w:spacing w:after="200"/>
        <w:contextualSpacing/>
        <w:rPr>
          <w:b w:val="0"/>
          <w:color w:val="auto"/>
        </w:rPr>
      </w:pPr>
    </w:p>
    <w:p w14:paraId="68E00782" w14:textId="39862D5B" w:rsidR="0022158B" w:rsidRPr="00DB6D8A" w:rsidRDefault="00F82F27" w:rsidP="00DB6D8A">
      <w:pPr>
        <w:tabs>
          <w:tab w:val="left" w:pos="0"/>
          <w:tab w:val="left" w:pos="567"/>
        </w:tabs>
        <w:rPr>
          <w:b w:val="0"/>
          <w:color w:val="auto"/>
        </w:rPr>
      </w:pPr>
      <w:r w:rsidRPr="00DB6D8A">
        <w:rPr>
          <w:b w:val="0"/>
          <w:color w:val="auto"/>
        </w:rPr>
        <w:tab/>
        <w:t>2</w:t>
      </w:r>
      <w:r w:rsidR="007F3B73" w:rsidRPr="00DB6D8A">
        <w:rPr>
          <w:b w:val="0"/>
          <w:color w:val="auto"/>
        </w:rPr>
        <w:t>017–2026</w:t>
      </w:r>
      <w:r w:rsidRPr="00DB6D8A">
        <w:rPr>
          <w:b w:val="0"/>
          <w:color w:val="auto"/>
        </w:rPr>
        <w:t xml:space="preserve"> m. Plane, lyginant su 2016–2025 m. Planu, numatomi kiek didesni per vidinį išleidimo tašką perduoti sistemos naudotojams Lietuvoje gamtinių dujų kiekiai: 2017 m. nuo 21 TWh iki 22,7 TWh (~ 7%), 2018 m. – apie 4%, laikotarpiu po 2020 m. – nuo 19,7 iki 20,1 TWh (~ 2%). Ilgalaikių perdavimo pajėgumų poreikis vidiniame taške mažėja. Po 2020 m. jis bus apie 76 GWh, </w:t>
      </w:r>
      <w:r w:rsidRPr="00DB6D8A">
        <w:rPr>
          <w:b w:val="0"/>
          <w:color w:val="auto"/>
        </w:rPr>
        <w:br/>
        <w:t>t. y. sumažės apie 18 % nuo anksčiau planuotų 93,1 GWh/parą.</w:t>
      </w:r>
    </w:p>
    <w:p w14:paraId="758CF0B2" w14:textId="77777777" w:rsidR="0022158B" w:rsidRPr="00DB6D8A" w:rsidRDefault="00F82F27" w:rsidP="00DB6D8A">
      <w:pPr>
        <w:tabs>
          <w:tab w:val="left" w:pos="0"/>
          <w:tab w:val="left" w:pos="567"/>
        </w:tabs>
        <w:rPr>
          <w:b w:val="0"/>
          <w:color w:val="auto"/>
        </w:rPr>
      </w:pPr>
      <w:r w:rsidRPr="00DB6D8A">
        <w:rPr>
          <w:b w:val="0"/>
          <w:color w:val="auto"/>
        </w:rPr>
        <w:lastRenderedPageBreak/>
        <w:tab/>
        <w:t>Dujų transportavimo prognozės 2017–2026 metams parengtos įvertinant esamų sistemos naudotojų pateiktus duomenis apie planuojamus naudoti dujų kiekius ateityje. Apklausa atlikta 2016 m. rugsėjo–spalio mėn., taip pat atsižvelgta į naujausią informaciją apie vartojimo pajėgumų poreikį. 2017 m. nustatyti Lietuvos perdavimo sistemos naudotojų ir vartotojų vartojimo pajėgumai sudaro 181,2 GWh per parą.</w:t>
      </w:r>
    </w:p>
    <w:p w14:paraId="3AFAE123" w14:textId="77777777" w:rsidR="0022158B" w:rsidRPr="00DB6D8A" w:rsidRDefault="00F82F27" w:rsidP="00DB6D8A">
      <w:pPr>
        <w:tabs>
          <w:tab w:val="left" w:pos="0"/>
          <w:tab w:val="left" w:pos="567"/>
        </w:tabs>
        <w:rPr>
          <w:b w:val="0"/>
          <w:color w:val="auto"/>
        </w:rPr>
      </w:pPr>
      <w:r w:rsidRPr="00DB6D8A">
        <w:rPr>
          <w:b w:val="0"/>
          <w:color w:val="auto"/>
        </w:rPr>
        <w:tab/>
        <w:t xml:space="preserve">Plane pateikiami duomenys ir apie galimus tarpvalstybinius dujų srautus nuo 2020 m, suformavus Baltijos šalių dujų rinką. Šie dujų srautai priklausys nuo bendro intereso infrastruktūros projektų įgyvendinimo regione. Remiantis Bendrovės vertinimu, šie srautai galėtų sudaryti nuo </w:t>
      </w:r>
      <w:r w:rsidRPr="00DB6D8A">
        <w:rPr>
          <w:b w:val="0"/>
          <w:color w:val="auto"/>
        </w:rPr>
        <w:br/>
        <w:t>1,6 TWh per metus (po 10 % Latvijos ir Estijos dujų poreikio 2020 m.) iki 7,8 TWh per metus po 2022 m. (pastačius dujotiekių jungtį su Lenkija galėtų atsirasti dujų srautai iš Lenkijos į kitas Rytų Baltijos regiono šalis, taip pat galimas dujų importas iš SGD terminalo Klaipėdoje.</w:t>
      </w:r>
    </w:p>
    <w:p w14:paraId="459BDAF3" w14:textId="77777777" w:rsidR="0022158B" w:rsidRPr="00DB6D8A" w:rsidRDefault="0022158B" w:rsidP="00DB6D8A">
      <w:pPr>
        <w:tabs>
          <w:tab w:val="left" w:pos="0"/>
          <w:tab w:val="left" w:pos="567"/>
        </w:tabs>
        <w:rPr>
          <w:b w:val="0"/>
          <w:color w:val="auto"/>
        </w:rPr>
      </w:pPr>
    </w:p>
    <w:p w14:paraId="072B70F3" w14:textId="77777777" w:rsidR="0022158B" w:rsidRPr="00DB6D8A" w:rsidRDefault="00F82F27" w:rsidP="00DB6D8A">
      <w:pPr>
        <w:tabs>
          <w:tab w:val="left" w:pos="0"/>
          <w:tab w:val="left" w:pos="567"/>
        </w:tabs>
        <w:contextualSpacing/>
        <w:rPr>
          <w:i/>
          <w:color w:val="auto"/>
        </w:rPr>
      </w:pPr>
      <w:r w:rsidRPr="00DB6D8A">
        <w:rPr>
          <w:i/>
          <w:color w:val="auto"/>
        </w:rPr>
        <w:t>Perdavimo sistemos plėtra (investicijos)</w:t>
      </w:r>
    </w:p>
    <w:p w14:paraId="2898D77F" w14:textId="77777777" w:rsidR="0022158B" w:rsidRPr="00DB6D8A" w:rsidRDefault="0022158B" w:rsidP="00DB6D8A">
      <w:pPr>
        <w:tabs>
          <w:tab w:val="left" w:pos="0"/>
          <w:tab w:val="left" w:pos="567"/>
        </w:tabs>
        <w:contextualSpacing/>
        <w:rPr>
          <w:i/>
          <w:color w:val="auto"/>
        </w:rPr>
      </w:pPr>
    </w:p>
    <w:p w14:paraId="0A8FE5FA" w14:textId="1E7A0A42" w:rsidR="0022158B" w:rsidRPr="00DB6D8A" w:rsidRDefault="00F82F27" w:rsidP="00DB6D8A">
      <w:pPr>
        <w:tabs>
          <w:tab w:val="left" w:pos="0"/>
          <w:tab w:val="left" w:pos="567"/>
        </w:tabs>
        <w:contextualSpacing/>
        <w:rPr>
          <w:b w:val="0"/>
          <w:color w:val="auto"/>
        </w:rPr>
      </w:pPr>
      <w:r w:rsidRPr="00DB6D8A">
        <w:rPr>
          <w:b w:val="0"/>
          <w:color w:val="auto"/>
        </w:rPr>
        <w:tab/>
      </w:r>
      <w:r w:rsidR="007F3B73" w:rsidRPr="00DB6D8A">
        <w:rPr>
          <w:b w:val="0"/>
          <w:color w:val="auto"/>
        </w:rPr>
        <w:t xml:space="preserve">2016–2025 m. </w:t>
      </w:r>
      <w:r w:rsidRPr="00DB6D8A">
        <w:rPr>
          <w:b w:val="0"/>
          <w:color w:val="auto"/>
        </w:rPr>
        <w:t>Plane numatytas dujotiekio jungties tarp Lenkijos ir Lietuvos (toliau – GIPL) užbaigimo terminas – 2019 m., tačiau 2016 m. rugsėjo mėn. Lenkijos Respublikos energetikos ministerija informavo apie technines problemas, iškilusias Lenkijos teritorijoje, atliekant GIPL projekto perengiamuosius darbus bei galimas alternatyvas sprendžiant šias problemas. Plane nurodomas naujas projekto įgyvendinimo techninis sprendimas Lenkijos teritorijoje. Šie pakeitimai neturės įtakos techniniams sprendimams ir investicijoms Lietuvos teritorijoje, keičiasi tik projekto užbaigimo data, kuri numatoma – 2021 m. pabaiga. Numatomos GIPL projekto įgyvendinimo Lietuvos teritorijoje investicijos sudaro 135,8 mln. Eur.</w:t>
      </w:r>
    </w:p>
    <w:p w14:paraId="4D765C32" w14:textId="4733A2EC" w:rsidR="0022158B" w:rsidRPr="00DB6D8A" w:rsidRDefault="00F82F27" w:rsidP="00DB6D8A">
      <w:pPr>
        <w:tabs>
          <w:tab w:val="left" w:pos="0"/>
          <w:tab w:val="left" w:pos="567"/>
        </w:tabs>
        <w:contextualSpacing/>
        <w:rPr>
          <w:b w:val="0"/>
          <w:color w:val="auto"/>
        </w:rPr>
      </w:pPr>
      <w:r w:rsidRPr="00DB6D8A">
        <w:rPr>
          <w:b w:val="0"/>
          <w:color w:val="auto"/>
        </w:rPr>
        <w:tab/>
        <w:t xml:space="preserve">2018 m. numatoma atlikti dujotiekių jungties tarp Lietuvos ir Latvijos pajėgumų padidinimo projekto galimybių studiją, kuri parodys, kokia apimtimi bei terminais projektas bus įgyvendinamas. </w:t>
      </w:r>
      <w:r w:rsidR="00E81793" w:rsidRPr="00DB6D8A">
        <w:rPr>
          <w:b w:val="0"/>
          <w:color w:val="auto"/>
        </w:rPr>
        <w:t>2016–2025 m. P</w:t>
      </w:r>
      <w:r w:rsidRPr="00DB6D8A">
        <w:rPr>
          <w:b w:val="0"/>
          <w:color w:val="auto"/>
        </w:rPr>
        <w:t>lane šio projekto įgyvendinimas buvo numatytas 2018–2020 m.</w:t>
      </w:r>
    </w:p>
    <w:p w14:paraId="50BBC2BB" w14:textId="77777777" w:rsidR="0022158B" w:rsidRPr="00DB6D8A" w:rsidRDefault="0022158B" w:rsidP="00DB6D8A">
      <w:pPr>
        <w:tabs>
          <w:tab w:val="left" w:pos="0"/>
          <w:tab w:val="left" w:pos="567"/>
        </w:tabs>
        <w:ind w:left="1647"/>
        <w:contextualSpacing/>
        <w:rPr>
          <w:b w:val="0"/>
          <w:color w:val="auto"/>
        </w:rPr>
      </w:pPr>
    </w:p>
    <w:p w14:paraId="4E2A4E3C" w14:textId="77777777" w:rsidR="0022158B" w:rsidRPr="00DB6D8A" w:rsidRDefault="00F82F27" w:rsidP="00DB6D8A">
      <w:pPr>
        <w:tabs>
          <w:tab w:val="left" w:pos="0"/>
          <w:tab w:val="left" w:pos="567"/>
        </w:tabs>
        <w:spacing w:after="200"/>
        <w:contextualSpacing/>
        <w:rPr>
          <w:i/>
          <w:color w:val="auto"/>
        </w:rPr>
      </w:pPr>
      <w:r w:rsidRPr="00DB6D8A">
        <w:rPr>
          <w:i/>
          <w:color w:val="auto"/>
        </w:rPr>
        <w:t>Perdavimo sistemos atstatymas ir modernizacija:</w:t>
      </w:r>
    </w:p>
    <w:p w14:paraId="48082684" w14:textId="77777777" w:rsidR="0022158B" w:rsidRPr="00DB6D8A" w:rsidRDefault="0022158B" w:rsidP="00DB6D8A">
      <w:pPr>
        <w:rPr>
          <w:b w:val="0"/>
          <w:color w:val="auto"/>
          <w:highlight w:val="yellow"/>
        </w:rPr>
      </w:pPr>
    </w:p>
    <w:p w14:paraId="7BBA842B" w14:textId="7ADF2CE9" w:rsidR="0022158B" w:rsidRPr="00DB6D8A" w:rsidRDefault="00F82F27" w:rsidP="00DB6D8A">
      <w:pPr>
        <w:ind w:firstLine="567"/>
        <w:rPr>
          <w:b w:val="0"/>
          <w:color w:val="auto"/>
        </w:rPr>
      </w:pPr>
      <w:r w:rsidRPr="00DB6D8A">
        <w:rPr>
          <w:b w:val="0"/>
          <w:color w:val="auto"/>
        </w:rPr>
        <w:t>Lyginant su 2016–2025 m. Plane numatytomis investicijomis, planuojamos investicijos</w:t>
      </w:r>
      <w:r w:rsidRPr="00DB6D8A">
        <w:rPr>
          <w:b w:val="0"/>
          <w:color w:val="auto"/>
        </w:rPr>
        <w:br/>
        <w:t xml:space="preserve">2017–2026 m. Plane didesnės, kadangi numatomi įgyvendinami </w:t>
      </w:r>
      <w:r w:rsidR="00E81793" w:rsidRPr="00DB6D8A">
        <w:rPr>
          <w:b w:val="0"/>
          <w:color w:val="auto"/>
        </w:rPr>
        <w:t>2016–2025 m.</w:t>
      </w:r>
      <w:r w:rsidRPr="00DB6D8A">
        <w:rPr>
          <w:b w:val="0"/>
          <w:color w:val="auto"/>
        </w:rPr>
        <w:t xml:space="preserve"> Plane nenumatyti projektai, taip pat ke</w:t>
      </w:r>
      <w:r w:rsidR="00E81793" w:rsidRPr="00DB6D8A">
        <w:rPr>
          <w:b w:val="0"/>
          <w:color w:val="auto"/>
        </w:rPr>
        <w:t>itėsi numatytų projektų apimtys ir jų</w:t>
      </w:r>
      <w:r w:rsidRPr="00DB6D8A">
        <w:rPr>
          <w:b w:val="0"/>
          <w:color w:val="auto"/>
        </w:rPr>
        <w:t xml:space="preserve"> įgyvendinimo planai.</w:t>
      </w:r>
    </w:p>
    <w:p w14:paraId="3D6D6D3E" w14:textId="4E9A3950" w:rsidR="0022158B" w:rsidRPr="00DB6D8A" w:rsidRDefault="00F82F27" w:rsidP="00DB6D8A">
      <w:pPr>
        <w:tabs>
          <w:tab w:val="left" w:pos="0"/>
          <w:tab w:val="left" w:pos="567"/>
        </w:tabs>
        <w:rPr>
          <w:b w:val="0"/>
          <w:color w:val="auto"/>
        </w:rPr>
      </w:pPr>
      <w:r w:rsidRPr="00DB6D8A">
        <w:rPr>
          <w:b w:val="0"/>
          <w:color w:val="auto"/>
        </w:rPr>
        <w:tab/>
        <w:t>Bendra perdavimo sistemos atstatymui ir modernizacijai numatomų skirti lėšų suma per</w:t>
      </w:r>
      <w:r w:rsidRPr="00DB6D8A">
        <w:rPr>
          <w:b w:val="0"/>
          <w:color w:val="auto"/>
        </w:rPr>
        <w:br/>
        <w:t xml:space="preserve">2017–2021 m. laikotarpį padidėja nuo 55,7 mln. Eur iki 59,6 mln. Eur, lyginant su 2016–2020 m. laikotarpiu. Investicijų dydis auga, nes bus įgyvendinami gamtinių dujų perdavimo infrastruktūros projektai, numatyti Lietuvos Respublikos Vyriausybės 2014 m. liepos 22 d. nutarimu Nr. 746 „Dėl nacionalinio elektros ir gamtinių dujų perdavimo infrastruktūros projektų įgyvendinimo plano patvirtinimo“ (su vėlesniais pakeitimais) patvirtintame Nacionaliniame elektros ir gamtinių dujų perdavimo infrastruktūros projektų įgyvendinimo plane, kurių finansavimui jau yra skirta arba numatoma ES struktūrinių fondų parama, taip pat kai kurie kiti projektai nenumatyti </w:t>
      </w:r>
      <w:r w:rsidR="001C0380" w:rsidRPr="00DB6D8A">
        <w:rPr>
          <w:b w:val="0"/>
          <w:color w:val="auto"/>
        </w:rPr>
        <w:t xml:space="preserve">2016–2025 m. </w:t>
      </w:r>
      <w:r w:rsidRPr="00DB6D8A">
        <w:rPr>
          <w:b w:val="0"/>
          <w:color w:val="auto"/>
        </w:rPr>
        <w:t>Plane.</w:t>
      </w:r>
    </w:p>
    <w:p w14:paraId="2A04B4AC" w14:textId="548B6B3F" w:rsidR="0022158B" w:rsidRPr="00DB6D8A" w:rsidRDefault="00F82F27" w:rsidP="00DB6D8A">
      <w:pPr>
        <w:tabs>
          <w:tab w:val="left" w:pos="0"/>
          <w:tab w:val="left" w:pos="567"/>
        </w:tabs>
        <w:rPr>
          <w:b w:val="0"/>
          <w:color w:val="auto"/>
        </w:rPr>
      </w:pPr>
      <w:r w:rsidRPr="00DB6D8A">
        <w:rPr>
          <w:b w:val="0"/>
          <w:color w:val="auto"/>
        </w:rPr>
        <w:tab/>
        <w:t xml:space="preserve">Numatoma įgyvendinti naujus, anksčiau į </w:t>
      </w:r>
      <w:r w:rsidR="00E81793" w:rsidRPr="00DB6D8A">
        <w:rPr>
          <w:b w:val="0"/>
          <w:color w:val="auto"/>
        </w:rPr>
        <w:t xml:space="preserve">2016–2025 m. </w:t>
      </w:r>
      <w:r w:rsidRPr="00DB6D8A">
        <w:rPr>
          <w:b w:val="0"/>
          <w:color w:val="auto"/>
        </w:rPr>
        <w:t>Planą neįtrauktus, projektus:</w:t>
      </w:r>
    </w:p>
    <w:p w14:paraId="74D5E893" w14:textId="788EF81A" w:rsidR="0022158B" w:rsidRPr="00DB6D8A" w:rsidRDefault="00F82F27" w:rsidP="00DB6D8A">
      <w:pPr>
        <w:pStyle w:val="ListParagraph"/>
        <w:numPr>
          <w:ilvl w:val="0"/>
          <w:numId w:val="3"/>
        </w:numPr>
        <w:tabs>
          <w:tab w:val="left" w:pos="0"/>
          <w:tab w:val="left" w:pos="567"/>
        </w:tabs>
        <w:rPr>
          <w:b w:val="0"/>
          <w:color w:val="auto"/>
        </w:rPr>
      </w:pPr>
      <w:r w:rsidRPr="00DB6D8A">
        <w:rPr>
          <w:b w:val="0"/>
          <w:color w:val="auto"/>
        </w:rPr>
        <w:t>Čiaupų mazgų pakeitimas ir prijungimas prie nuotolinio valdymo sistemos;</w:t>
      </w:r>
    </w:p>
    <w:p w14:paraId="4D483EE5" w14:textId="22160EDB" w:rsidR="0022158B" w:rsidRPr="00DB6D8A" w:rsidRDefault="00F82F27" w:rsidP="00DB6D8A">
      <w:pPr>
        <w:pStyle w:val="ListParagraph"/>
        <w:numPr>
          <w:ilvl w:val="0"/>
          <w:numId w:val="3"/>
        </w:numPr>
        <w:tabs>
          <w:tab w:val="left" w:pos="0"/>
          <w:tab w:val="left" w:pos="567"/>
        </w:tabs>
        <w:rPr>
          <w:b w:val="0"/>
          <w:color w:val="auto"/>
        </w:rPr>
      </w:pPr>
      <w:r w:rsidRPr="00DB6D8A">
        <w:rPr>
          <w:b w:val="0"/>
          <w:color w:val="auto"/>
        </w:rPr>
        <w:t>kontrolinio įtaiso paleidimo ir priėmimo kamerų įrengimas ir dujų perdavimo sistemos operatyvaus technologinio valdymo diegimas (antras etapas);</w:t>
      </w:r>
    </w:p>
    <w:p w14:paraId="67A1BBD1" w14:textId="39BA5CEB" w:rsidR="0022158B" w:rsidRPr="00DB6D8A" w:rsidRDefault="00F82F27" w:rsidP="00DB6D8A">
      <w:pPr>
        <w:pStyle w:val="ListParagraph"/>
        <w:numPr>
          <w:ilvl w:val="0"/>
          <w:numId w:val="3"/>
        </w:numPr>
        <w:tabs>
          <w:tab w:val="left" w:pos="0"/>
          <w:tab w:val="left" w:pos="567"/>
        </w:tabs>
        <w:rPr>
          <w:b w:val="0"/>
          <w:color w:val="auto"/>
        </w:rPr>
      </w:pPr>
      <w:r w:rsidRPr="00DB6D8A">
        <w:rPr>
          <w:b w:val="0"/>
          <w:color w:val="auto"/>
        </w:rPr>
        <w:t>magistralinio dujotiekio į perklojimas Kauno LEZ teritorijoje;</w:t>
      </w:r>
    </w:p>
    <w:p w14:paraId="42AF3EF5" w14:textId="77777777" w:rsidR="0022158B" w:rsidRPr="00DB6D8A" w:rsidRDefault="00F82F27" w:rsidP="00DB6D8A">
      <w:pPr>
        <w:pStyle w:val="ListParagraph"/>
        <w:numPr>
          <w:ilvl w:val="0"/>
          <w:numId w:val="3"/>
        </w:numPr>
        <w:tabs>
          <w:tab w:val="left" w:pos="0"/>
          <w:tab w:val="left" w:pos="567"/>
        </w:tabs>
        <w:ind w:hanging="153"/>
        <w:rPr>
          <w:b w:val="0"/>
          <w:color w:val="auto"/>
        </w:rPr>
      </w:pPr>
      <w:r w:rsidRPr="00DB6D8A">
        <w:rPr>
          <w:b w:val="0"/>
          <w:color w:val="auto"/>
        </w:rPr>
        <w:t>Šiaulių, Telšių dujų apskaitos stočių modernizavimas.</w:t>
      </w:r>
    </w:p>
    <w:p w14:paraId="1C340486" w14:textId="0BD66C78" w:rsidR="0022158B" w:rsidRPr="00DB6D8A" w:rsidRDefault="0022158B" w:rsidP="00DB6D8A">
      <w:pPr>
        <w:tabs>
          <w:tab w:val="left" w:pos="0"/>
          <w:tab w:val="left" w:pos="567"/>
        </w:tabs>
        <w:rPr>
          <w:b w:val="0"/>
          <w:color w:val="auto"/>
        </w:rPr>
      </w:pPr>
    </w:p>
    <w:p w14:paraId="129E4E97" w14:textId="77777777" w:rsidR="0022158B" w:rsidRPr="00DB6D8A" w:rsidRDefault="00F82F27" w:rsidP="00DB6D8A">
      <w:pPr>
        <w:pStyle w:val="ListParagraph"/>
        <w:tabs>
          <w:tab w:val="left" w:pos="0"/>
          <w:tab w:val="left" w:pos="567"/>
        </w:tabs>
        <w:rPr>
          <w:color w:val="auto"/>
        </w:rPr>
      </w:pPr>
      <w:r w:rsidRPr="00DB6D8A">
        <w:rPr>
          <w:i/>
          <w:color w:val="auto"/>
        </w:rPr>
        <w:t>Plane numatytų investicijų finansavimo struktūra (mln. Eur):</w:t>
      </w:r>
    </w:p>
    <w:p w14:paraId="5E39BC63" w14:textId="77777777" w:rsidR="0022158B" w:rsidRPr="00DB6D8A" w:rsidRDefault="0022158B" w:rsidP="00DB6D8A">
      <w:pPr>
        <w:tabs>
          <w:tab w:val="left" w:pos="0"/>
          <w:tab w:val="left" w:pos="567"/>
        </w:tabs>
        <w:spacing w:after="200"/>
        <w:ind w:left="567"/>
        <w:contextualSpacing/>
        <w:rPr>
          <w:b w:val="0"/>
          <w:color w:val="auto"/>
        </w:rPr>
      </w:pPr>
    </w:p>
    <w:tbl>
      <w:tblPr>
        <w:tblStyle w:val="TableGrid"/>
        <w:tblW w:w="9344" w:type="dxa"/>
        <w:tblLook w:val="04A0" w:firstRow="1" w:lastRow="0" w:firstColumn="1" w:lastColumn="0" w:noHBand="0" w:noVBand="1"/>
      </w:tblPr>
      <w:tblGrid>
        <w:gridCol w:w="1951"/>
        <w:gridCol w:w="1055"/>
        <w:gridCol w:w="1054"/>
        <w:gridCol w:w="1054"/>
        <w:gridCol w:w="1054"/>
        <w:gridCol w:w="1054"/>
        <w:gridCol w:w="1054"/>
        <w:gridCol w:w="1068"/>
      </w:tblGrid>
      <w:tr w:rsidR="00DB6D8A" w:rsidRPr="00DB6D8A" w14:paraId="6468238D" w14:textId="77777777">
        <w:tc>
          <w:tcPr>
            <w:tcW w:w="1950" w:type="dxa"/>
            <w:shd w:val="clear" w:color="auto" w:fill="auto"/>
            <w:tcMar>
              <w:left w:w="108" w:type="dxa"/>
            </w:tcMar>
          </w:tcPr>
          <w:p w14:paraId="67FD1162"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Investicijos/metai</w:t>
            </w:r>
          </w:p>
        </w:tc>
        <w:tc>
          <w:tcPr>
            <w:tcW w:w="1055" w:type="dxa"/>
            <w:shd w:val="clear" w:color="auto" w:fill="auto"/>
            <w:tcMar>
              <w:left w:w="108" w:type="dxa"/>
            </w:tcMar>
            <w:vAlign w:val="center"/>
          </w:tcPr>
          <w:p w14:paraId="7290BA42"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Iki 2017</w:t>
            </w:r>
          </w:p>
        </w:tc>
        <w:tc>
          <w:tcPr>
            <w:tcW w:w="1054" w:type="dxa"/>
            <w:shd w:val="clear" w:color="auto" w:fill="auto"/>
            <w:tcMar>
              <w:left w:w="108" w:type="dxa"/>
            </w:tcMar>
            <w:vAlign w:val="center"/>
          </w:tcPr>
          <w:p w14:paraId="35467821"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2017</w:t>
            </w:r>
          </w:p>
        </w:tc>
        <w:tc>
          <w:tcPr>
            <w:tcW w:w="1054" w:type="dxa"/>
            <w:shd w:val="clear" w:color="auto" w:fill="auto"/>
            <w:tcMar>
              <w:left w:w="108" w:type="dxa"/>
            </w:tcMar>
            <w:vAlign w:val="center"/>
          </w:tcPr>
          <w:p w14:paraId="6B7B5118"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2018</w:t>
            </w:r>
          </w:p>
        </w:tc>
        <w:tc>
          <w:tcPr>
            <w:tcW w:w="1054" w:type="dxa"/>
            <w:shd w:val="clear" w:color="auto" w:fill="auto"/>
            <w:tcMar>
              <w:left w:w="108" w:type="dxa"/>
            </w:tcMar>
            <w:vAlign w:val="center"/>
          </w:tcPr>
          <w:p w14:paraId="74E2EE04"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2019</w:t>
            </w:r>
          </w:p>
        </w:tc>
        <w:tc>
          <w:tcPr>
            <w:tcW w:w="1054" w:type="dxa"/>
            <w:shd w:val="clear" w:color="auto" w:fill="auto"/>
            <w:tcMar>
              <w:left w:w="108" w:type="dxa"/>
            </w:tcMar>
            <w:vAlign w:val="center"/>
          </w:tcPr>
          <w:p w14:paraId="40D209A9"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2020</w:t>
            </w:r>
          </w:p>
        </w:tc>
        <w:tc>
          <w:tcPr>
            <w:tcW w:w="1054" w:type="dxa"/>
            <w:shd w:val="clear" w:color="auto" w:fill="auto"/>
            <w:tcMar>
              <w:left w:w="108" w:type="dxa"/>
            </w:tcMar>
            <w:vAlign w:val="center"/>
          </w:tcPr>
          <w:p w14:paraId="54C97C20"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2021</w:t>
            </w:r>
          </w:p>
        </w:tc>
        <w:tc>
          <w:tcPr>
            <w:tcW w:w="1068" w:type="dxa"/>
            <w:shd w:val="clear" w:color="auto" w:fill="auto"/>
            <w:tcMar>
              <w:left w:w="108" w:type="dxa"/>
            </w:tcMar>
            <w:vAlign w:val="center"/>
          </w:tcPr>
          <w:p w14:paraId="50ABA866"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Iš viso</w:t>
            </w:r>
          </w:p>
        </w:tc>
      </w:tr>
      <w:tr w:rsidR="00DB6D8A" w:rsidRPr="00DB6D8A" w14:paraId="4D81E6ED" w14:textId="77777777">
        <w:trPr>
          <w:trHeight w:val="473"/>
        </w:trPr>
        <w:tc>
          <w:tcPr>
            <w:tcW w:w="1950" w:type="dxa"/>
            <w:shd w:val="clear" w:color="auto" w:fill="auto"/>
            <w:tcMar>
              <w:left w:w="108" w:type="dxa"/>
            </w:tcMar>
          </w:tcPr>
          <w:p w14:paraId="0A28B18A"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lastRenderedPageBreak/>
              <w:t>ES finansinės paramos lėšos</w:t>
            </w:r>
          </w:p>
        </w:tc>
        <w:tc>
          <w:tcPr>
            <w:tcW w:w="1055" w:type="dxa"/>
            <w:shd w:val="clear" w:color="auto" w:fill="auto"/>
            <w:tcMar>
              <w:left w:w="108" w:type="dxa"/>
            </w:tcMar>
            <w:vAlign w:val="center"/>
          </w:tcPr>
          <w:p w14:paraId="562FC263"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3,7</w:t>
            </w:r>
          </w:p>
        </w:tc>
        <w:tc>
          <w:tcPr>
            <w:tcW w:w="1054" w:type="dxa"/>
            <w:shd w:val="clear" w:color="auto" w:fill="auto"/>
            <w:tcMar>
              <w:left w:w="108" w:type="dxa"/>
            </w:tcMar>
            <w:vAlign w:val="center"/>
          </w:tcPr>
          <w:p w14:paraId="01414635"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3,4</w:t>
            </w:r>
          </w:p>
        </w:tc>
        <w:tc>
          <w:tcPr>
            <w:tcW w:w="1054" w:type="dxa"/>
            <w:shd w:val="clear" w:color="auto" w:fill="auto"/>
            <w:tcMar>
              <w:left w:w="108" w:type="dxa"/>
            </w:tcMar>
            <w:vAlign w:val="center"/>
          </w:tcPr>
          <w:p w14:paraId="402F047E"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17,6</w:t>
            </w:r>
          </w:p>
        </w:tc>
        <w:tc>
          <w:tcPr>
            <w:tcW w:w="1054" w:type="dxa"/>
            <w:shd w:val="clear" w:color="auto" w:fill="auto"/>
            <w:tcMar>
              <w:left w:w="108" w:type="dxa"/>
            </w:tcMar>
            <w:vAlign w:val="center"/>
          </w:tcPr>
          <w:p w14:paraId="66CC3A2D"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26,3</w:t>
            </w:r>
          </w:p>
        </w:tc>
        <w:tc>
          <w:tcPr>
            <w:tcW w:w="1054" w:type="dxa"/>
            <w:shd w:val="clear" w:color="auto" w:fill="auto"/>
            <w:tcMar>
              <w:left w:w="108" w:type="dxa"/>
            </w:tcMar>
            <w:vAlign w:val="center"/>
          </w:tcPr>
          <w:p w14:paraId="43E0C4F0"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22,1</w:t>
            </w:r>
          </w:p>
        </w:tc>
        <w:tc>
          <w:tcPr>
            <w:tcW w:w="1054" w:type="dxa"/>
            <w:shd w:val="clear" w:color="auto" w:fill="auto"/>
            <w:tcMar>
              <w:left w:w="108" w:type="dxa"/>
            </w:tcMar>
            <w:vAlign w:val="center"/>
          </w:tcPr>
          <w:p w14:paraId="20EFF6F1"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14,2</w:t>
            </w:r>
          </w:p>
        </w:tc>
        <w:tc>
          <w:tcPr>
            <w:tcW w:w="1068" w:type="dxa"/>
            <w:shd w:val="clear" w:color="auto" w:fill="auto"/>
            <w:tcMar>
              <w:left w:w="108" w:type="dxa"/>
            </w:tcMar>
            <w:vAlign w:val="center"/>
          </w:tcPr>
          <w:p w14:paraId="30E14788"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87,3</w:t>
            </w:r>
          </w:p>
        </w:tc>
      </w:tr>
      <w:tr w:rsidR="00DB6D8A" w:rsidRPr="00DB6D8A" w14:paraId="2861EACB" w14:textId="77777777">
        <w:tc>
          <w:tcPr>
            <w:tcW w:w="1950" w:type="dxa"/>
            <w:shd w:val="clear" w:color="auto" w:fill="auto"/>
            <w:tcMar>
              <w:left w:w="108" w:type="dxa"/>
            </w:tcMar>
          </w:tcPr>
          <w:p w14:paraId="0B84E69F"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Prijungimo įmokos (subsidijos)</w:t>
            </w:r>
          </w:p>
        </w:tc>
        <w:tc>
          <w:tcPr>
            <w:tcW w:w="1055" w:type="dxa"/>
            <w:shd w:val="clear" w:color="auto" w:fill="auto"/>
            <w:tcMar>
              <w:left w:w="108" w:type="dxa"/>
            </w:tcMar>
            <w:vAlign w:val="center"/>
          </w:tcPr>
          <w:p w14:paraId="0490110C" w14:textId="77777777" w:rsidR="0022158B" w:rsidRPr="00DB6D8A" w:rsidRDefault="0022158B" w:rsidP="00DB6D8A">
            <w:pPr>
              <w:tabs>
                <w:tab w:val="left" w:pos="0"/>
                <w:tab w:val="left" w:pos="567"/>
              </w:tabs>
              <w:spacing w:after="200"/>
              <w:rPr>
                <w:rFonts w:ascii="Times New Roman" w:hAnsi="Times New Roman" w:cs="Times New Roman"/>
                <w:b w:val="0"/>
                <w:color w:val="auto"/>
              </w:rPr>
            </w:pPr>
          </w:p>
        </w:tc>
        <w:tc>
          <w:tcPr>
            <w:tcW w:w="1054" w:type="dxa"/>
            <w:shd w:val="clear" w:color="auto" w:fill="auto"/>
            <w:tcMar>
              <w:left w:w="108" w:type="dxa"/>
            </w:tcMar>
            <w:vAlign w:val="center"/>
          </w:tcPr>
          <w:p w14:paraId="25EA9E13" w14:textId="77777777" w:rsidR="0022158B" w:rsidRPr="00DB6D8A" w:rsidRDefault="0022158B" w:rsidP="00DB6D8A">
            <w:pPr>
              <w:tabs>
                <w:tab w:val="left" w:pos="0"/>
                <w:tab w:val="left" w:pos="567"/>
              </w:tabs>
              <w:spacing w:after="200"/>
              <w:rPr>
                <w:rFonts w:ascii="Times New Roman" w:hAnsi="Times New Roman" w:cs="Times New Roman"/>
                <w:b w:val="0"/>
                <w:color w:val="auto"/>
              </w:rPr>
            </w:pPr>
          </w:p>
        </w:tc>
        <w:tc>
          <w:tcPr>
            <w:tcW w:w="1054" w:type="dxa"/>
            <w:shd w:val="clear" w:color="auto" w:fill="auto"/>
            <w:tcMar>
              <w:left w:w="108" w:type="dxa"/>
            </w:tcMar>
            <w:vAlign w:val="center"/>
          </w:tcPr>
          <w:p w14:paraId="34BF18E4"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0,8</w:t>
            </w:r>
          </w:p>
        </w:tc>
        <w:tc>
          <w:tcPr>
            <w:tcW w:w="1054" w:type="dxa"/>
            <w:shd w:val="clear" w:color="auto" w:fill="auto"/>
            <w:tcMar>
              <w:left w:w="108" w:type="dxa"/>
            </w:tcMar>
            <w:vAlign w:val="center"/>
          </w:tcPr>
          <w:p w14:paraId="222AC270" w14:textId="77777777" w:rsidR="0022158B" w:rsidRPr="00DB6D8A" w:rsidRDefault="0022158B" w:rsidP="00DB6D8A">
            <w:pPr>
              <w:tabs>
                <w:tab w:val="left" w:pos="0"/>
                <w:tab w:val="left" w:pos="567"/>
              </w:tabs>
              <w:spacing w:after="200"/>
              <w:rPr>
                <w:rFonts w:ascii="Times New Roman" w:hAnsi="Times New Roman" w:cs="Times New Roman"/>
                <w:b w:val="0"/>
                <w:color w:val="auto"/>
              </w:rPr>
            </w:pPr>
          </w:p>
        </w:tc>
        <w:tc>
          <w:tcPr>
            <w:tcW w:w="1054" w:type="dxa"/>
            <w:shd w:val="clear" w:color="auto" w:fill="auto"/>
            <w:tcMar>
              <w:left w:w="108" w:type="dxa"/>
            </w:tcMar>
            <w:vAlign w:val="center"/>
          </w:tcPr>
          <w:p w14:paraId="5D7213D5" w14:textId="77777777" w:rsidR="0022158B" w:rsidRPr="00DB6D8A" w:rsidRDefault="0022158B" w:rsidP="00DB6D8A">
            <w:pPr>
              <w:tabs>
                <w:tab w:val="left" w:pos="0"/>
                <w:tab w:val="left" w:pos="567"/>
              </w:tabs>
              <w:spacing w:after="200"/>
              <w:rPr>
                <w:rFonts w:ascii="Times New Roman" w:hAnsi="Times New Roman" w:cs="Times New Roman"/>
                <w:b w:val="0"/>
                <w:color w:val="auto"/>
              </w:rPr>
            </w:pPr>
          </w:p>
        </w:tc>
        <w:tc>
          <w:tcPr>
            <w:tcW w:w="1054" w:type="dxa"/>
            <w:shd w:val="clear" w:color="auto" w:fill="auto"/>
            <w:tcMar>
              <w:left w:w="108" w:type="dxa"/>
            </w:tcMar>
            <w:vAlign w:val="center"/>
          </w:tcPr>
          <w:p w14:paraId="7C6FC7B7" w14:textId="77777777" w:rsidR="0022158B" w:rsidRPr="00DB6D8A" w:rsidRDefault="0022158B" w:rsidP="00DB6D8A">
            <w:pPr>
              <w:tabs>
                <w:tab w:val="left" w:pos="0"/>
                <w:tab w:val="left" w:pos="567"/>
              </w:tabs>
              <w:spacing w:after="200"/>
              <w:rPr>
                <w:rFonts w:ascii="Times New Roman" w:hAnsi="Times New Roman" w:cs="Times New Roman"/>
                <w:b w:val="0"/>
                <w:color w:val="auto"/>
              </w:rPr>
            </w:pPr>
          </w:p>
        </w:tc>
        <w:tc>
          <w:tcPr>
            <w:tcW w:w="1068" w:type="dxa"/>
            <w:shd w:val="clear" w:color="auto" w:fill="auto"/>
            <w:tcMar>
              <w:left w:w="108" w:type="dxa"/>
            </w:tcMar>
            <w:vAlign w:val="center"/>
          </w:tcPr>
          <w:p w14:paraId="674DA28D"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1,3</w:t>
            </w:r>
          </w:p>
        </w:tc>
      </w:tr>
      <w:tr w:rsidR="00DB6D8A" w:rsidRPr="00DB6D8A" w14:paraId="1E256F10" w14:textId="77777777">
        <w:tc>
          <w:tcPr>
            <w:tcW w:w="1950" w:type="dxa"/>
            <w:shd w:val="clear" w:color="auto" w:fill="auto"/>
            <w:tcMar>
              <w:left w:w="108" w:type="dxa"/>
            </w:tcMar>
          </w:tcPr>
          <w:p w14:paraId="4F7932FB"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Bendrovės nuosavos ir skolintos lėšos</w:t>
            </w:r>
          </w:p>
        </w:tc>
        <w:tc>
          <w:tcPr>
            <w:tcW w:w="1055" w:type="dxa"/>
            <w:shd w:val="clear" w:color="auto" w:fill="auto"/>
            <w:tcMar>
              <w:left w:w="108" w:type="dxa"/>
            </w:tcMar>
            <w:vAlign w:val="center"/>
          </w:tcPr>
          <w:p w14:paraId="77A59ABA"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8,05</w:t>
            </w:r>
          </w:p>
        </w:tc>
        <w:tc>
          <w:tcPr>
            <w:tcW w:w="1054" w:type="dxa"/>
            <w:shd w:val="clear" w:color="auto" w:fill="auto"/>
            <w:tcMar>
              <w:left w:w="108" w:type="dxa"/>
            </w:tcMar>
            <w:vAlign w:val="center"/>
          </w:tcPr>
          <w:p w14:paraId="272DBFB7"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5,7</w:t>
            </w:r>
          </w:p>
        </w:tc>
        <w:tc>
          <w:tcPr>
            <w:tcW w:w="1054" w:type="dxa"/>
            <w:shd w:val="clear" w:color="auto" w:fill="auto"/>
            <w:tcMar>
              <w:left w:w="108" w:type="dxa"/>
            </w:tcMar>
            <w:vAlign w:val="center"/>
          </w:tcPr>
          <w:p w14:paraId="2120A9EC"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20,8</w:t>
            </w:r>
          </w:p>
        </w:tc>
        <w:tc>
          <w:tcPr>
            <w:tcW w:w="1054" w:type="dxa"/>
            <w:shd w:val="clear" w:color="auto" w:fill="auto"/>
            <w:tcMar>
              <w:left w:w="108" w:type="dxa"/>
            </w:tcMar>
            <w:vAlign w:val="center"/>
          </w:tcPr>
          <w:p w14:paraId="7D237F6C"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33,7</w:t>
            </w:r>
          </w:p>
        </w:tc>
        <w:tc>
          <w:tcPr>
            <w:tcW w:w="1054" w:type="dxa"/>
            <w:shd w:val="clear" w:color="auto" w:fill="auto"/>
            <w:tcMar>
              <w:left w:w="108" w:type="dxa"/>
            </w:tcMar>
            <w:vAlign w:val="center"/>
          </w:tcPr>
          <w:p w14:paraId="55DC5762"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27,2</w:t>
            </w:r>
          </w:p>
        </w:tc>
        <w:tc>
          <w:tcPr>
            <w:tcW w:w="1054" w:type="dxa"/>
            <w:shd w:val="clear" w:color="auto" w:fill="auto"/>
            <w:tcMar>
              <w:left w:w="108" w:type="dxa"/>
            </w:tcMar>
            <w:vAlign w:val="center"/>
          </w:tcPr>
          <w:p w14:paraId="01111BE7"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17,3</w:t>
            </w:r>
          </w:p>
        </w:tc>
        <w:tc>
          <w:tcPr>
            <w:tcW w:w="1068" w:type="dxa"/>
            <w:shd w:val="clear" w:color="auto" w:fill="auto"/>
            <w:tcMar>
              <w:left w:w="108" w:type="dxa"/>
            </w:tcMar>
            <w:vAlign w:val="center"/>
          </w:tcPr>
          <w:p w14:paraId="08682378"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112,75</w:t>
            </w:r>
          </w:p>
        </w:tc>
      </w:tr>
      <w:tr w:rsidR="00DB6D8A" w:rsidRPr="00DB6D8A" w14:paraId="53CA5D07" w14:textId="77777777">
        <w:tc>
          <w:tcPr>
            <w:tcW w:w="1950" w:type="dxa"/>
            <w:shd w:val="clear" w:color="auto" w:fill="auto"/>
            <w:tcMar>
              <w:left w:w="108" w:type="dxa"/>
            </w:tcMar>
          </w:tcPr>
          <w:p w14:paraId="1D228E32"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Iš viso:</w:t>
            </w:r>
          </w:p>
        </w:tc>
        <w:tc>
          <w:tcPr>
            <w:tcW w:w="1055" w:type="dxa"/>
            <w:shd w:val="clear" w:color="auto" w:fill="auto"/>
            <w:tcMar>
              <w:left w:w="108" w:type="dxa"/>
            </w:tcMar>
            <w:vAlign w:val="center"/>
          </w:tcPr>
          <w:p w14:paraId="51B5DA09"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11,75</w:t>
            </w:r>
          </w:p>
        </w:tc>
        <w:tc>
          <w:tcPr>
            <w:tcW w:w="1054" w:type="dxa"/>
            <w:shd w:val="clear" w:color="auto" w:fill="auto"/>
            <w:tcMar>
              <w:left w:w="108" w:type="dxa"/>
            </w:tcMar>
            <w:vAlign w:val="center"/>
          </w:tcPr>
          <w:p w14:paraId="487A6080"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9,1</w:t>
            </w:r>
          </w:p>
        </w:tc>
        <w:tc>
          <w:tcPr>
            <w:tcW w:w="1054" w:type="dxa"/>
            <w:shd w:val="clear" w:color="auto" w:fill="auto"/>
            <w:tcMar>
              <w:left w:w="108" w:type="dxa"/>
            </w:tcMar>
            <w:vAlign w:val="center"/>
          </w:tcPr>
          <w:p w14:paraId="19D4ECC3"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39,2</w:t>
            </w:r>
          </w:p>
        </w:tc>
        <w:tc>
          <w:tcPr>
            <w:tcW w:w="1054" w:type="dxa"/>
            <w:shd w:val="clear" w:color="auto" w:fill="auto"/>
            <w:tcMar>
              <w:left w:w="108" w:type="dxa"/>
            </w:tcMar>
            <w:vAlign w:val="center"/>
          </w:tcPr>
          <w:p w14:paraId="188BBBA6"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60</w:t>
            </w:r>
          </w:p>
        </w:tc>
        <w:tc>
          <w:tcPr>
            <w:tcW w:w="1054" w:type="dxa"/>
            <w:shd w:val="clear" w:color="auto" w:fill="auto"/>
            <w:tcMar>
              <w:left w:w="108" w:type="dxa"/>
            </w:tcMar>
            <w:vAlign w:val="center"/>
          </w:tcPr>
          <w:p w14:paraId="43AA9BBB"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49,3</w:t>
            </w:r>
          </w:p>
        </w:tc>
        <w:tc>
          <w:tcPr>
            <w:tcW w:w="1054" w:type="dxa"/>
            <w:shd w:val="clear" w:color="auto" w:fill="auto"/>
            <w:tcMar>
              <w:left w:w="108" w:type="dxa"/>
            </w:tcMar>
            <w:vAlign w:val="center"/>
          </w:tcPr>
          <w:p w14:paraId="03253944"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31,5</w:t>
            </w:r>
          </w:p>
        </w:tc>
        <w:tc>
          <w:tcPr>
            <w:tcW w:w="1068" w:type="dxa"/>
            <w:shd w:val="clear" w:color="auto" w:fill="auto"/>
            <w:tcMar>
              <w:left w:w="108" w:type="dxa"/>
            </w:tcMar>
            <w:vAlign w:val="center"/>
          </w:tcPr>
          <w:p w14:paraId="4612A17F" w14:textId="77777777" w:rsidR="0022158B" w:rsidRPr="00DB6D8A" w:rsidRDefault="00F82F27" w:rsidP="00DB6D8A">
            <w:pPr>
              <w:tabs>
                <w:tab w:val="left" w:pos="0"/>
                <w:tab w:val="left" w:pos="567"/>
              </w:tabs>
              <w:spacing w:after="200"/>
              <w:rPr>
                <w:rFonts w:ascii="Times New Roman" w:hAnsi="Times New Roman" w:cs="Times New Roman"/>
                <w:b w:val="0"/>
                <w:color w:val="auto"/>
              </w:rPr>
            </w:pPr>
            <w:r w:rsidRPr="00DB6D8A">
              <w:rPr>
                <w:rFonts w:ascii="Times New Roman" w:eastAsia="Calibri" w:hAnsi="Times New Roman" w:cs="Times New Roman"/>
                <w:b w:val="0"/>
                <w:color w:val="auto"/>
              </w:rPr>
              <w:t>200,85</w:t>
            </w:r>
          </w:p>
        </w:tc>
      </w:tr>
    </w:tbl>
    <w:p w14:paraId="155FC8DC" w14:textId="77777777" w:rsidR="0022158B" w:rsidRPr="00DB6D8A" w:rsidRDefault="0022158B" w:rsidP="00DB6D8A">
      <w:pPr>
        <w:tabs>
          <w:tab w:val="left" w:pos="0"/>
          <w:tab w:val="left" w:pos="567"/>
        </w:tabs>
        <w:spacing w:after="200"/>
        <w:contextualSpacing/>
        <w:rPr>
          <w:i/>
          <w:color w:val="auto"/>
        </w:rPr>
      </w:pPr>
    </w:p>
    <w:p w14:paraId="16A9684E" w14:textId="11BAA7CF" w:rsidR="0022158B" w:rsidRPr="00DB6D8A" w:rsidRDefault="00F82F27" w:rsidP="00DB6D8A">
      <w:pPr>
        <w:ind w:firstLine="720"/>
        <w:rPr>
          <w:b w:val="0"/>
          <w:color w:val="auto"/>
        </w:rPr>
      </w:pPr>
      <w:r w:rsidRPr="00DB6D8A">
        <w:rPr>
          <w:b w:val="0"/>
          <w:color w:val="auto"/>
        </w:rPr>
        <w:t xml:space="preserve">Komisija, siekdama išnagrinėti, ar dešimties metų tinklo plėtros plane atsižvelgta į visus investavimo poreikius, kurie nustatomi viešojo konsultavimosi metu, ar šis planas suderinamas su Europos Sąjungos dešimties metų tinklo plėtros planu ir ar pateiktas gamtinių dujų perdavimo sistemos operatoriaus dešimties metų (2017–2026 m.) tinklo plėtros planas atitinka Įstatymo </w:t>
      </w:r>
      <w:r w:rsidRPr="00DB6D8A">
        <w:rPr>
          <w:b w:val="0"/>
          <w:color w:val="auto"/>
        </w:rPr>
        <w:br/>
        <w:t>31 straipsnio 1, 2, 3 ir 5 dalių reikalavimus, skelbia viešąją konsultaciją.</w:t>
      </w:r>
    </w:p>
    <w:p w14:paraId="7C133DA4" w14:textId="66AD1D51" w:rsidR="0022158B" w:rsidRPr="00DB6D8A" w:rsidRDefault="00F82F27" w:rsidP="00DB6D8A">
      <w:pPr>
        <w:ind w:firstLine="720"/>
        <w:rPr>
          <w:color w:val="auto"/>
        </w:rPr>
      </w:pPr>
      <w:r w:rsidRPr="00DB6D8A">
        <w:rPr>
          <w:b w:val="0"/>
          <w:color w:val="auto"/>
        </w:rPr>
        <w:t>Nutarimo projektas paskelbtas Lietuvos Respublikos Seimo teisės aktų projektų informacinėje sistemoje ir Komisijos interneto svetainėje www.regula.lt. Atskirai Nutarimo projektas ir lydimoji medžiaga siunčiami nebus.</w:t>
      </w:r>
      <w:r w:rsidRPr="00DB6D8A">
        <w:rPr>
          <w:b w:val="0"/>
          <w:bCs/>
          <w:color w:val="auto"/>
        </w:rPr>
        <w:t xml:space="preserve"> </w:t>
      </w:r>
      <w:r w:rsidRPr="00DB6D8A">
        <w:rPr>
          <w:b w:val="0"/>
          <w:color w:val="auto"/>
        </w:rPr>
        <w:t xml:space="preserve">Vadovaudamasi </w:t>
      </w:r>
      <w:bookmarkStart w:id="1" w:name="html"/>
      <w:r w:rsidRPr="00DB6D8A">
        <w:rPr>
          <w:b w:val="0"/>
          <w:color w:val="auto"/>
        </w:rPr>
        <w:t xml:space="preserve">Viešojo konsultavimosi dėl energetikos veiklą reglamentuojančių teisės aktų projektų taisyklių, patvirtintų Komisijos 2011 m. spalio 28 d. nutarimu Nr. O3-350 „Dėl Viešojo konsultavimosi dėl energetikos veiklą reglamentuojančių teisės aktų projektų taisyklių patvirtinimo“, </w:t>
      </w:r>
      <w:bookmarkEnd w:id="1"/>
      <w:r w:rsidRPr="00DB6D8A">
        <w:rPr>
          <w:b w:val="0"/>
          <w:color w:val="auto"/>
        </w:rPr>
        <w:t>13 punktu, Komisija prašo savo pastabas ir pasiūlymus Nutarimo projektui p</w:t>
      </w:r>
      <w:r w:rsidR="00973CC7">
        <w:rPr>
          <w:b w:val="0"/>
          <w:color w:val="auto"/>
        </w:rPr>
        <w:t>ateikti iki 2017 m. rugpjūčio 19</w:t>
      </w:r>
      <w:r w:rsidRPr="00DB6D8A">
        <w:rPr>
          <w:b w:val="0"/>
          <w:color w:val="auto"/>
        </w:rPr>
        <w:t xml:space="preserve"> d. paštu (Verkių g. 25C-1, Vilnius, LT-08223), faksu </w:t>
      </w:r>
      <w:r w:rsidRPr="00DB6D8A">
        <w:rPr>
          <w:b w:val="0"/>
          <w:color w:val="auto"/>
        </w:rPr>
        <w:br/>
        <w:t xml:space="preserve">(8 5) 213 5270, elektroniniu paštu </w:t>
      </w:r>
      <w:hyperlink r:id="rId10">
        <w:r w:rsidRPr="00DB6D8A">
          <w:rPr>
            <w:rStyle w:val="InternetLink"/>
            <w:b w:val="0"/>
            <w:bCs/>
            <w:color w:val="auto"/>
          </w:rPr>
          <w:t>rastine@regula.lt</w:t>
        </w:r>
      </w:hyperlink>
      <w:r w:rsidRPr="00DB6D8A">
        <w:rPr>
          <w:b w:val="0"/>
          <w:color w:val="auto"/>
        </w:rPr>
        <w:t xml:space="preserve"> arba per Seimo teisės aktų informacinę sistemą.</w:t>
      </w:r>
    </w:p>
    <w:p w14:paraId="0930BD75" w14:textId="435D9F7A" w:rsidR="0022158B" w:rsidRPr="00DB6D8A" w:rsidRDefault="00F82F27" w:rsidP="00DB6D8A">
      <w:pPr>
        <w:ind w:firstLine="720"/>
        <w:rPr>
          <w:color w:val="auto"/>
        </w:rPr>
      </w:pPr>
      <w:r w:rsidRPr="00DB6D8A">
        <w:rPr>
          <w:b w:val="0"/>
          <w:color w:val="auto"/>
        </w:rPr>
        <w:t xml:space="preserve">Nutarimo projektą parengė Ignas Kazakevičius, Dujų ir elektros departamento Dujų skyriaus </w:t>
      </w:r>
      <w:r w:rsidRPr="00DB6D8A">
        <w:rPr>
          <w:b w:val="0"/>
          <w:color w:val="auto"/>
        </w:rPr>
        <w:br/>
        <w:t xml:space="preserve">vyr. specialistas, tel. </w:t>
      </w:r>
      <w:r w:rsidRPr="00DB6D8A">
        <w:rPr>
          <w:b w:val="0"/>
          <w:bCs/>
          <w:color w:val="auto"/>
        </w:rPr>
        <w:t>(8 5) 250 6185</w:t>
      </w:r>
      <w:r w:rsidRPr="00DB6D8A">
        <w:rPr>
          <w:b w:val="0"/>
          <w:color w:val="auto"/>
        </w:rPr>
        <w:t>, el. p. ignas.kazakevicius</w:t>
      </w:r>
      <w:hyperlink r:id="rId11">
        <w:r w:rsidRPr="00DB6D8A">
          <w:rPr>
            <w:rStyle w:val="InternetLink"/>
            <w:b w:val="0"/>
            <w:color w:val="auto"/>
            <w:u w:val="none"/>
            <w:lang w:val="pt-BR"/>
          </w:rPr>
          <w:t>@regula.lt</w:t>
        </w:r>
      </w:hyperlink>
      <w:r w:rsidRPr="00DB6D8A">
        <w:rPr>
          <w:b w:val="0"/>
          <w:color w:val="auto"/>
          <w:lang w:val="pt-BR"/>
        </w:rPr>
        <w:t>.</w:t>
      </w:r>
    </w:p>
    <w:p w14:paraId="2DE0F52A" w14:textId="77777777" w:rsidR="0022158B" w:rsidRPr="00DB6D8A" w:rsidRDefault="0022158B" w:rsidP="00DB6D8A">
      <w:pPr>
        <w:ind w:firstLine="720"/>
        <w:rPr>
          <w:b w:val="0"/>
          <w:color w:val="auto"/>
          <w:lang w:val="pt-BR"/>
        </w:rPr>
      </w:pPr>
    </w:p>
    <w:p w14:paraId="2A2A26EC" w14:textId="77777777" w:rsidR="0022158B" w:rsidRPr="00DB6D8A" w:rsidRDefault="00F82F27" w:rsidP="00DB6D8A">
      <w:pPr>
        <w:ind w:firstLine="720"/>
        <w:rPr>
          <w:rFonts w:eastAsia="Calibri"/>
          <w:b w:val="0"/>
          <w:color w:val="auto"/>
        </w:rPr>
      </w:pPr>
      <w:r w:rsidRPr="00DB6D8A">
        <w:rPr>
          <w:rFonts w:eastAsia="Calibri"/>
          <w:b w:val="0"/>
          <w:color w:val="auto"/>
        </w:rPr>
        <w:t xml:space="preserve">PRIDEDAMA: </w:t>
      </w:r>
    </w:p>
    <w:p w14:paraId="2E23FD55" w14:textId="77777777" w:rsidR="0022158B" w:rsidRPr="00DB6D8A" w:rsidRDefault="00F82F27" w:rsidP="00DB6D8A">
      <w:pPr>
        <w:pStyle w:val="ListParagraph"/>
        <w:numPr>
          <w:ilvl w:val="0"/>
          <w:numId w:val="2"/>
        </w:numPr>
        <w:tabs>
          <w:tab w:val="left" w:pos="993"/>
        </w:tabs>
        <w:ind w:left="0" w:firstLine="709"/>
        <w:rPr>
          <w:rFonts w:eastAsia="Calibri"/>
          <w:b w:val="0"/>
          <w:color w:val="auto"/>
        </w:rPr>
      </w:pPr>
      <w:r w:rsidRPr="00DB6D8A">
        <w:rPr>
          <w:rFonts w:eastAsia="Calibri"/>
          <w:b w:val="0"/>
          <w:color w:val="auto"/>
        </w:rPr>
        <w:t>Komisijos nutarimo „Dėl gamtinių dujų perdavimo sistemos operatoriaus AB „Amber Grid“ dešimties metų (2017–2026 m.) tinklo plėtros plano derinimo“ projektas, 1 lapas.</w:t>
      </w:r>
    </w:p>
    <w:p w14:paraId="35BA784D" w14:textId="77777777" w:rsidR="0022158B" w:rsidRPr="00DB6D8A" w:rsidRDefault="00F82F27" w:rsidP="00DB6D8A">
      <w:pPr>
        <w:pStyle w:val="ListParagraph"/>
        <w:numPr>
          <w:ilvl w:val="0"/>
          <w:numId w:val="2"/>
        </w:numPr>
        <w:tabs>
          <w:tab w:val="left" w:pos="993"/>
        </w:tabs>
        <w:ind w:left="0" w:firstLine="709"/>
        <w:rPr>
          <w:b w:val="0"/>
          <w:color w:val="auto"/>
        </w:rPr>
      </w:pPr>
      <w:r w:rsidRPr="00DB6D8A">
        <w:rPr>
          <w:rFonts w:eastAsia="Calibri"/>
          <w:b w:val="0"/>
          <w:color w:val="auto"/>
        </w:rPr>
        <w:t>Gamtinių dujų perdavimo sistemos operatoriaus dešimties metų (2017–2026 m.) tinklo plėtros planas, 21 lapas.</w:t>
      </w:r>
    </w:p>
    <w:p w14:paraId="4DA5F451" w14:textId="77777777" w:rsidR="0022158B" w:rsidRPr="00DB6D8A" w:rsidRDefault="0022158B" w:rsidP="00DB6D8A">
      <w:pPr>
        <w:rPr>
          <w:rFonts w:eastAsia="Calibri"/>
          <w:b w:val="0"/>
          <w:color w:val="auto"/>
          <w:highlight w:val="yellow"/>
        </w:rPr>
      </w:pPr>
    </w:p>
    <w:p w14:paraId="729AB92A" w14:textId="77777777" w:rsidR="0022158B" w:rsidRPr="00DB6D8A" w:rsidRDefault="0022158B" w:rsidP="00DB6D8A">
      <w:pPr>
        <w:rPr>
          <w:rFonts w:eastAsia="Calibri"/>
          <w:b w:val="0"/>
          <w:color w:val="auto"/>
          <w:highlight w:val="yellow"/>
        </w:rPr>
      </w:pPr>
    </w:p>
    <w:p w14:paraId="34BE761F" w14:textId="77777777" w:rsidR="0022158B" w:rsidRPr="00DB6D8A" w:rsidRDefault="0022158B" w:rsidP="00DB6D8A">
      <w:pPr>
        <w:rPr>
          <w:rFonts w:eastAsia="Calibri"/>
          <w:b w:val="0"/>
          <w:color w:val="auto"/>
          <w:highlight w:val="yellow"/>
        </w:rPr>
      </w:pPr>
    </w:p>
    <w:p w14:paraId="09C65277" w14:textId="77777777" w:rsidR="0022158B" w:rsidRPr="00DB6D8A" w:rsidRDefault="00F82F27" w:rsidP="00DB6D8A">
      <w:pPr>
        <w:rPr>
          <w:rFonts w:eastAsia="Calibri"/>
          <w:b w:val="0"/>
          <w:color w:val="auto"/>
        </w:rPr>
      </w:pPr>
      <w:r w:rsidRPr="00DB6D8A">
        <w:rPr>
          <w:rFonts w:eastAsia="Calibri"/>
          <w:b w:val="0"/>
          <w:color w:val="auto"/>
        </w:rPr>
        <w:t>Komisijos pirmininko pavaduotojas,</w:t>
      </w:r>
    </w:p>
    <w:p w14:paraId="1856527C" w14:textId="77777777" w:rsidR="0022158B" w:rsidRPr="00DB6D8A" w:rsidRDefault="00F82F27" w:rsidP="00DB6D8A">
      <w:pPr>
        <w:rPr>
          <w:rFonts w:eastAsia="Calibri"/>
          <w:b w:val="0"/>
          <w:color w:val="auto"/>
        </w:rPr>
      </w:pPr>
      <w:r w:rsidRPr="00DB6D8A">
        <w:rPr>
          <w:rFonts w:eastAsia="Calibri"/>
          <w:b w:val="0"/>
          <w:color w:val="auto"/>
        </w:rPr>
        <w:t>laikinai atliekantis Komisijos pirmininko funkcijas</w:t>
      </w:r>
      <w:r w:rsidRPr="00DB6D8A">
        <w:rPr>
          <w:rFonts w:eastAsia="Calibri"/>
          <w:b w:val="0"/>
          <w:color w:val="auto"/>
        </w:rPr>
        <w:tab/>
      </w:r>
      <w:r w:rsidRPr="00DB6D8A">
        <w:rPr>
          <w:rFonts w:eastAsia="Calibri"/>
          <w:b w:val="0"/>
          <w:color w:val="auto"/>
        </w:rPr>
        <w:tab/>
      </w:r>
      <w:r w:rsidRPr="00DB6D8A">
        <w:rPr>
          <w:rFonts w:eastAsia="Calibri"/>
          <w:b w:val="0"/>
          <w:color w:val="auto"/>
        </w:rPr>
        <w:tab/>
      </w:r>
      <w:r w:rsidRPr="00DB6D8A">
        <w:rPr>
          <w:rFonts w:eastAsia="Calibri"/>
          <w:b w:val="0"/>
          <w:color w:val="auto"/>
        </w:rPr>
        <w:tab/>
        <w:t xml:space="preserve">   </w:t>
      </w:r>
      <w:r w:rsidRPr="00DB6D8A">
        <w:rPr>
          <w:rFonts w:eastAsia="Calibri"/>
          <w:b w:val="0"/>
          <w:color w:val="auto"/>
        </w:rPr>
        <w:tab/>
        <w:t>Jonas Makauskas</w:t>
      </w:r>
    </w:p>
    <w:p w14:paraId="42A71BD0" w14:textId="77777777" w:rsidR="0022158B" w:rsidRPr="00DB6D8A" w:rsidRDefault="0022158B" w:rsidP="00DB6D8A">
      <w:pPr>
        <w:tabs>
          <w:tab w:val="left" w:pos="8640"/>
        </w:tabs>
        <w:rPr>
          <w:rFonts w:eastAsia="Calibri"/>
          <w:b w:val="0"/>
          <w:color w:val="auto"/>
        </w:rPr>
      </w:pPr>
    </w:p>
    <w:p w14:paraId="1FE2E051" w14:textId="77777777" w:rsidR="0022158B" w:rsidRPr="00DB6D8A" w:rsidRDefault="0022158B" w:rsidP="00DB6D8A">
      <w:pPr>
        <w:rPr>
          <w:b w:val="0"/>
          <w:color w:val="auto"/>
        </w:rPr>
      </w:pPr>
    </w:p>
    <w:p w14:paraId="5DC45087" w14:textId="77777777" w:rsidR="0022158B" w:rsidRPr="00DB6D8A" w:rsidRDefault="0022158B" w:rsidP="00DB6D8A">
      <w:pPr>
        <w:rPr>
          <w:b w:val="0"/>
          <w:color w:val="auto"/>
        </w:rPr>
      </w:pPr>
    </w:p>
    <w:p w14:paraId="4F52215C" w14:textId="77777777" w:rsidR="0022158B" w:rsidRPr="00DB6D8A" w:rsidRDefault="0022158B" w:rsidP="00DB6D8A">
      <w:pPr>
        <w:rPr>
          <w:b w:val="0"/>
          <w:color w:val="auto"/>
        </w:rPr>
      </w:pPr>
    </w:p>
    <w:p w14:paraId="1CD6A9DB" w14:textId="77777777" w:rsidR="0022158B" w:rsidRPr="00DB6D8A" w:rsidRDefault="0022158B" w:rsidP="00DB6D8A">
      <w:pPr>
        <w:rPr>
          <w:b w:val="0"/>
          <w:color w:val="auto"/>
        </w:rPr>
      </w:pPr>
    </w:p>
    <w:p w14:paraId="723EEB75" w14:textId="77777777" w:rsidR="0022158B" w:rsidRPr="00DB6D8A" w:rsidRDefault="0022158B" w:rsidP="00DB6D8A">
      <w:pPr>
        <w:rPr>
          <w:b w:val="0"/>
          <w:color w:val="auto"/>
        </w:rPr>
      </w:pPr>
    </w:p>
    <w:p w14:paraId="72DBCA7B" w14:textId="77777777" w:rsidR="0022158B" w:rsidRPr="00DB6D8A" w:rsidRDefault="0022158B" w:rsidP="00DB6D8A">
      <w:pPr>
        <w:rPr>
          <w:b w:val="0"/>
          <w:color w:val="auto"/>
        </w:rPr>
      </w:pPr>
    </w:p>
    <w:p w14:paraId="74F3CEEF" w14:textId="3B210AFC" w:rsidR="0022158B" w:rsidRPr="00DB6D8A" w:rsidRDefault="0022158B" w:rsidP="00DB6D8A">
      <w:pPr>
        <w:rPr>
          <w:b w:val="0"/>
          <w:color w:val="auto"/>
        </w:rPr>
      </w:pPr>
    </w:p>
    <w:p w14:paraId="4856A993" w14:textId="7155EF1A" w:rsidR="0022158B" w:rsidRPr="00DB6D8A" w:rsidRDefault="0022158B" w:rsidP="00DB6D8A">
      <w:pPr>
        <w:rPr>
          <w:b w:val="0"/>
          <w:color w:val="auto"/>
        </w:rPr>
      </w:pPr>
    </w:p>
    <w:p w14:paraId="3FB444E5" w14:textId="08C2B98D" w:rsidR="0022158B" w:rsidRDefault="00DB6D8A" w:rsidP="00DB6D8A">
      <w:pPr>
        <w:rPr>
          <w:b w:val="0"/>
          <w:color w:val="auto"/>
        </w:rPr>
      </w:pPr>
      <w:r w:rsidRPr="00DB6D8A">
        <w:rPr>
          <w:b w:val="0"/>
          <w:noProof/>
          <w:color w:val="auto"/>
        </w:rPr>
        <w:drawing>
          <wp:anchor distT="0" distB="7620" distL="114300" distR="114300" simplePos="0" relativeHeight="3" behindDoc="1" locked="0" layoutInCell="1" allowOverlap="1" wp14:anchorId="389172E0" wp14:editId="3BC18E7C">
            <wp:simplePos x="0" y="0"/>
            <wp:positionH relativeFrom="column">
              <wp:posOffset>4505325</wp:posOffset>
            </wp:positionH>
            <wp:positionV relativeFrom="paragraph">
              <wp:posOffset>19577</wp:posOffset>
            </wp:positionV>
            <wp:extent cx="1663065" cy="716280"/>
            <wp:effectExtent l="0" t="0" r="0" b="0"/>
            <wp:wrapSquare wrapText="bothSides"/>
            <wp:docPr id="2" name="Picture 1" descr="is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so_big"/>
                    <pic:cNvPicPr>
                      <a:picLocks noChangeAspect="1" noChangeArrowheads="1"/>
                    </pic:cNvPicPr>
                  </pic:nvPicPr>
                  <pic:blipFill>
                    <a:blip r:embed="rId12"/>
                    <a:stretch>
                      <a:fillRect/>
                    </a:stretch>
                  </pic:blipFill>
                  <pic:spPr bwMode="auto">
                    <a:xfrm>
                      <a:off x="0" y="0"/>
                      <a:ext cx="1663065" cy="716280"/>
                    </a:xfrm>
                    <a:prstGeom prst="rect">
                      <a:avLst/>
                    </a:prstGeom>
                  </pic:spPr>
                </pic:pic>
              </a:graphicData>
            </a:graphic>
          </wp:anchor>
        </w:drawing>
      </w:r>
    </w:p>
    <w:p w14:paraId="49F5BEBF" w14:textId="31546922" w:rsidR="00DB6D8A" w:rsidRDefault="00DB6D8A" w:rsidP="00DB6D8A">
      <w:pPr>
        <w:rPr>
          <w:b w:val="0"/>
          <w:color w:val="auto"/>
        </w:rPr>
      </w:pPr>
    </w:p>
    <w:p w14:paraId="26641F86" w14:textId="428F7575" w:rsidR="00DB6D8A" w:rsidRPr="00DB6D8A" w:rsidRDefault="00DB6D8A" w:rsidP="00DB6D8A">
      <w:pPr>
        <w:rPr>
          <w:b w:val="0"/>
          <w:color w:val="auto"/>
        </w:rPr>
      </w:pPr>
    </w:p>
    <w:p w14:paraId="6A358BAC" w14:textId="1F13C453" w:rsidR="0022158B" w:rsidRPr="00DB6D8A" w:rsidRDefault="00F82F27" w:rsidP="00DB6D8A">
      <w:pPr>
        <w:rPr>
          <w:color w:val="auto"/>
        </w:rPr>
      </w:pPr>
      <w:r w:rsidRPr="00DB6D8A">
        <w:rPr>
          <w:b w:val="0"/>
          <w:color w:val="auto"/>
        </w:rPr>
        <w:t>I. Kazakevičius, tel. (8 5) 250 6185, el. p. ignas.kazakevicius@regula.lt</w:t>
      </w:r>
    </w:p>
    <w:p w14:paraId="233C4863" w14:textId="77777777" w:rsidR="0022158B" w:rsidRPr="00DB6D8A" w:rsidRDefault="00F82F27" w:rsidP="00DB6D8A">
      <w:pPr>
        <w:rPr>
          <w:rFonts w:eastAsia="Calibri"/>
          <w:color w:val="auto"/>
        </w:rPr>
      </w:pPr>
      <w:r w:rsidRPr="00DB6D8A">
        <w:rPr>
          <w:rFonts w:eastAsia="Calibri"/>
          <w:color w:val="auto"/>
        </w:rPr>
        <w:lastRenderedPageBreak/>
        <w:t>VALSTYBINĖS KAINŲ IR ENERGETIKOS KONTROLĖS KOMISIJOS 2017-07-</w:t>
      </w:r>
      <w:r w:rsidRPr="00DB6D8A">
        <w:rPr>
          <w:rFonts w:eastAsia="Calibri"/>
          <w:color w:val="auto"/>
        </w:rPr>
        <w:br/>
        <w:t>RAŠTO NR. R2-        ADRESATŲ SĄRAŠAS</w:t>
      </w:r>
    </w:p>
    <w:p w14:paraId="5AB1BDF4" w14:textId="77777777" w:rsidR="0022158B" w:rsidRPr="00DB6D8A" w:rsidRDefault="0022158B" w:rsidP="00DB6D8A">
      <w:pPr>
        <w:tabs>
          <w:tab w:val="left" w:pos="450"/>
        </w:tabs>
        <w:rPr>
          <w:rFonts w:eastAsia="Calibri"/>
          <w:b w:val="0"/>
          <w:color w:val="auto"/>
        </w:rPr>
      </w:pPr>
    </w:p>
    <w:p w14:paraId="6FD1181F" w14:textId="77777777" w:rsidR="0022158B" w:rsidRPr="00DB6D8A" w:rsidRDefault="00F82F27" w:rsidP="00DB6D8A">
      <w:pPr>
        <w:numPr>
          <w:ilvl w:val="0"/>
          <w:numId w:val="1"/>
        </w:numPr>
        <w:rPr>
          <w:rFonts w:eastAsia="Calibri"/>
          <w:b w:val="0"/>
          <w:bCs/>
          <w:color w:val="auto"/>
        </w:rPr>
      </w:pPr>
      <w:r w:rsidRPr="00DB6D8A">
        <w:rPr>
          <w:rFonts w:eastAsia="Calibri"/>
          <w:b w:val="0"/>
          <w:bCs/>
          <w:color w:val="auto"/>
        </w:rPr>
        <w:t>LR energetikos ministerija;</w:t>
      </w:r>
    </w:p>
    <w:p w14:paraId="43975F56" w14:textId="77777777" w:rsidR="0022158B" w:rsidRPr="00DB6D8A" w:rsidRDefault="00F82F27" w:rsidP="00DB6D8A">
      <w:pPr>
        <w:numPr>
          <w:ilvl w:val="0"/>
          <w:numId w:val="1"/>
        </w:numPr>
        <w:rPr>
          <w:rFonts w:eastAsia="Calibri"/>
          <w:b w:val="0"/>
          <w:bCs/>
          <w:color w:val="auto"/>
        </w:rPr>
      </w:pPr>
      <w:r w:rsidRPr="00DB6D8A">
        <w:rPr>
          <w:rFonts w:eastAsia="Calibri"/>
          <w:b w:val="0"/>
          <w:bCs/>
          <w:color w:val="auto"/>
        </w:rPr>
        <w:t>LR finansų ministerija;</w:t>
      </w:r>
    </w:p>
    <w:p w14:paraId="21314CAC" w14:textId="77777777" w:rsidR="0022158B" w:rsidRPr="00DB6D8A" w:rsidRDefault="00F82F27" w:rsidP="00DB6D8A">
      <w:pPr>
        <w:numPr>
          <w:ilvl w:val="0"/>
          <w:numId w:val="1"/>
        </w:numPr>
        <w:rPr>
          <w:rFonts w:eastAsia="Calibri"/>
          <w:b w:val="0"/>
          <w:bCs/>
          <w:color w:val="auto"/>
        </w:rPr>
      </w:pPr>
      <w:r w:rsidRPr="00DB6D8A">
        <w:rPr>
          <w:rFonts w:eastAsia="Calibri"/>
          <w:b w:val="0"/>
          <w:bCs/>
          <w:color w:val="auto"/>
        </w:rPr>
        <w:t>Nacionalinė Lietuvos energetikos asociacija;</w:t>
      </w:r>
    </w:p>
    <w:p w14:paraId="7B572192" w14:textId="77777777" w:rsidR="0022158B" w:rsidRPr="00DB6D8A" w:rsidRDefault="00F82F27" w:rsidP="00DB6D8A">
      <w:pPr>
        <w:numPr>
          <w:ilvl w:val="0"/>
          <w:numId w:val="1"/>
        </w:numPr>
        <w:rPr>
          <w:rFonts w:eastAsia="Calibri"/>
          <w:b w:val="0"/>
          <w:bCs/>
          <w:color w:val="auto"/>
        </w:rPr>
      </w:pPr>
      <w:r w:rsidRPr="00DB6D8A">
        <w:rPr>
          <w:rFonts w:eastAsia="Calibri"/>
          <w:b w:val="0"/>
          <w:bCs/>
          <w:color w:val="auto"/>
        </w:rPr>
        <w:t>Lietuvos biodujų asociacija;</w:t>
      </w:r>
    </w:p>
    <w:p w14:paraId="58AFDBFE" w14:textId="77777777" w:rsidR="0022158B" w:rsidRPr="00DB6D8A" w:rsidRDefault="00F82F27" w:rsidP="00DB6D8A">
      <w:pPr>
        <w:numPr>
          <w:ilvl w:val="0"/>
          <w:numId w:val="1"/>
        </w:numPr>
        <w:rPr>
          <w:rFonts w:eastAsia="Calibri"/>
          <w:b w:val="0"/>
          <w:bCs/>
          <w:color w:val="auto"/>
        </w:rPr>
      </w:pPr>
      <w:r w:rsidRPr="00DB6D8A">
        <w:rPr>
          <w:rFonts w:eastAsia="Calibri"/>
          <w:b w:val="0"/>
          <w:bCs/>
          <w:color w:val="auto"/>
        </w:rPr>
        <w:t>Lietuvos pramoninkų konfederacija;</w:t>
      </w:r>
    </w:p>
    <w:p w14:paraId="6D978626" w14:textId="77777777" w:rsidR="0022158B" w:rsidRPr="00DB6D8A" w:rsidRDefault="00F82F27" w:rsidP="00DB6D8A">
      <w:pPr>
        <w:numPr>
          <w:ilvl w:val="0"/>
          <w:numId w:val="1"/>
        </w:numPr>
        <w:tabs>
          <w:tab w:val="left" w:pos="450"/>
        </w:tabs>
        <w:rPr>
          <w:b w:val="0"/>
          <w:color w:val="auto"/>
        </w:rPr>
      </w:pPr>
      <w:r w:rsidRPr="00DB6D8A">
        <w:rPr>
          <w:b w:val="0"/>
          <w:color w:val="auto"/>
        </w:rPr>
        <w:t>UAB LITGAS;</w:t>
      </w:r>
    </w:p>
    <w:p w14:paraId="690248B4" w14:textId="77777777" w:rsidR="0022158B" w:rsidRPr="00DB6D8A" w:rsidRDefault="00F82F27" w:rsidP="00DB6D8A">
      <w:pPr>
        <w:numPr>
          <w:ilvl w:val="0"/>
          <w:numId w:val="1"/>
        </w:numPr>
        <w:tabs>
          <w:tab w:val="left" w:pos="450"/>
        </w:tabs>
        <w:rPr>
          <w:b w:val="0"/>
          <w:color w:val="auto"/>
        </w:rPr>
      </w:pPr>
      <w:r w:rsidRPr="00DB6D8A">
        <w:rPr>
          <w:b w:val="0"/>
          <w:color w:val="auto"/>
        </w:rPr>
        <w:t>AB „Energijos skirstymo operatorius“;</w:t>
      </w:r>
    </w:p>
    <w:p w14:paraId="17AC069F" w14:textId="77777777" w:rsidR="0022158B" w:rsidRPr="00DB6D8A" w:rsidRDefault="00F82F27" w:rsidP="00DB6D8A">
      <w:pPr>
        <w:numPr>
          <w:ilvl w:val="0"/>
          <w:numId w:val="1"/>
        </w:numPr>
        <w:tabs>
          <w:tab w:val="left" w:pos="450"/>
        </w:tabs>
        <w:rPr>
          <w:b w:val="0"/>
          <w:color w:val="auto"/>
        </w:rPr>
      </w:pPr>
      <w:r w:rsidRPr="00DB6D8A">
        <w:rPr>
          <w:b w:val="0"/>
          <w:color w:val="auto"/>
        </w:rPr>
        <w:t>UAB „Intergas“;</w:t>
      </w:r>
    </w:p>
    <w:p w14:paraId="3D86C473" w14:textId="77777777" w:rsidR="0022158B" w:rsidRPr="00DB6D8A" w:rsidRDefault="00F82F27" w:rsidP="00DB6D8A">
      <w:pPr>
        <w:numPr>
          <w:ilvl w:val="0"/>
          <w:numId w:val="1"/>
        </w:numPr>
        <w:tabs>
          <w:tab w:val="left" w:pos="450"/>
        </w:tabs>
        <w:rPr>
          <w:b w:val="0"/>
          <w:color w:val="auto"/>
        </w:rPr>
      </w:pPr>
      <w:r w:rsidRPr="00DB6D8A">
        <w:rPr>
          <w:b w:val="0"/>
          <w:color w:val="auto"/>
        </w:rPr>
        <w:t>UAB „Fortum Heat Lietuva“;</w:t>
      </w:r>
    </w:p>
    <w:p w14:paraId="762B3C93" w14:textId="77777777" w:rsidR="0022158B" w:rsidRPr="00DB6D8A" w:rsidRDefault="00F82F27" w:rsidP="00DB6D8A">
      <w:pPr>
        <w:numPr>
          <w:ilvl w:val="0"/>
          <w:numId w:val="1"/>
        </w:numPr>
        <w:tabs>
          <w:tab w:val="left" w:pos="450"/>
        </w:tabs>
        <w:rPr>
          <w:b w:val="0"/>
          <w:color w:val="auto"/>
        </w:rPr>
      </w:pPr>
      <w:r w:rsidRPr="00DB6D8A">
        <w:rPr>
          <w:b w:val="0"/>
          <w:color w:val="auto"/>
        </w:rPr>
        <w:t>AB „Achema“;</w:t>
      </w:r>
    </w:p>
    <w:p w14:paraId="73BFDA92" w14:textId="77777777" w:rsidR="0022158B" w:rsidRPr="00DB6D8A" w:rsidRDefault="00F82F27" w:rsidP="00DB6D8A">
      <w:pPr>
        <w:numPr>
          <w:ilvl w:val="0"/>
          <w:numId w:val="1"/>
        </w:numPr>
        <w:tabs>
          <w:tab w:val="left" w:pos="450"/>
        </w:tabs>
        <w:rPr>
          <w:b w:val="0"/>
          <w:color w:val="auto"/>
        </w:rPr>
      </w:pPr>
      <w:r w:rsidRPr="00DB6D8A">
        <w:rPr>
          <w:b w:val="0"/>
          <w:color w:val="auto"/>
        </w:rPr>
        <w:t>UAB „Lietuvos dujų tiekimas“;</w:t>
      </w:r>
    </w:p>
    <w:p w14:paraId="223106F5" w14:textId="77777777" w:rsidR="0022158B" w:rsidRPr="00DB6D8A" w:rsidRDefault="00F82F27" w:rsidP="00DB6D8A">
      <w:pPr>
        <w:numPr>
          <w:ilvl w:val="0"/>
          <w:numId w:val="1"/>
        </w:numPr>
        <w:tabs>
          <w:tab w:val="left" w:pos="450"/>
        </w:tabs>
        <w:rPr>
          <w:b w:val="0"/>
          <w:color w:val="auto"/>
        </w:rPr>
      </w:pPr>
      <w:r w:rsidRPr="00DB6D8A">
        <w:rPr>
          <w:b w:val="0"/>
          <w:color w:val="auto"/>
        </w:rPr>
        <w:t>AB agrofirma ,,Josvainiai“;</w:t>
      </w:r>
    </w:p>
    <w:p w14:paraId="6DA81472" w14:textId="6D0142F7" w:rsidR="0022158B" w:rsidRPr="00EB363B" w:rsidRDefault="00F82F27" w:rsidP="00DB6D8A">
      <w:pPr>
        <w:numPr>
          <w:ilvl w:val="0"/>
          <w:numId w:val="1"/>
        </w:numPr>
        <w:tabs>
          <w:tab w:val="left" w:pos="450"/>
        </w:tabs>
        <w:rPr>
          <w:b w:val="0"/>
          <w:color w:val="auto"/>
        </w:rPr>
      </w:pPr>
      <w:r w:rsidRPr="00DB6D8A">
        <w:rPr>
          <w:b w:val="0"/>
          <w:color w:val="auto"/>
        </w:rPr>
        <w:t>UAB „Kauno termofikacinė elektrinė“.</w:t>
      </w:r>
    </w:p>
    <w:sectPr w:rsidR="0022158B" w:rsidRPr="00EB363B">
      <w:headerReference w:type="default" r:id="rId13"/>
      <w:footerReference w:type="first" r:id="rId14"/>
      <w:pgSz w:w="11906" w:h="16838"/>
      <w:pgMar w:top="1134" w:right="567" w:bottom="1134" w:left="1701" w:header="720" w:footer="720" w:gutter="0"/>
      <w:pgNumType w:start="1"/>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C03B" w14:textId="77777777" w:rsidR="00314326" w:rsidRDefault="00314326">
      <w:r>
        <w:separator/>
      </w:r>
    </w:p>
  </w:endnote>
  <w:endnote w:type="continuationSeparator" w:id="0">
    <w:p w14:paraId="4734C926" w14:textId="77777777" w:rsidR="00314326" w:rsidRDefault="0031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75FF" w14:textId="77777777" w:rsidR="00F82F27" w:rsidRDefault="00F82F2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1D04" w14:textId="77777777" w:rsidR="00314326" w:rsidRDefault="00314326">
      <w:r>
        <w:separator/>
      </w:r>
    </w:p>
  </w:footnote>
  <w:footnote w:type="continuationSeparator" w:id="0">
    <w:p w14:paraId="2D5005A7" w14:textId="77777777" w:rsidR="00314326" w:rsidRDefault="0031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olor w:val="auto"/>
      </w:rPr>
      <w:id w:val="1470024214"/>
      <w:docPartObj>
        <w:docPartGallery w:val="Page Numbers (Top of Page)"/>
        <w:docPartUnique/>
      </w:docPartObj>
    </w:sdtPr>
    <w:sdtEndPr/>
    <w:sdtContent>
      <w:p w14:paraId="00393AC1" w14:textId="115242CD" w:rsidR="00F82F27" w:rsidRPr="00DB6D8A" w:rsidRDefault="00F82F27">
        <w:pPr>
          <w:pStyle w:val="Header"/>
          <w:jc w:val="center"/>
          <w:rPr>
            <w:b w:val="0"/>
            <w:color w:val="auto"/>
          </w:rPr>
        </w:pPr>
        <w:r w:rsidRPr="00DB6D8A">
          <w:rPr>
            <w:b w:val="0"/>
            <w:color w:val="auto"/>
          </w:rPr>
          <w:fldChar w:fldCharType="begin"/>
        </w:r>
        <w:r w:rsidRPr="00DB6D8A">
          <w:rPr>
            <w:b w:val="0"/>
            <w:color w:val="auto"/>
          </w:rPr>
          <w:instrText>PAGE</w:instrText>
        </w:r>
        <w:r w:rsidRPr="00DB6D8A">
          <w:rPr>
            <w:b w:val="0"/>
            <w:color w:val="auto"/>
          </w:rPr>
          <w:fldChar w:fldCharType="separate"/>
        </w:r>
        <w:r w:rsidR="000D7F74">
          <w:rPr>
            <w:b w:val="0"/>
            <w:noProof/>
            <w:color w:val="auto"/>
          </w:rPr>
          <w:t>4</w:t>
        </w:r>
        <w:r w:rsidRPr="00DB6D8A">
          <w:rPr>
            <w:b w:val="0"/>
            <w:color w:val="auto"/>
          </w:rPr>
          <w:fldChar w:fldCharType="end"/>
        </w:r>
      </w:p>
    </w:sdtContent>
  </w:sdt>
  <w:p w14:paraId="2E8F9EB5" w14:textId="77777777" w:rsidR="00F82F27" w:rsidRPr="00DB6D8A" w:rsidRDefault="00F82F27">
    <w:pPr>
      <w:pStyle w:val="Header"/>
      <w:rPr>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8EF"/>
    <w:multiLevelType w:val="multilevel"/>
    <w:tmpl w:val="7E5031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D4705DC"/>
    <w:multiLevelType w:val="multilevel"/>
    <w:tmpl w:val="01AC68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28C6EB3"/>
    <w:multiLevelType w:val="multilevel"/>
    <w:tmpl w:val="393283F6"/>
    <w:lvl w:ilvl="0">
      <w:start w:val="2018"/>
      <w:numFmt w:val="bullet"/>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495174B"/>
    <w:multiLevelType w:val="multilevel"/>
    <w:tmpl w:val="988A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B"/>
    <w:rsid w:val="000D7F74"/>
    <w:rsid w:val="001C0380"/>
    <w:rsid w:val="0022158B"/>
    <w:rsid w:val="00221AAA"/>
    <w:rsid w:val="00252139"/>
    <w:rsid w:val="00314326"/>
    <w:rsid w:val="00461A1D"/>
    <w:rsid w:val="004705AC"/>
    <w:rsid w:val="00523665"/>
    <w:rsid w:val="006A28A2"/>
    <w:rsid w:val="007906FB"/>
    <w:rsid w:val="007F3B73"/>
    <w:rsid w:val="00973CC7"/>
    <w:rsid w:val="00DB6D8A"/>
    <w:rsid w:val="00DE316D"/>
    <w:rsid w:val="00E81793"/>
    <w:rsid w:val="00EB363B"/>
    <w:rsid w:val="00F82F2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C4FE"/>
  <w15:docId w15:val="{BCAEDEB1-6A1E-4E5B-BAB3-3EB9A63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b/>
      <w:color w:val="FF0000"/>
      <w:sz w:val="24"/>
      <w:szCs w:val="24"/>
      <w:lang w:eastAsia="en-US"/>
    </w:rPr>
  </w:style>
  <w:style w:type="paragraph" w:styleId="Heading1">
    <w:name w:val="heading 1"/>
    <w:basedOn w:val="Normal"/>
    <w:next w:val="Normal"/>
    <w:qFormat/>
    <w:pPr>
      <w:keepNext/>
      <w:jc w:val="left"/>
      <w:outlineLvl w:val="0"/>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rPr>
      <w:color w:val="0000FF"/>
      <w:u w:val="single"/>
    </w:rPr>
  </w:style>
  <w:style w:type="character" w:customStyle="1" w:styleId="TitleChar">
    <w:name w:val="Title Char"/>
    <w:link w:val="Title"/>
    <w:qFormat/>
    <w:locked/>
    <w:rsid w:val="00DB6C6A"/>
    <w:rPr>
      <w:b/>
      <w:caps/>
      <w:color w:val="000000"/>
      <w:sz w:val="24"/>
      <w:szCs w:val="24"/>
      <w:lang w:val="lt-LT" w:eastAsia="en-US" w:bidi="ar-SA"/>
    </w:rPr>
  </w:style>
  <w:style w:type="character" w:customStyle="1" w:styleId="BodyTextIndentChar">
    <w:name w:val="Body Text Indent Char"/>
    <w:basedOn w:val="DefaultParagraphFont"/>
    <w:link w:val="BodyTextIndent"/>
    <w:uiPriority w:val="99"/>
    <w:semiHidden/>
    <w:qFormat/>
    <w:rsid w:val="00123B78"/>
    <w:rPr>
      <w:b/>
      <w:color w:val="FF0000"/>
      <w:sz w:val="24"/>
      <w:szCs w:val="24"/>
      <w:lang w:eastAsia="en-US"/>
    </w:rPr>
  </w:style>
  <w:style w:type="character" w:customStyle="1" w:styleId="BalloonTextChar">
    <w:name w:val="Balloon Text Char"/>
    <w:basedOn w:val="DefaultParagraphFont"/>
    <w:link w:val="BalloonText"/>
    <w:uiPriority w:val="99"/>
    <w:semiHidden/>
    <w:qFormat/>
    <w:rsid w:val="00323BA1"/>
    <w:rPr>
      <w:rFonts w:ascii="Tahoma" w:hAnsi="Tahoma" w:cs="Tahoma"/>
      <w:b/>
      <w:color w:val="FF0000"/>
      <w:sz w:val="16"/>
      <w:szCs w:val="16"/>
      <w:lang w:eastAsia="en-US"/>
    </w:rPr>
  </w:style>
  <w:style w:type="character" w:styleId="CommentReference">
    <w:name w:val="annotation reference"/>
    <w:basedOn w:val="DefaultParagraphFont"/>
    <w:uiPriority w:val="99"/>
    <w:semiHidden/>
    <w:unhideWhenUsed/>
    <w:qFormat/>
    <w:rsid w:val="00323BA1"/>
    <w:rPr>
      <w:sz w:val="16"/>
      <w:szCs w:val="16"/>
    </w:rPr>
  </w:style>
  <w:style w:type="character" w:customStyle="1" w:styleId="CommentTextChar">
    <w:name w:val="Comment Text Char"/>
    <w:basedOn w:val="DefaultParagraphFont"/>
    <w:link w:val="CommentText"/>
    <w:uiPriority w:val="99"/>
    <w:qFormat/>
    <w:rsid w:val="00323BA1"/>
    <w:rPr>
      <w:b/>
      <w:color w:val="FF0000"/>
      <w:lang w:eastAsia="en-US"/>
    </w:rPr>
  </w:style>
  <w:style w:type="character" w:customStyle="1" w:styleId="CommentSubjectChar">
    <w:name w:val="Comment Subject Char"/>
    <w:basedOn w:val="CommentTextChar"/>
    <w:link w:val="CommentSubject"/>
    <w:uiPriority w:val="99"/>
    <w:semiHidden/>
    <w:qFormat/>
    <w:rsid w:val="00323BA1"/>
    <w:rPr>
      <w:b/>
      <w:bCs/>
      <w:color w:val="FF0000"/>
      <w:lang w:eastAsia="en-US"/>
    </w:rPr>
  </w:style>
  <w:style w:type="character" w:customStyle="1" w:styleId="HeaderChar">
    <w:name w:val="Header Char"/>
    <w:basedOn w:val="DefaultParagraphFont"/>
    <w:link w:val="Header"/>
    <w:uiPriority w:val="99"/>
    <w:qFormat/>
    <w:rsid w:val="00DD1015"/>
    <w:rPr>
      <w:b/>
      <w:color w:val="FF0000"/>
      <w:sz w:val="24"/>
      <w:szCs w:val="24"/>
      <w:lang w:eastAsia="en-US"/>
    </w:rPr>
  </w:style>
  <w:style w:type="character" w:customStyle="1" w:styleId="ListLabel1">
    <w:name w:val="ListLabel 1"/>
    <w:qFormat/>
    <w:rPr>
      <w:rFonts w:eastAsia="Times New Roman" w:cs="Times New Roman"/>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1">
    <w:name w:val="Body Text1"/>
    <w:qFormat/>
    <w:pPr>
      <w:ind w:firstLine="312"/>
      <w:jc w:val="both"/>
    </w:pPr>
    <w:rPr>
      <w:rFonts w:ascii="TimesLT" w:hAnsi="TimesLT"/>
      <w:sz w:val="24"/>
      <w:lang w:val="en-US" w:eastAsia="en-US"/>
    </w:rPr>
  </w:style>
  <w:style w:type="paragraph" w:styleId="Title">
    <w:name w:val="Title"/>
    <w:basedOn w:val="Normal"/>
    <w:link w:val="TitleChar"/>
    <w:qFormat/>
    <w:pPr>
      <w:spacing w:before="160"/>
      <w:jc w:val="center"/>
    </w:pPr>
    <w:rPr>
      <w:caps/>
      <w:color w:val="000000"/>
    </w:rPr>
  </w:style>
  <w:style w:type="paragraph" w:styleId="ListParagraph">
    <w:name w:val="List Paragraph"/>
    <w:basedOn w:val="Normal"/>
    <w:uiPriority w:val="34"/>
    <w:qFormat/>
    <w:rsid w:val="00EA71B2"/>
    <w:pPr>
      <w:ind w:left="720"/>
      <w:contextualSpacing/>
    </w:pPr>
  </w:style>
  <w:style w:type="paragraph" w:styleId="BodyTextIndent">
    <w:name w:val="Body Text Indent"/>
    <w:basedOn w:val="Normal"/>
    <w:link w:val="BodyTextIndentChar"/>
    <w:uiPriority w:val="99"/>
    <w:semiHidden/>
    <w:unhideWhenUsed/>
    <w:rsid w:val="00123B78"/>
    <w:pPr>
      <w:spacing w:after="120"/>
      <w:ind w:left="283"/>
    </w:pPr>
  </w:style>
  <w:style w:type="paragraph" w:styleId="BalloonText">
    <w:name w:val="Balloon Text"/>
    <w:basedOn w:val="Normal"/>
    <w:link w:val="BalloonTextChar"/>
    <w:uiPriority w:val="99"/>
    <w:semiHidden/>
    <w:unhideWhenUsed/>
    <w:qFormat/>
    <w:rsid w:val="00323BA1"/>
    <w:rPr>
      <w:rFonts w:ascii="Tahoma" w:hAnsi="Tahoma" w:cs="Tahoma"/>
      <w:sz w:val="16"/>
      <w:szCs w:val="16"/>
    </w:rPr>
  </w:style>
  <w:style w:type="paragraph" w:styleId="CommentText">
    <w:name w:val="annotation text"/>
    <w:basedOn w:val="Normal"/>
    <w:link w:val="CommentTextChar"/>
    <w:uiPriority w:val="99"/>
    <w:unhideWhenUsed/>
    <w:qFormat/>
    <w:rsid w:val="00323BA1"/>
    <w:rPr>
      <w:sz w:val="20"/>
      <w:szCs w:val="20"/>
    </w:rPr>
  </w:style>
  <w:style w:type="paragraph" w:styleId="CommentSubject">
    <w:name w:val="annotation subject"/>
    <w:basedOn w:val="CommentText"/>
    <w:link w:val="CommentSubjectChar"/>
    <w:uiPriority w:val="99"/>
    <w:semiHidden/>
    <w:unhideWhenUsed/>
    <w:qFormat/>
    <w:rsid w:val="00323BA1"/>
    <w:rPr>
      <w:bCs/>
    </w:rPr>
  </w:style>
  <w:style w:type="paragraph" w:customStyle="1" w:styleId="Default">
    <w:name w:val="Default"/>
    <w:qFormat/>
    <w:rsid w:val="00A64574"/>
    <w:rPr>
      <w:color w:val="000000"/>
      <w:sz w:val="24"/>
      <w:szCs w:val="24"/>
    </w:rPr>
  </w:style>
  <w:style w:type="paragraph" w:customStyle="1" w:styleId="tajtip">
    <w:name w:val="tajtip"/>
    <w:basedOn w:val="Normal"/>
    <w:qFormat/>
    <w:rsid w:val="00F31FCC"/>
    <w:pPr>
      <w:spacing w:after="150"/>
      <w:jc w:val="left"/>
    </w:pPr>
    <w:rPr>
      <w:b w:val="0"/>
      <w:color w:val="00000A"/>
      <w:lang w:eastAsia="lt-LT"/>
    </w:rPr>
  </w:style>
  <w:style w:type="table" w:styleId="TableGrid">
    <w:name w:val="Table Grid"/>
    <w:basedOn w:val="TableNormal"/>
    <w:uiPriority w:val="59"/>
    <w:rsid w:val="000C1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stine@regula.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mas.valungevicius@regula.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stine@regula.lt" TargetMode="External"/><Relationship Id="rId4" Type="http://schemas.openxmlformats.org/officeDocument/2006/relationships/webSettings" Target="webSettings.xml"/><Relationship Id="rId9" Type="http://schemas.openxmlformats.org/officeDocument/2006/relationships/hyperlink" Target="http://www.enmin.lt/lt/activity/veiklos_kryptys/strateginis_planavimas_ir_ES/nes_projektas_2010_2050.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6170</Words>
  <Characters>3518</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Irena</dc:creator>
  <cp:lastModifiedBy>Aleksandra Prokopjeva</cp:lastModifiedBy>
  <cp:revision>2</cp:revision>
  <cp:lastPrinted>2014-12-01T05:34:00Z</cp:lastPrinted>
  <dcterms:created xsi:type="dcterms:W3CDTF">2017-07-19T13:12:00Z</dcterms:created>
  <dcterms:modified xsi:type="dcterms:W3CDTF">2017-07-19T13:12:00Z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