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FC75AA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B2280B" w:rsidRPr="00860703">
        <w:rPr>
          <w:rFonts w:ascii="Times New Roman" w:hAnsi="Times New Roman"/>
          <w:sz w:val="24"/>
          <w:szCs w:val="24"/>
        </w:rPr>
        <w:t xml:space="preserve">birželio </w:t>
      </w:r>
      <w:r w:rsidR="002D07E4">
        <w:rPr>
          <w:rFonts w:ascii="Times New Roman" w:hAnsi="Times New Roman"/>
          <w:sz w:val="24"/>
          <w:szCs w:val="24"/>
        </w:rPr>
        <w:t>30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612D5" w:rsidRDefault="002D07E4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įstatymų projektų išvadų</w:t>
      </w:r>
    </w:p>
    <w:p w:rsidR="00D32FAC" w:rsidRDefault="00D32FAC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 xml:space="preserve">Dėl </w:t>
      </w:r>
      <w:r w:rsidR="009779B9">
        <w:rPr>
          <w:rFonts w:ascii="Times New Roman" w:eastAsia="Times New Roman" w:hAnsi="Times New Roman" w:cs="Times New Roman"/>
          <w:bCs/>
          <w:lang w:val="lt-LT" w:eastAsia="lt-LT"/>
        </w:rPr>
        <w:t xml:space="preserve">Seimo Teisės ir teisėtvarkos komiteto sprendimo dėl </w:t>
      </w:r>
      <w:r>
        <w:rPr>
          <w:rFonts w:ascii="Times New Roman" w:eastAsia="Times New Roman" w:hAnsi="Times New Roman" w:cs="Times New Roman"/>
          <w:bCs/>
          <w:lang w:val="lt-LT" w:eastAsia="lt-LT"/>
        </w:rPr>
        <w:t>Lietuvos Respublikos administracinių nusižengimų kodekso 56, 57 ir 589 straipsnių pakeitimo įstatymo projekto Nr. XSIIIP-4831 ir Lietuvos Respublikos žalos, atsiradusios dėl valdžios institucijų neteisėtų veiksmų, atlyginimo ir atstovavimo valstybei ir Lietuvos Respublikos vyriausybei įstatymo Nr. IX-895 2 straipsnio pakeitimo įstatymo projekto Nr. XIIIP-4832 nepriklausomo ekspertinio įvertinimo</w:t>
      </w:r>
    </w:p>
    <w:p w:rsidR="00D32FAC" w:rsidRDefault="00D32FAC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 xml:space="preserve">Dėl </w:t>
      </w:r>
      <w:r w:rsidR="00293B7C">
        <w:rPr>
          <w:rFonts w:ascii="Times New Roman" w:eastAsia="Times New Roman" w:hAnsi="Times New Roman" w:cs="Times New Roman"/>
          <w:bCs/>
          <w:lang w:val="lt-LT" w:eastAsia="lt-LT"/>
        </w:rPr>
        <w:t xml:space="preserve">Seimo Sveikatos reikalų komiteto sprendimo dėl </w:t>
      </w:r>
      <w:r>
        <w:rPr>
          <w:rFonts w:ascii="Times New Roman" w:eastAsia="Times New Roman" w:hAnsi="Times New Roman" w:cs="Times New Roman"/>
          <w:bCs/>
          <w:lang w:val="lt-LT" w:eastAsia="lt-LT"/>
        </w:rPr>
        <w:t>Lietuvos Respublikos sveikatos draudimo įstatymo Nr. I-1343 4, 7, 9</w:t>
      </w:r>
      <w:r w:rsidRPr="00D32FAC">
        <w:rPr>
          <w:rFonts w:ascii="Times New Roman" w:eastAsia="Times New Roman" w:hAnsi="Times New Roman" w:cs="Times New Roman"/>
          <w:bCs/>
          <w:vertAlign w:val="superscript"/>
          <w:lang w:val="lt-LT" w:eastAsia="lt-LT"/>
        </w:rPr>
        <w:t>1</w:t>
      </w:r>
      <w:r>
        <w:rPr>
          <w:rFonts w:ascii="Times New Roman" w:eastAsia="Times New Roman" w:hAnsi="Times New Roman" w:cs="Times New Roman"/>
          <w:bCs/>
          <w:lang w:val="lt-LT" w:eastAsia="lt-LT"/>
        </w:rPr>
        <w:t>, 12</w:t>
      </w:r>
      <w:r w:rsidRPr="00D32FAC">
        <w:rPr>
          <w:rFonts w:ascii="Times New Roman" w:eastAsia="Times New Roman" w:hAnsi="Times New Roman" w:cs="Times New Roman"/>
          <w:bCs/>
          <w:vertAlign w:val="superscript"/>
          <w:lang w:val="lt-LT" w:eastAsia="lt-LT"/>
        </w:rPr>
        <w:t>1</w:t>
      </w:r>
      <w:r>
        <w:rPr>
          <w:rFonts w:ascii="Times New Roman" w:eastAsia="Times New Roman" w:hAnsi="Times New Roman" w:cs="Times New Roman"/>
          <w:bCs/>
          <w:lang w:val="lt-LT" w:eastAsia="lt-LT"/>
        </w:rPr>
        <w:t>, 15, 17, 18, 20, 21, 23, 26, 26</w:t>
      </w:r>
      <w:r w:rsidRPr="00D32FAC">
        <w:rPr>
          <w:rFonts w:ascii="Times New Roman" w:eastAsia="Times New Roman" w:hAnsi="Times New Roman" w:cs="Times New Roman"/>
          <w:bCs/>
          <w:vertAlign w:val="superscript"/>
          <w:lang w:val="lt-LT" w:eastAsia="lt-LT"/>
        </w:rPr>
        <w:t>1</w:t>
      </w:r>
      <w:r>
        <w:rPr>
          <w:rFonts w:ascii="Times New Roman" w:eastAsia="Times New Roman" w:hAnsi="Times New Roman" w:cs="Times New Roman"/>
          <w:bCs/>
          <w:lang w:val="lt-LT" w:eastAsia="lt-LT"/>
        </w:rPr>
        <w:t>, 26</w:t>
      </w:r>
      <w:r w:rsidRPr="00D32FAC">
        <w:rPr>
          <w:rFonts w:ascii="Times New Roman" w:eastAsia="Times New Roman" w:hAnsi="Times New Roman" w:cs="Times New Roman"/>
          <w:bCs/>
          <w:vertAlign w:val="superscript"/>
          <w:lang w:val="lt-LT" w:eastAsia="lt-LT"/>
        </w:rPr>
        <w:t>2</w:t>
      </w:r>
      <w:r>
        <w:rPr>
          <w:rFonts w:ascii="Times New Roman" w:eastAsia="Times New Roman" w:hAnsi="Times New Roman" w:cs="Times New Roman"/>
          <w:bCs/>
          <w:lang w:val="lt-LT" w:eastAsia="lt-LT"/>
        </w:rPr>
        <w:t>, 27, 28, 29, 30, 31, 36 straipsnių, V skyriaus pakeitimo ir 32, 33, 34, 35 straipsnių ir VI skyriaus pripažinimo netekusiu galios įstatymo projekto Nr. XIIIP-4827 ir jį lydinčiųjų įstatymų projektų Nr. XIIIP-4828 – XIIIP-4830 nepriklausomo ekspertinio įvertinimo</w:t>
      </w:r>
    </w:p>
    <w:p w:rsidR="00D32FAC" w:rsidRDefault="00D32FAC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Lietuvos Respublikos ūkio subjektų, perkančių žalią pieną ir prekiaujančių pieno gaminiais, nesąžiningų veiksmų draudimo</w:t>
      </w:r>
      <w:r w:rsidR="00EA15C7">
        <w:rPr>
          <w:rFonts w:ascii="Times New Roman" w:eastAsia="Times New Roman" w:hAnsi="Times New Roman" w:cs="Times New Roman"/>
          <w:bCs/>
          <w:lang w:val="lt-LT" w:eastAsia="lt-LT"/>
        </w:rPr>
        <w:t xml:space="preserve"> įstatymo Nr. XII-1907 pakeitimo įstatymo projekto (nauja redakcija) Nr. XIIIP-5004 nepriklausomo ekspertinio įvertinimo</w:t>
      </w:r>
    </w:p>
    <w:p w:rsidR="00EA15C7" w:rsidRDefault="00EA15C7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Lietuvos Respublikos valstybės ir savivaldybės įmonių įstatymo Nr. I-722 10 straipsnio pakeitimo įstatymo projekto Nr. XIIIP-4084(2) nepriklausomo ekspertinio įvertinimo</w:t>
      </w:r>
    </w:p>
    <w:p w:rsidR="00CA0622" w:rsidRDefault="00CA0622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 xml:space="preserve">Dėl </w:t>
      </w:r>
      <w:r w:rsidR="00801913">
        <w:rPr>
          <w:rFonts w:ascii="Times New Roman" w:eastAsia="Times New Roman" w:hAnsi="Times New Roman" w:cs="Times New Roman"/>
          <w:bCs/>
          <w:lang w:val="lt-LT" w:eastAsia="lt-LT"/>
        </w:rPr>
        <w:t xml:space="preserve">generolo Jono Žemaičio vardo suteikimo Seimo rūmų salei </w:t>
      </w:r>
    </w:p>
    <w:p w:rsidR="00EA15C7" w:rsidRDefault="00EA15C7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Užsienio reikalų ministerijos rašto „Dėl Europos žmogaus teisių teismo sprendimo byloje Paksas prieš Lietuvą įgyvendinimo“</w:t>
      </w:r>
    </w:p>
    <w:p w:rsidR="00EA15C7" w:rsidRDefault="00EA15C7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valdybos pavedimo neįvykdymo ir dėl ikiteisminio tyrimo pradėjimo dėl naujai paaiškėjusių aplinkybių</w:t>
      </w:r>
    </w:p>
    <w:p w:rsidR="00EA15C7" w:rsidRDefault="00EA15C7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Sveikatos apsaugos ministerijos rašto „Dėl renginių organizavimo</w:t>
      </w:r>
      <w:r w:rsidR="005F72A1">
        <w:rPr>
          <w:rFonts w:ascii="Times New Roman" w:eastAsia="Times New Roman" w:hAnsi="Times New Roman" w:cs="Times New Roman"/>
          <w:bCs/>
          <w:lang w:val="lt-LT" w:eastAsia="lt-LT"/>
        </w:rPr>
        <w:t>“</w:t>
      </w:r>
    </w:p>
    <w:p w:rsidR="00EA15C7" w:rsidRDefault="00EA15C7" w:rsidP="009779B9">
      <w:pPr>
        <w:pStyle w:val="statymopavad0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Kiti klausimai</w:t>
      </w:r>
    </w:p>
    <w:p w:rsidR="000B272E" w:rsidRPr="00860703" w:rsidRDefault="000B272E" w:rsidP="000F20E3">
      <w:pPr>
        <w:spacing w:line="276" w:lineRule="auto"/>
        <w:jc w:val="both"/>
      </w:pPr>
    </w:p>
    <w:p w:rsidR="00BA6ED4" w:rsidRPr="00860703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DDF" w:rsidRDefault="001F2DDF" w:rsidP="00B4081E">
      <w:r>
        <w:separator/>
      </w:r>
    </w:p>
  </w:endnote>
  <w:endnote w:type="continuationSeparator" w:id="0">
    <w:p w:rsidR="001F2DDF" w:rsidRDefault="001F2DDF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DDF" w:rsidRDefault="001F2DDF" w:rsidP="00B4081E">
      <w:r>
        <w:separator/>
      </w:r>
    </w:p>
  </w:footnote>
  <w:footnote w:type="continuationSeparator" w:id="0">
    <w:p w:rsidR="001F2DDF" w:rsidRDefault="001F2DDF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4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8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2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3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4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5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9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0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0"/>
  </w:num>
  <w:num w:numId="4">
    <w:abstractNumId w:val="1"/>
  </w:num>
  <w:num w:numId="5">
    <w:abstractNumId w:val="14"/>
  </w:num>
  <w:num w:numId="6">
    <w:abstractNumId w:val="8"/>
  </w:num>
  <w:num w:numId="7">
    <w:abstractNumId w:val="25"/>
  </w:num>
  <w:num w:numId="8">
    <w:abstractNumId w:val="10"/>
  </w:num>
  <w:num w:numId="9">
    <w:abstractNumId w:val="22"/>
  </w:num>
  <w:num w:numId="10">
    <w:abstractNumId w:val="28"/>
  </w:num>
  <w:num w:numId="11">
    <w:abstractNumId w:val="31"/>
  </w:num>
  <w:num w:numId="12">
    <w:abstractNumId w:val="7"/>
  </w:num>
  <w:num w:numId="13">
    <w:abstractNumId w:val="4"/>
  </w:num>
  <w:num w:numId="14">
    <w:abstractNumId w:val="33"/>
  </w:num>
  <w:num w:numId="15">
    <w:abstractNumId w:val="9"/>
  </w:num>
  <w:num w:numId="16">
    <w:abstractNumId w:val="36"/>
  </w:num>
  <w:num w:numId="17">
    <w:abstractNumId w:val="18"/>
  </w:num>
  <w:num w:numId="18">
    <w:abstractNumId w:val="12"/>
  </w:num>
  <w:num w:numId="19">
    <w:abstractNumId w:val="24"/>
  </w:num>
  <w:num w:numId="20">
    <w:abstractNumId w:val="11"/>
  </w:num>
  <w:num w:numId="21">
    <w:abstractNumId w:val="6"/>
  </w:num>
  <w:num w:numId="22">
    <w:abstractNumId w:val="35"/>
  </w:num>
  <w:num w:numId="23">
    <w:abstractNumId w:val="30"/>
  </w:num>
  <w:num w:numId="24">
    <w:abstractNumId w:val="26"/>
  </w:num>
  <w:num w:numId="25">
    <w:abstractNumId w:val="21"/>
  </w:num>
  <w:num w:numId="26">
    <w:abstractNumId w:val="2"/>
  </w:num>
  <w:num w:numId="27">
    <w:abstractNumId w:val="34"/>
  </w:num>
  <w:num w:numId="28">
    <w:abstractNumId w:val="27"/>
  </w:num>
  <w:num w:numId="29">
    <w:abstractNumId w:val="32"/>
  </w:num>
  <w:num w:numId="30">
    <w:abstractNumId w:val="15"/>
  </w:num>
  <w:num w:numId="31">
    <w:abstractNumId w:val="38"/>
  </w:num>
  <w:num w:numId="32">
    <w:abstractNumId w:val="3"/>
  </w:num>
  <w:num w:numId="33">
    <w:abstractNumId w:val="23"/>
  </w:num>
  <w:num w:numId="34">
    <w:abstractNumId w:val="29"/>
  </w:num>
  <w:num w:numId="35">
    <w:abstractNumId w:val="16"/>
  </w:num>
  <w:num w:numId="36">
    <w:abstractNumId w:val="19"/>
  </w:num>
  <w:num w:numId="37">
    <w:abstractNumId w:val="37"/>
  </w:num>
  <w:num w:numId="38">
    <w:abstractNumId w:val="17"/>
  </w:num>
  <w:num w:numId="39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4B6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5AA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C8DBF-4C4B-4668-B37B-C4FAEE6E7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1640</Characters>
  <Application>Microsoft Office Word</Application>
  <DocSecurity>4</DocSecurity>
  <Lines>37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2020-06-29T10:49:00Z</cp:lastPrinted>
  <dcterms:created xsi:type="dcterms:W3CDTF">2020-06-29T12:52:00Z</dcterms:created>
  <dcterms:modified xsi:type="dcterms:W3CDTF">2020-06-29T12:52:00Z</dcterms:modified>
</cp:coreProperties>
</file>