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60B064" w14:textId="23F80EED" w:rsidR="00A62CFF" w:rsidRPr="00A62CFF" w:rsidRDefault="00A62CFF" w:rsidP="00A62CFF">
      <w:pPr>
        <w:spacing w:after="0" w:line="240" w:lineRule="auto"/>
        <w:jc w:val="center"/>
        <w:rPr>
          <w:rFonts w:ascii="Times New Roman" w:eastAsia="Times New Roman" w:hAnsi="Times New Roman" w:cs="Times New Roman"/>
          <w:b/>
          <w:sz w:val="24"/>
          <w:szCs w:val="24"/>
          <w:lang w:val="en-US"/>
        </w:rPr>
      </w:pPr>
      <w:r w:rsidRPr="00A62CFF">
        <w:rPr>
          <w:rFonts w:ascii="Times New Roman" w:eastAsia="Times New Roman" w:hAnsi="Times New Roman" w:cs="Times New Roman"/>
          <w:b/>
          <w:bCs/>
          <w:sz w:val="24"/>
          <w:szCs w:val="24"/>
        </w:rPr>
        <w:t>PASIŪLYMA</w:t>
      </w:r>
      <w:r w:rsidR="005C561F">
        <w:rPr>
          <w:rFonts w:ascii="Times New Roman" w:eastAsia="Times New Roman" w:hAnsi="Times New Roman" w:cs="Times New Roman"/>
          <w:b/>
          <w:bCs/>
          <w:sz w:val="24"/>
          <w:szCs w:val="24"/>
        </w:rPr>
        <w:t>S</w:t>
      </w:r>
    </w:p>
    <w:p w14:paraId="315BD441" w14:textId="77777777" w:rsidR="00A62CFF" w:rsidRPr="00A62CFF" w:rsidRDefault="00A62CFF" w:rsidP="00A62CFF">
      <w:pPr>
        <w:spacing w:after="0" w:line="240" w:lineRule="auto"/>
        <w:jc w:val="center"/>
        <w:rPr>
          <w:rFonts w:ascii="Times New Roman" w:eastAsia="Times New Roman" w:hAnsi="Times New Roman" w:cs="Times New Roman"/>
          <w:b/>
          <w:bCs/>
          <w:sz w:val="24"/>
          <w:szCs w:val="24"/>
        </w:rPr>
      </w:pPr>
    </w:p>
    <w:p w14:paraId="2AEA990E" w14:textId="77777777" w:rsidR="00A62CFF" w:rsidRPr="00A62CFF" w:rsidRDefault="00A62CFF" w:rsidP="00002BCE">
      <w:pPr>
        <w:spacing w:after="0" w:line="240" w:lineRule="auto"/>
        <w:ind w:right="246"/>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 xml:space="preserve">DĖL LIETUVOS RESPUBLIKOS </w:t>
      </w:r>
    </w:p>
    <w:p w14:paraId="04FE86F4" w14:textId="3CAE7817" w:rsidR="00A62CFF" w:rsidRPr="00A62CFF" w:rsidRDefault="00A62CFF" w:rsidP="00A62CFF">
      <w:pPr>
        <w:spacing w:after="0" w:line="240"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NEKILNOJAMOJO KULTŪROS PAVELDO APSAUGOS ĮSTATYMO NR. I-733 PAKEITIMO ĮSTATYMO PROJEKTO NR. XIVP-4207</w:t>
      </w:r>
      <w:r w:rsidR="000D2D45">
        <w:rPr>
          <w:rFonts w:ascii="Times New Roman" w:eastAsia="Times New Roman" w:hAnsi="Times New Roman" w:cs="Times New Roman"/>
          <w:b/>
          <w:bCs/>
          <w:sz w:val="24"/>
          <w:szCs w:val="24"/>
        </w:rPr>
        <w:t>(2)</w:t>
      </w:r>
    </w:p>
    <w:p w14:paraId="338C0274" w14:textId="77777777" w:rsidR="00A62CFF" w:rsidRPr="00A62CFF" w:rsidRDefault="00A62CFF" w:rsidP="00A62CFF">
      <w:pPr>
        <w:spacing w:after="0" w:line="240" w:lineRule="auto"/>
        <w:rPr>
          <w:rFonts w:ascii="Times New Roman" w:eastAsia="Times New Roman" w:hAnsi="Times New Roman" w:cs="Times New Roman"/>
          <w:b/>
          <w:bCs/>
          <w:sz w:val="24"/>
          <w:szCs w:val="20"/>
        </w:rPr>
      </w:pPr>
    </w:p>
    <w:p w14:paraId="1D46DE61" w14:textId="74B647CA" w:rsidR="00A62CFF" w:rsidRPr="00A62CFF" w:rsidRDefault="00A62CFF" w:rsidP="00A62CFF">
      <w:pPr>
        <w:spacing w:after="0" w:line="240"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4"/>
          <w:szCs w:val="20"/>
        </w:rPr>
        <w:t>202</w:t>
      </w:r>
      <w:r w:rsidR="00F5103D">
        <w:rPr>
          <w:rFonts w:ascii="Times New Roman" w:eastAsia="Times New Roman" w:hAnsi="Times New Roman" w:cs="Times New Roman"/>
          <w:sz w:val="24"/>
          <w:szCs w:val="20"/>
        </w:rPr>
        <w:t>5</w:t>
      </w:r>
      <w:r w:rsidRPr="00A62CFF">
        <w:rPr>
          <w:rFonts w:ascii="Times New Roman" w:eastAsia="Times New Roman" w:hAnsi="Times New Roman" w:cs="Times New Roman"/>
          <w:sz w:val="24"/>
          <w:szCs w:val="20"/>
        </w:rPr>
        <w:t>-</w:t>
      </w:r>
      <w:r w:rsidR="00F70217">
        <w:rPr>
          <w:rFonts w:ascii="Times New Roman" w:eastAsia="Times New Roman" w:hAnsi="Times New Roman" w:cs="Times New Roman"/>
          <w:sz w:val="24"/>
          <w:szCs w:val="20"/>
        </w:rPr>
        <w:t>0</w:t>
      </w:r>
      <w:r w:rsidR="00A114B7">
        <w:rPr>
          <w:rFonts w:ascii="Times New Roman" w:eastAsia="Times New Roman" w:hAnsi="Times New Roman" w:cs="Times New Roman"/>
          <w:sz w:val="24"/>
          <w:szCs w:val="20"/>
        </w:rPr>
        <w:t>9</w:t>
      </w:r>
      <w:r w:rsidRPr="00A62CFF">
        <w:rPr>
          <w:rFonts w:ascii="Times New Roman" w:eastAsia="Times New Roman" w:hAnsi="Times New Roman" w:cs="Times New Roman"/>
          <w:sz w:val="24"/>
          <w:szCs w:val="20"/>
        </w:rPr>
        <w:t>-</w:t>
      </w:r>
    </w:p>
    <w:p w14:paraId="42CDF898" w14:textId="77777777" w:rsidR="00A62CFF" w:rsidRPr="00A62CFF" w:rsidRDefault="00A62CFF" w:rsidP="00A62CFF">
      <w:pPr>
        <w:spacing w:after="0" w:line="240" w:lineRule="auto"/>
        <w:jc w:val="center"/>
        <w:rPr>
          <w:rFonts w:ascii="Times New Roman" w:eastAsia="Times New Roman" w:hAnsi="Times New Roman" w:cs="Times New Roman"/>
          <w:bCs/>
          <w:sz w:val="24"/>
          <w:szCs w:val="20"/>
        </w:rPr>
      </w:pPr>
      <w:r w:rsidRPr="00A62CFF">
        <w:rPr>
          <w:rFonts w:ascii="Times New Roman" w:eastAsia="Times New Roman" w:hAnsi="Times New Roman" w:cs="Times New Roman"/>
          <w:sz w:val="24"/>
          <w:szCs w:val="20"/>
        </w:rPr>
        <w:t>Vilnius</w:t>
      </w:r>
    </w:p>
    <w:p w14:paraId="72C6B263" w14:textId="77777777" w:rsidR="00A62CFF" w:rsidRPr="00A62CFF" w:rsidRDefault="00A62CFF" w:rsidP="00A62CFF">
      <w:pPr>
        <w:spacing w:after="0" w:line="240" w:lineRule="auto"/>
        <w:jc w:val="both"/>
        <w:rPr>
          <w:rFonts w:ascii="Times New Roman" w:eastAsia="Times New Roman" w:hAnsi="Times New Roman" w:cs="Times New Roman"/>
          <w:sz w:val="24"/>
          <w:szCs w:val="20"/>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62"/>
        <w:gridCol w:w="709"/>
        <w:gridCol w:w="714"/>
        <w:gridCol w:w="7371"/>
      </w:tblGrid>
      <w:tr w:rsidR="00A62CFF" w:rsidRPr="00A62CFF" w14:paraId="7AC1F6FE" w14:textId="77777777" w:rsidTr="00002BCE">
        <w:trPr>
          <w:cantSplit/>
          <w:trHeight w:val="472"/>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4BB671A1" w14:textId="77777777" w:rsidR="00A62CFF" w:rsidRPr="00A62CFF" w:rsidRDefault="00A62CFF" w:rsidP="00A62CFF">
            <w:pPr>
              <w:spacing w:after="0" w:line="276" w:lineRule="auto"/>
              <w:jc w:val="center"/>
              <w:rPr>
                <w:rFonts w:ascii="Times New Roman" w:eastAsia="Times New Roman" w:hAnsi="Times New Roman" w:cs="Times New Roman"/>
              </w:rPr>
            </w:pPr>
            <w:r w:rsidRPr="00A62CFF">
              <w:rPr>
                <w:rFonts w:ascii="Times New Roman" w:eastAsia="Times New Roman" w:hAnsi="Times New Roman" w:cs="Times New Roman"/>
              </w:rPr>
              <w:t>Eil. Nr.</w:t>
            </w:r>
          </w:p>
        </w:tc>
        <w:tc>
          <w:tcPr>
            <w:tcW w:w="1985" w:type="dxa"/>
            <w:gridSpan w:val="3"/>
            <w:tcBorders>
              <w:top w:val="single" w:sz="4" w:space="0" w:color="auto"/>
              <w:left w:val="single" w:sz="4" w:space="0" w:color="auto"/>
              <w:bottom w:val="single" w:sz="4" w:space="0" w:color="auto"/>
              <w:right w:val="single" w:sz="4" w:space="0" w:color="auto"/>
            </w:tcBorders>
            <w:vAlign w:val="center"/>
            <w:hideMark/>
          </w:tcPr>
          <w:p w14:paraId="31321C75" w14:textId="77777777" w:rsidR="00A62CFF" w:rsidRPr="00A62CFF" w:rsidRDefault="00A62CFF" w:rsidP="00A62CFF">
            <w:pPr>
              <w:spacing w:after="0" w:line="276" w:lineRule="auto"/>
              <w:jc w:val="center"/>
              <w:rPr>
                <w:rFonts w:ascii="Times New Roman" w:eastAsia="Times New Roman" w:hAnsi="Times New Roman" w:cs="Times New Roman"/>
                <w:sz w:val="24"/>
                <w:szCs w:val="24"/>
              </w:rPr>
            </w:pPr>
            <w:r w:rsidRPr="00A62CFF">
              <w:rPr>
                <w:rFonts w:ascii="Times New Roman" w:eastAsia="Times New Roman" w:hAnsi="Times New Roman" w:cs="Times New Roman"/>
                <w:sz w:val="24"/>
                <w:szCs w:val="24"/>
              </w:rPr>
              <w:t>Siūloma keisti</w:t>
            </w:r>
          </w:p>
        </w:tc>
        <w:tc>
          <w:tcPr>
            <w:tcW w:w="7371" w:type="dxa"/>
            <w:vMerge w:val="restart"/>
            <w:tcBorders>
              <w:top w:val="single" w:sz="4" w:space="0" w:color="auto"/>
              <w:left w:val="single" w:sz="4" w:space="0" w:color="auto"/>
              <w:bottom w:val="single" w:sz="4" w:space="0" w:color="auto"/>
              <w:right w:val="single" w:sz="4" w:space="0" w:color="auto"/>
            </w:tcBorders>
            <w:vAlign w:val="center"/>
            <w:hideMark/>
          </w:tcPr>
          <w:p w14:paraId="6A7A8EB7" w14:textId="77777777" w:rsidR="00A62CFF" w:rsidRPr="00A62CFF" w:rsidRDefault="00A62CFF" w:rsidP="00A62CFF">
            <w:pPr>
              <w:spacing w:after="0" w:line="276" w:lineRule="auto"/>
              <w:jc w:val="center"/>
              <w:rPr>
                <w:rFonts w:ascii="Times New Roman" w:eastAsia="Times New Roman" w:hAnsi="Times New Roman" w:cs="Times New Roman"/>
                <w:sz w:val="24"/>
                <w:szCs w:val="24"/>
              </w:rPr>
            </w:pPr>
            <w:r w:rsidRPr="00A62CFF">
              <w:rPr>
                <w:rFonts w:ascii="Times New Roman" w:eastAsia="Times New Roman" w:hAnsi="Times New Roman" w:cs="Times New Roman"/>
                <w:sz w:val="24"/>
                <w:szCs w:val="24"/>
              </w:rPr>
              <w:t>Pasiūlymo turinys</w:t>
            </w:r>
          </w:p>
        </w:tc>
      </w:tr>
      <w:tr w:rsidR="00A62CFF" w:rsidRPr="00A62CFF" w14:paraId="33C7622F" w14:textId="77777777" w:rsidTr="00002BCE">
        <w:trPr>
          <w:cantSplit/>
          <w:trHeight w:val="426"/>
        </w:trPr>
        <w:tc>
          <w:tcPr>
            <w:tcW w:w="567" w:type="dxa"/>
            <w:vMerge/>
            <w:tcBorders>
              <w:top w:val="single" w:sz="4" w:space="0" w:color="auto"/>
              <w:left w:val="single" w:sz="4" w:space="0" w:color="auto"/>
              <w:bottom w:val="single" w:sz="4" w:space="0" w:color="auto"/>
              <w:right w:val="single" w:sz="4" w:space="0" w:color="auto"/>
            </w:tcBorders>
            <w:vAlign w:val="center"/>
            <w:hideMark/>
          </w:tcPr>
          <w:p w14:paraId="7E2D596B" w14:textId="77777777" w:rsidR="00A62CFF" w:rsidRPr="00A62CFF" w:rsidRDefault="00A62CFF" w:rsidP="00A62CFF">
            <w:pPr>
              <w:spacing w:after="0" w:line="256" w:lineRule="auto"/>
              <w:rPr>
                <w:rFonts w:ascii="Times New Roman" w:eastAsia="Times New Roman" w:hAnsi="Times New Roman" w:cs="Times New Roman"/>
              </w:rPr>
            </w:pPr>
          </w:p>
        </w:tc>
        <w:tc>
          <w:tcPr>
            <w:tcW w:w="562" w:type="dxa"/>
            <w:tcBorders>
              <w:top w:val="single" w:sz="4" w:space="0" w:color="auto"/>
              <w:left w:val="single" w:sz="4" w:space="0" w:color="auto"/>
              <w:bottom w:val="single" w:sz="4" w:space="0" w:color="auto"/>
              <w:right w:val="single" w:sz="4" w:space="0" w:color="auto"/>
            </w:tcBorders>
            <w:vAlign w:val="center"/>
            <w:hideMark/>
          </w:tcPr>
          <w:p w14:paraId="2CCC547C" w14:textId="77777777"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str.</w:t>
            </w:r>
          </w:p>
        </w:tc>
        <w:tc>
          <w:tcPr>
            <w:tcW w:w="709" w:type="dxa"/>
            <w:tcBorders>
              <w:top w:val="single" w:sz="4" w:space="0" w:color="auto"/>
              <w:left w:val="single" w:sz="4" w:space="0" w:color="auto"/>
              <w:bottom w:val="single" w:sz="4" w:space="0" w:color="auto"/>
              <w:right w:val="single" w:sz="4" w:space="0" w:color="auto"/>
            </w:tcBorders>
            <w:vAlign w:val="center"/>
            <w:hideMark/>
          </w:tcPr>
          <w:p w14:paraId="35D1E134" w14:textId="77777777"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str. d.</w:t>
            </w:r>
          </w:p>
        </w:tc>
        <w:tc>
          <w:tcPr>
            <w:tcW w:w="714" w:type="dxa"/>
            <w:tcBorders>
              <w:top w:val="single" w:sz="4" w:space="0" w:color="auto"/>
              <w:left w:val="single" w:sz="4" w:space="0" w:color="auto"/>
              <w:bottom w:val="single" w:sz="4" w:space="0" w:color="auto"/>
              <w:right w:val="single" w:sz="4" w:space="0" w:color="auto"/>
            </w:tcBorders>
            <w:vAlign w:val="center"/>
            <w:hideMark/>
          </w:tcPr>
          <w:p w14:paraId="4FB95EA8" w14:textId="77777777"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p.</w:t>
            </w:r>
          </w:p>
        </w:tc>
        <w:tc>
          <w:tcPr>
            <w:tcW w:w="7371" w:type="dxa"/>
            <w:vMerge/>
            <w:tcBorders>
              <w:top w:val="single" w:sz="4" w:space="0" w:color="auto"/>
              <w:left w:val="single" w:sz="4" w:space="0" w:color="auto"/>
              <w:bottom w:val="single" w:sz="4" w:space="0" w:color="auto"/>
              <w:right w:val="single" w:sz="4" w:space="0" w:color="auto"/>
            </w:tcBorders>
            <w:vAlign w:val="center"/>
            <w:hideMark/>
          </w:tcPr>
          <w:p w14:paraId="157139E9" w14:textId="77777777" w:rsidR="00A62CFF" w:rsidRPr="00A62CFF" w:rsidRDefault="00A62CFF" w:rsidP="00A62CFF">
            <w:pPr>
              <w:spacing w:after="0" w:line="256" w:lineRule="auto"/>
              <w:rPr>
                <w:rFonts w:ascii="Times New Roman" w:eastAsia="Times New Roman" w:hAnsi="Times New Roman" w:cs="Times New Roman"/>
                <w:sz w:val="24"/>
                <w:szCs w:val="24"/>
              </w:rPr>
            </w:pPr>
          </w:p>
        </w:tc>
      </w:tr>
      <w:tr w:rsidR="00491D48" w:rsidRPr="00A62CFF" w14:paraId="09F8BB69" w14:textId="77777777" w:rsidTr="00002BCE">
        <w:trPr>
          <w:trHeight w:val="416"/>
        </w:trPr>
        <w:tc>
          <w:tcPr>
            <w:tcW w:w="567" w:type="dxa"/>
            <w:tcBorders>
              <w:top w:val="single" w:sz="4" w:space="0" w:color="auto"/>
              <w:left w:val="single" w:sz="4" w:space="0" w:color="auto"/>
              <w:bottom w:val="single" w:sz="4" w:space="0" w:color="auto"/>
              <w:right w:val="single" w:sz="4" w:space="0" w:color="auto"/>
            </w:tcBorders>
          </w:tcPr>
          <w:p w14:paraId="7DADF3D3" w14:textId="17796567" w:rsidR="00491D48" w:rsidRPr="00B447EE" w:rsidRDefault="006B5469" w:rsidP="00491D48">
            <w:pPr>
              <w:spacing w:after="0" w:line="276" w:lineRule="auto"/>
              <w:jc w:val="center"/>
              <w:rPr>
                <w:rFonts w:ascii="Times New Roman" w:eastAsia="Times New Roman" w:hAnsi="Times New Roman" w:cs="Times New Roman"/>
                <w:bCs/>
                <w:color w:val="000000" w:themeColor="text1"/>
              </w:rPr>
            </w:pPr>
            <w:r w:rsidRPr="00B447EE">
              <w:rPr>
                <w:rFonts w:ascii="Times New Roman" w:eastAsia="Times New Roman" w:hAnsi="Times New Roman" w:cs="Times New Roman"/>
                <w:bCs/>
                <w:color w:val="000000" w:themeColor="text1"/>
              </w:rPr>
              <w:t>2</w:t>
            </w:r>
            <w:r w:rsidR="00491D48" w:rsidRPr="00B447EE">
              <w:rPr>
                <w:rFonts w:ascii="Times New Roman" w:eastAsia="Times New Roman" w:hAnsi="Times New Roman" w:cs="Times New Roman"/>
                <w:bCs/>
                <w:color w:val="000000" w:themeColor="text1"/>
              </w:rPr>
              <w:t>.</w:t>
            </w:r>
          </w:p>
        </w:tc>
        <w:tc>
          <w:tcPr>
            <w:tcW w:w="562" w:type="dxa"/>
            <w:tcBorders>
              <w:top w:val="single" w:sz="4" w:space="0" w:color="auto"/>
              <w:left w:val="single" w:sz="4" w:space="0" w:color="auto"/>
              <w:bottom w:val="single" w:sz="4" w:space="0" w:color="auto"/>
              <w:right w:val="single" w:sz="4" w:space="0" w:color="auto"/>
            </w:tcBorders>
          </w:tcPr>
          <w:p w14:paraId="156FD96C" w14:textId="0CEDAD19" w:rsidR="00491D48" w:rsidRPr="00B447EE" w:rsidRDefault="00491D48" w:rsidP="00491D48">
            <w:pPr>
              <w:spacing w:after="0" w:line="276" w:lineRule="auto"/>
              <w:ind w:left="-132" w:right="-138"/>
              <w:jc w:val="center"/>
              <w:rPr>
                <w:rFonts w:ascii="Times New Roman" w:eastAsia="Times New Roman" w:hAnsi="Times New Roman" w:cs="Times New Roman"/>
                <w:b/>
                <w:bCs/>
                <w:color w:val="000000" w:themeColor="text1"/>
              </w:rPr>
            </w:pPr>
            <w:r w:rsidRPr="00B447EE">
              <w:rPr>
                <w:rFonts w:ascii="Times New Roman" w:eastAsia="Times New Roman" w:hAnsi="Times New Roman" w:cs="Times New Roman"/>
                <w:b/>
                <w:bCs/>
                <w:color w:val="000000" w:themeColor="text1"/>
              </w:rPr>
              <w:t>(16)</w:t>
            </w:r>
          </w:p>
        </w:tc>
        <w:tc>
          <w:tcPr>
            <w:tcW w:w="709" w:type="dxa"/>
            <w:tcBorders>
              <w:top w:val="single" w:sz="4" w:space="0" w:color="auto"/>
              <w:left w:val="single" w:sz="4" w:space="0" w:color="auto"/>
              <w:bottom w:val="single" w:sz="4" w:space="0" w:color="auto"/>
              <w:right w:val="single" w:sz="4" w:space="0" w:color="auto"/>
            </w:tcBorders>
          </w:tcPr>
          <w:p w14:paraId="7EF4B54F" w14:textId="32034DE7" w:rsidR="00491D48" w:rsidRPr="00B447EE" w:rsidRDefault="00491D48" w:rsidP="00491D48">
            <w:pPr>
              <w:spacing w:after="0" w:line="276" w:lineRule="auto"/>
              <w:jc w:val="center"/>
              <w:rPr>
                <w:rFonts w:ascii="Times New Roman" w:eastAsia="Times New Roman" w:hAnsi="Times New Roman" w:cs="Times New Roman"/>
                <w:b/>
                <w:bCs/>
                <w:color w:val="000000" w:themeColor="text1"/>
              </w:rPr>
            </w:pPr>
            <w:r w:rsidRPr="00B447EE">
              <w:rPr>
                <w:rFonts w:ascii="Times New Roman" w:eastAsia="Times New Roman" w:hAnsi="Times New Roman" w:cs="Times New Roman"/>
                <w:b/>
                <w:bCs/>
                <w:color w:val="000000" w:themeColor="text1"/>
              </w:rPr>
              <w:t>(1)</w:t>
            </w:r>
          </w:p>
        </w:tc>
        <w:tc>
          <w:tcPr>
            <w:tcW w:w="714" w:type="dxa"/>
            <w:tcBorders>
              <w:top w:val="single" w:sz="4" w:space="0" w:color="auto"/>
              <w:left w:val="single" w:sz="4" w:space="0" w:color="auto"/>
              <w:bottom w:val="single" w:sz="4" w:space="0" w:color="auto"/>
              <w:right w:val="single" w:sz="4" w:space="0" w:color="auto"/>
            </w:tcBorders>
          </w:tcPr>
          <w:p w14:paraId="0CDC96EE" w14:textId="77777777" w:rsidR="00491D48" w:rsidRPr="00B447EE" w:rsidRDefault="00491D48" w:rsidP="00491D48">
            <w:pPr>
              <w:spacing w:after="0" w:line="276" w:lineRule="auto"/>
              <w:ind w:left="-101" w:right="-104"/>
              <w:jc w:val="center"/>
              <w:rPr>
                <w:rFonts w:ascii="Times New Roman" w:eastAsia="Times New Roman" w:hAnsi="Times New Roman" w:cs="Times New Roman"/>
                <w:b/>
                <w:bCs/>
                <w:color w:val="000000" w:themeColor="text1"/>
              </w:rPr>
            </w:pPr>
          </w:p>
        </w:tc>
        <w:tc>
          <w:tcPr>
            <w:tcW w:w="7371" w:type="dxa"/>
            <w:tcBorders>
              <w:top w:val="single" w:sz="4" w:space="0" w:color="auto"/>
              <w:left w:val="single" w:sz="4" w:space="0" w:color="auto"/>
              <w:bottom w:val="single" w:sz="4" w:space="0" w:color="auto"/>
              <w:right w:val="single" w:sz="4" w:space="0" w:color="auto"/>
            </w:tcBorders>
          </w:tcPr>
          <w:p w14:paraId="33901089" w14:textId="5258A916" w:rsidR="00491D48" w:rsidRPr="00B447EE" w:rsidRDefault="00491D48" w:rsidP="00491D48">
            <w:pPr>
              <w:pStyle w:val="Betarp"/>
              <w:rPr>
                <w:rFonts w:ascii="Times New Roman" w:hAnsi="Times New Roman" w:cs="Times New Roman"/>
                <w:b/>
                <w:bCs/>
                <w:color w:val="000000" w:themeColor="text1"/>
              </w:rPr>
            </w:pPr>
            <w:r w:rsidRPr="00B447EE">
              <w:rPr>
                <w:rFonts w:ascii="Times New Roman" w:hAnsi="Times New Roman" w:cs="Times New Roman"/>
                <w:b/>
                <w:bCs/>
                <w:color w:val="000000" w:themeColor="text1"/>
              </w:rPr>
              <w:t>Argumentai:</w:t>
            </w:r>
          </w:p>
          <w:p w14:paraId="0970F8FA" w14:textId="4459CE31" w:rsidR="00491D48" w:rsidRPr="00B447EE" w:rsidRDefault="00C9001A" w:rsidP="000708FD">
            <w:pPr>
              <w:pStyle w:val="Betarp"/>
              <w:jc w:val="both"/>
              <w:rPr>
                <w:rFonts w:ascii="Times New Roman" w:hAnsi="Times New Roman" w:cs="Times New Roman"/>
                <w:color w:val="000000" w:themeColor="text1"/>
              </w:rPr>
            </w:pPr>
            <w:r w:rsidRPr="00B447EE">
              <w:rPr>
                <w:rFonts w:ascii="Times New Roman" w:hAnsi="Times New Roman" w:cs="Times New Roman"/>
                <w:color w:val="000000" w:themeColor="text1"/>
              </w:rPr>
              <w:t xml:space="preserve">1. </w:t>
            </w:r>
            <w:r w:rsidR="000708FD" w:rsidRPr="00B447EE">
              <w:rPr>
                <w:rFonts w:ascii="Times New Roman" w:hAnsi="Times New Roman" w:cs="Times New Roman"/>
                <w:color w:val="000000" w:themeColor="text1"/>
              </w:rPr>
              <w:t xml:space="preserve">Pagal Projekto 16 straipsnio 1 dalį už kultūros paveldo apsaugą atsakinga institucija, priėmusi sprendimą pradėti potencialios nekilnojamosios kultūros vertybės atskleidimo ir vertinimo procedūras (nuo dokumentų rengimo pradžios), nurodytas šio įstatymo 14 straipsnyje, turi su jomis supažindinti visus asmenis, kurių daiktinės teisės į nekilnojamuosius daiktus tokios galimos nekilnojamosios kultūros vertybės teritorijos ribose ir (ar) galimos apsaugos zonoje yra registruotos Nekilnojamojo turto registro informacinėje sistemoje, ir informuoti juos raštu (elektroninių ryšių priemonėmis ar registruotąja pašto siunta) per 15 darbo dienų nuo sprendimo priėmimo dienos apie pradėtas potencialios nekilnojamosios kultūros vertybės atskleidimo ir vertinimo procedūras, numatomą šių procedūrų užbaigimo laiką ir galimą iki 6 mėnesių trukmės statybos darbų ir (ar) žemės darbų vykdymo apribojimų ar draudimų termino pradžią. </w:t>
            </w:r>
          </w:p>
          <w:p w14:paraId="2C76572B" w14:textId="77777777" w:rsidR="000708FD" w:rsidRPr="00B447EE" w:rsidRDefault="000708FD" w:rsidP="00491D48">
            <w:pPr>
              <w:pStyle w:val="Betarp"/>
              <w:rPr>
                <w:rFonts w:ascii="Times New Roman" w:hAnsi="Times New Roman" w:cs="Times New Roman"/>
                <w:color w:val="000000" w:themeColor="text1"/>
              </w:rPr>
            </w:pPr>
          </w:p>
          <w:p w14:paraId="19AD7803" w14:textId="53F852FD" w:rsidR="00C9001A" w:rsidRDefault="000708FD" w:rsidP="000708FD">
            <w:pPr>
              <w:pStyle w:val="Betarp"/>
              <w:jc w:val="both"/>
              <w:rPr>
                <w:rFonts w:ascii="Times New Roman" w:hAnsi="Times New Roman" w:cs="Times New Roman"/>
                <w:color w:val="000000" w:themeColor="text1"/>
              </w:rPr>
            </w:pPr>
            <w:r w:rsidRPr="00B447EE">
              <w:rPr>
                <w:rFonts w:ascii="Times New Roman" w:hAnsi="Times New Roman" w:cs="Times New Roman"/>
                <w:color w:val="000000" w:themeColor="text1"/>
              </w:rPr>
              <w:t>Projekt</w:t>
            </w:r>
            <w:r w:rsidR="007B06A7" w:rsidRPr="00B447EE">
              <w:rPr>
                <w:rFonts w:ascii="Times New Roman" w:hAnsi="Times New Roman" w:cs="Times New Roman"/>
                <w:color w:val="000000" w:themeColor="text1"/>
              </w:rPr>
              <w:t>e</w:t>
            </w:r>
            <w:r w:rsidRPr="00B447EE">
              <w:rPr>
                <w:rFonts w:ascii="Times New Roman" w:hAnsi="Times New Roman" w:cs="Times New Roman"/>
                <w:color w:val="000000" w:themeColor="text1"/>
              </w:rPr>
              <w:t xml:space="preserve"> numatytas tik individualus kiekvieno asmens informavimas raštu, neatsižvelgiant į tai, kad</w:t>
            </w:r>
            <w:r w:rsidR="00D30BCC">
              <w:rPr>
                <w:rFonts w:ascii="Times New Roman" w:hAnsi="Times New Roman" w:cs="Times New Roman"/>
                <w:color w:val="000000" w:themeColor="text1"/>
              </w:rPr>
              <w:t xml:space="preserve"> didelė</w:t>
            </w:r>
            <w:r w:rsidRPr="00B447EE">
              <w:rPr>
                <w:rFonts w:ascii="Times New Roman" w:hAnsi="Times New Roman" w:cs="Times New Roman"/>
                <w:color w:val="000000" w:themeColor="text1"/>
              </w:rPr>
              <w:t xml:space="preserve"> dalis asmenų  gyvena daugiabučiuose ir juos būtų galima informuoti per </w:t>
            </w:r>
            <w:r w:rsidR="00E922CD">
              <w:rPr>
                <w:rFonts w:ascii="Times New Roman" w:hAnsi="Times New Roman" w:cs="Times New Roman"/>
                <w:color w:val="000000" w:themeColor="text1"/>
              </w:rPr>
              <w:t>daugiabučio namo butų ir kitų patalpų savininkų bendriją</w:t>
            </w:r>
            <w:r w:rsidR="00E922CD" w:rsidRPr="00B447EE">
              <w:rPr>
                <w:rFonts w:ascii="Times New Roman" w:hAnsi="Times New Roman" w:cs="Times New Roman"/>
                <w:color w:val="000000" w:themeColor="text1"/>
              </w:rPr>
              <w:t xml:space="preserve"> </w:t>
            </w:r>
            <w:r w:rsidRPr="00B447EE">
              <w:rPr>
                <w:rFonts w:ascii="Times New Roman" w:hAnsi="Times New Roman" w:cs="Times New Roman"/>
                <w:color w:val="000000" w:themeColor="text1"/>
              </w:rPr>
              <w:t xml:space="preserve">ar </w:t>
            </w:r>
            <w:r w:rsidR="00B447EE">
              <w:rPr>
                <w:rFonts w:ascii="Times New Roman" w:hAnsi="Times New Roman" w:cs="Times New Roman"/>
                <w:color w:val="000000" w:themeColor="text1"/>
              </w:rPr>
              <w:t xml:space="preserve">kitą </w:t>
            </w:r>
            <w:r w:rsidRPr="00B447EE">
              <w:rPr>
                <w:rFonts w:ascii="Times New Roman" w:hAnsi="Times New Roman" w:cs="Times New Roman"/>
                <w:color w:val="000000" w:themeColor="text1"/>
              </w:rPr>
              <w:t>bendrojo naudojimo objektų valdytoją</w:t>
            </w:r>
            <w:r w:rsidR="00B447EE">
              <w:rPr>
                <w:rFonts w:ascii="Times New Roman" w:hAnsi="Times New Roman" w:cs="Times New Roman"/>
                <w:color w:val="000000" w:themeColor="text1"/>
              </w:rPr>
              <w:t xml:space="preserve"> (administratorių, jungtinės veiklos sutarties įgaliotinį)</w:t>
            </w:r>
            <w:r w:rsidRPr="00B447EE">
              <w:rPr>
                <w:rFonts w:ascii="Times New Roman" w:hAnsi="Times New Roman" w:cs="Times New Roman"/>
                <w:color w:val="000000" w:themeColor="text1"/>
              </w:rPr>
              <w:t>.</w:t>
            </w:r>
            <w:r w:rsidR="00B447EE" w:rsidRPr="00B447EE">
              <w:rPr>
                <w:rFonts w:ascii="Times New Roman" w:hAnsi="Times New Roman" w:cs="Times New Roman"/>
                <w:color w:val="000000" w:themeColor="text1"/>
              </w:rPr>
              <w:t xml:space="preserve"> </w:t>
            </w:r>
            <w:r w:rsidR="00B447EE">
              <w:rPr>
                <w:rFonts w:ascii="Times New Roman" w:hAnsi="Times New Roman" w:cs="Times New Roman"/>
                <w:color w:val="000000" w:themeColor="text1"/>
              </w:rPr>
              <w:t>Taip neišnaudojamos galimybės</w:t>
            </w:r>
            <w:r w:rsidR="00D30BCC">
              <w:rPr>
                <w:rFonts w:ascii="Times New Roman" w:hAnsi="Times New Roman" w:cs="Times New Roman"/>
                <w:color w:val="000000" w:themeColor="text1"/>
              </w:rPr>
              <w:t xml:space="preserve"> optimaliu</w:t>
            </w:r>
            <w:r w:rsidR="00B447EE">
              <w:rPr>
                <w:rFonts w:ascii="Times New Roman" w:hAnsi="Times New Roman" w:cs="Times New Roman"/>
                <w:color w:val="000000" w:themeColor="text1"/>
              </w:rPr>
              <w:t xml:space="preserve"> būdu pateikti informaciją turto savininkams, kuriuos jį pasiektų per praktikoje įprastus greitus informacijos sklaidos formatus (socialinių tinklų grupes, vidines el. pašto adresatų grupes, skelbimų lentas ir kit</w:t>
            </w:r>
            <w:r w:rsidR="00D30BCC">
              <w:rPr>
                <w:rFonts w:ascii="Times New Roman" w:hAnsi="Times New Roman" w:cs="Times New Roman"/>
                <w:color w:val="000000" w:themeColor="text1"/>
              </w:rPr>
              <w:t>us šios grupės numatytus informacijos sklaidos būdus</w:t>
            </w:r>
            <w:r w:rsidR="00B447EE">
              <w:rPr>
                <w:rFonts w:ascii="Times New Roman" w:hAnsi="Times New Roman" w:cs="Times New Roman"/>
                <w:color w:val="000000" w:themeColor="text1"/>
              </w:rPr>
              <w:t>).</w:t>
            </w:r>
          </w:p>
          <w:p w14:paraId="49DCC369" w14:textId="77777777" w:rsidR="00163764" w:rsidRDefault="00163764" w:rsidP="000708FD">
            <w:pPr>
              <w:pStyle w:val="Betarp"/>
              <w:jc w:val="both"/>
              <w:rPr>
                <w:rFonts w:ascii="Times New Roman" w:hAnsi="Times New Roman" w:cs="Times New Roman"/>
                <w:color w:val="000000" w:themeColor="text1"/>
              </w:rPr>
            </w:pPr>
          </w:p>
          <w:p w14:paraId="7E463A1B" w14:textId="3C1399D2" w:rsidR="00163764" w:rsidRDefault="00163764" w:rsidP="000708FD">
            <w:pPr>
              <w:pStyle w:val="Betarp"/>
              <w:jc w:val="both"/>
              <w:rPr>
                <w:rFonts w:ascii="Times New Roman" w:hAnsi="Times New Roman" w:cs="Times New Roman"/>
                <w:color w:val="000000" w:themeColor="text1"/>
              </w:rPr>
            </w:pPr>
            <w:r>
              <w:rPr>
                <w:rFonts w:ascii="Times New Roman" w:hAnsi="Times New Roman" w:cs="Times New Roman"/>
                <w:color w:val="000000" w:themeColor="text1"/>
              </w:rPr>
              <w:t xml:space="preserve">Pažymėtina, kad Lietuvos Respublikos Seimas 2025 m. gegužės 15 d. priėmė </w:t>
            </w:r>
            <w:r w:rsidRPr="00E922CD">
              <w:rPr>
                <w:rFonts w:ascii="Times New Roman" w:hAnsi="Times New Roman" w:cs="Times New Roman"/>
                <w:color w:val="000000" w:themeColor="text1"/>
              </w:rPr>
              <w:t>Lietuvos Respublikos specialiųjų žemės naudojimo sąlygų įstatym</w:t>
            </w:r>
            <w:r>
              <w:rPr>
                <w:rFonts w:ascii="Times New Roman" w:hAnsi="Times New Roman" w:cs="Times New Roman"/>
                <w:color w:val="000000" w:themeColor="text1"/>
              </w:rPr>
              <w:t>o</w:t>
            </w:r>
            <w:r w:rsidRPr="00E922CD">
              <w:rPr>
                <w:rFonts w:ascii="Times New Roman" w:hAnsi="Times New Roman" w:cs="Times New Roman"/>
                <w:color w:val="000000" w:themeColor="text1"/>
              </w:rPr>
              <w:t xml:space="preserve"> Nr. XIII-2166 2, 6, 7, 8, 9, 11, 16, 20, 21, 22, 24, 25, 28, 31, 35, 36, 37, 40, 41, 42, 43, 46, 47, 48, 49, 53, 60, 65, 66, 67, 69, 73, 74, 75, 79, 80, 84, 86, 88, 98, 99, 100, 104, 106, 108, 110, 124, 134, 139, 141 straipsnių, III skyriaus aštuntojo skirsnio, V skyriaus šeštojo skirsnio pavadinimų ir Įstatymo 2 priedo pakeitimo įstatym</w:t>
            </w:r>
            <w:r>
              <w:rPr>
                <w:rFonts w:ascii="Times New Roman" w:hAnsi="Times New Roman" w:cs="Times New Roman"/>
                <w:color w:val="000000" w:themeColor="text1"/>
              </w:rPr>
              <w:t xml:space="preserve">ą </w:t>
            </w:r>
            <w:r w:rsidRPr="00163764">
              <w:rPr>
                <w:rFonts w:ascii="Times New Roman" w:hAnsi="Times New Roman" w:cs="Times New Roman"/>
                <w:color w:val="000000" w:themeColor="text1"/>
              </w:rPr>
              <w:t>Nr. XV-199</w:t>
            </w:r>
            <w:r>
              <w:rPr>
                <w:rFonts w:ascii="Times New Roman" w:hAnsi="Times New Roman" w:cs="Times New Roman"/>
                <w:color w:val="000000" w:themeColor="text1"/>
              </w:rPr>
              <w:t>, kuriuo pakeisto 11 straipsnio 2 dalimi nustatė reguliavimą, kuris iš esmės analogiškose situacijose numato mechanizmą daugiabučio gyvenamojo pastato savininkus informuoti per bendrojo naudojimo objektų valdytoją (daugiabučio namo butų ir kitų patalpų savininkų bendriją, administratorių ar jungtinės veiklos sutartimi įgaliotą asmenį). Siūlytina analogiškas nuostatas numatyti ir šiame įstatymo projekte.</w:t>
            </w:r>
          </w:p>
          <w:p w14:paraId="34122697" w14:textId="77777777" w:rsidR="00B447EE" w:rsidRPr="00B447EE" w:rsidRDefault="00B447EE" w:rsidP="000708FD">
            <w:pPr>
              <w:pStyle w:val="Betarp"/>
              <w:jc w:val="both"/>
              <w:rPr>
                <w:rFonts w:ascii="Times New Roman" w:hAnsi="Times New Roman" w:cs="Times New Roman"/>
                <w:color w:val="000000" w:themeColor="text1"/>
              </w:rPr>
            </w:pPr>
          </w:p>
          <w:p w14:paraId="27D6B5A4" w14:textId="0C76E9DC" w:rsidR="00C9001A" w:rsidRPr="00B447EE" w:rsidRDefault="00C9001A" w:rsidP="000708FD">
            <w:pPr>
              <w:pStyle w:val="Betarp"/>
              <w:jc w:val="both"/>
              <w:rPr>
                <w:rFonts w:ascii="Times New Roman" w:hAnsi="Times New Roman" w:cs="Times New Roman"/>
                <w:color w:val="000000" w:themeColor="text1"/>
              </w:rPr>
            </w:pPr>
            <w:r w:rsidRPr="00B447EE">
              <w:rPr>
                <w:rFonts w:ascii="Times New Roman" w:hAnsi="Times New Roman" w:cs="Times New Roman"/>
                <w:color w:val="000000" w:themeColor="text1"/>
              </w:rPr>
              <w:t>2. Pagal Projekto 16 straipsnio 2 dalį jeigu potencialioje nekilnojamojoje kultūros vertybėje, dėl kurios pradėtos atskleidimo ir vertinimo procedūros, yra daiktinės teisės objektų, į kuriuos Nekilnojamojo turto registro informacinėje sistemoje registruotas daiktines teises turi daugiau negu 100 asmenų, informavimas apie atskleidimo ir vertinimo procedūras atliekamas skelbiant už kultūros paveldo apsaugą atsakingos institucijos ir savivaldybės (-ių), kurios (-ių) teritorijoje yra minimas objektas ar vietovė, interneto svetainėse.</w:t>
            </w:r>
          </w:p>
          <w:p w14:paraId="2F76A833" w14:textId="77777777" w:rsidR="00C9001A" w:rsidRPr="00B447EE" w:rsidRDefault="00C9001A" w:rsidP="000708FD">
            <w:pPr>
              <w:pStyle w:val="Betarp"/>
              <w:jc w:val="both"/>
              <w:rPr>
                <w:rFonts w:ascii="Times New Roman" w:hAnsi="Times New Roman" w:cs="Times New Roman"/>
                <w:color w:val="000000" w:themeColor="text1"/>
              </w:rPr>
            </w:pPr>
          </w:p>
          <w:p w14:paraId="2E7623BB" w14:textId="293E6095" w:rsidR="00C9001A" w:rsidRDefault="00C9001A" w:rsidP="000708FD">
            <w:pPr>
              <w:pStyle w:val="Betarp"/>
              <w:jc w:val="both"/>
              <w:rPr>
                <w:rFonts w:ascii="Times New Roman" w:hAnsi="Times New Roman" w:cs="Times New Roman"/>
                <w:color w:val="000000" w:themeColor="text1"/>
              </w:rPr>
            </w:pPr>
            <w:r w:rsidRPr="00B447EE">
              <w:rPr>
                <w:rFonts w:ascii="Times New Roman" w:hAnsi="Times New Roman" w:cs="Times New Roman"/>
                <w:color w:val="000000" w:themeColor="text1"/>
              </w:rPr>
              <w:t xml:space="preserve">Taigi iš </w:t>
            </w:r>
            <w:r w:rsidR="00175782" w:rsidRPr="00B447EE">
              <w:rPr>
                <w:rFonts w:ascii="Times New Roman" w:hAnsi="Times New Roman" w:cs="Times New Roman"/>
                <w:color w:val="000000" w:themeColor="text1"/>
              </w:rPr>
              <w:t xml:space="preserve">Projekto 16 straipsnio 2 dalies </w:t>
            </w:r>
            <w:r w:rsidRPr="00B447EE">
              <w:rPr>
                <w:rFonts w:ascii="Times New Roman" w:hAnsi="Times New Roman" w:cs="Times New Roman"/>
                <w:color w:val="000000" w:themeColor="text1"/>
              </w:rPr>
              <w:t xml:space="preserve">nuostatos nėra pakankamai aišku, </w:t>
            </w:r>
            <w:r w:rsidR="00175782" w:rsidRPr="00B447EE">
              <w:rPr>
                <w:rFonts w:ascii="Times New Roman" w:hAnsi="Times New Roman" w:cs="Times New Roman"/>
                <w:color w:val="000000" w:themeColor="text1"/>
              </w:rPr>
              <w:t xml:space="preserve">kad </w:t>
            </w:r>
            <w:r w:rsidRPr="00B447EE">
              <w:rPr>
                <w:rFonts w:ascii="Times New Roman" w:hAnsi="Times New Roman" w:cs="Times New Roman"/>
                <w:color w:val="000000" w:themeColor="text1"/>
              </w:rPr>
              <w:t xml:space="preserve">šiuo atveju </w:t>
            </w:r>
            <w:r w:rsidR="00175782" w:rsidRPr="00B447EE">
              <w:rPr>
                <w:rFonts w:ascii="Times New Roman" w:hAnsi="Times New Roman" w:cs="Times New Roman"/>
                <w:color w:val="000000" w:themeColor="text1"/>
              </w:rPr>
              <w:t>ne</w:t>
            </w:r>
            <w:r w:rsidRPr="00B447EE">
              <w:rPr>
                <w:rFonts w:ascii="Times New Roman" w:hAnsi="Times New Roman" w:cs="Times New Roman"/>
                <w:color w:val="000000" w:themeColor="text1"/>
              </w:rPr>
              <w:t xml:space="preserve">reikės taikyti </w:t>
            </w:r>
            <w:r w:rsidR="00175782" w:rsidRPr="00B447EE">
              <w:rPr>
                <w:rFonts w:ascii="Times New Roman" w:hAnsi="Times New Roman" w:cs="Times New Roman"/>
                <w:color w:val="000000" w:themeColor="text1"/>
              </w:rPr>
              <w:t xml:space="preserve">ir </w:t>
            </w:r>
            <w:r w:rsidRPr="00B447EE">
              <w:rPr>
                <w:rFonts w:ascii="Times New Roman" w:hAnsi="Times New Roman" w:cs="Times New Roman"/>
                <w:color w:val="000000" w:themeColor="text1"/>
              </w:rPr>
              <w:t xml:space="preserve">Projekto </w:t>
            </w:r>
            <w:r w:rsidR="00175782" w:rsidRPr="00B447EE">
              <w:rPr>
                <w:rFonts w:ascii="Times New Roman" w:hAnsi="Times New Roman" w:cs="Times New Roman"/>
                <w:color w:val="000000" w:themeColor="text1"/>
              </w:rPr>
              <w:t>16 straipsnio 1 dalyje numatyto</w:t>
            </w:r>
            <w:r w:rsidR="00B8453D" w:rsidRPr="00B447EE">
              <w:rPr>
                <w:rFonts w:ascii="Times New Roman" w:hAnsi="Times New Roman" w:cs="Times New Roman"/>
                <w:color w:val="000000" w:themeColor="text1"/>
              </w:rPr>
              <w:t xml:space="preserve"> </w:t>
            </w:r>
            <w:r w:rsidR="00175782" w:rsidRPr="00B447EE">
              <w:rPr>
                <w:rFonts w:ascii="Times New Roman" w:hAnsi="Times New Roman" w:cs="Times New Roman"/>
                <w:color w:val="000000" w:themeColor="text1"/>
              </w:rPr>
              <w:t xml:space="preserve">visų asmenų individualaus informavimo raštu (elektroninių ryšių priemonėmis ar registruotąja pašto siunta), kuris </w:t>
            </w:r>
            <w:r w:rsidR="00B8453D" w:rsidRPr="00B447EE">
              <w:rPr>
                <w:rFonts w:ascii="Times New Roman" w:hAnsi="Times New Roman" w:cs="Times New Roman"/>
                <w:color w:val="000000" w:themeColor="text1"/>
              </w:rPr>
              <w:t xml:space="preserve">žymiai </w:t>
            </w:r>
            <w:r w:rsidR="007C6468" w:rsidRPr="00B447EE">
              <w:rPr>
                <w:rFonts w:ascii="Times New Roman" w:hAnsi="Times New Roman" w:cs="Times New Roman"/>
                <w:color w:val="000000" w:themeColor="text1"/>
              </w:rPr>
              <w:t>pa</w:t>
            </w:r>
            <w:r w:rsidR="00175782" w:rsidRPr="00B447EE">
              <w:rPr>
                <w:rFonts w:ascii="Times New Roman" w:hAnsi="Times New Roman" w:cs="Times New Roman"/>
                <w:color w:val="000000" w:themeColor="text1"/>
              </w:rPr>
              <w:t xml:space="preserve">ilgintų informavimo procedūras ir </w:t>
            </w:r>
            <w:r w:rsidR="00DD3117" w:rsidRPr="00B447EE">
              <w:rPr>
                <w:rFonts w:ascii="Times New Roman" w:hAnsi="Times New Roman" w:cs="Times New Roman"/>
                <w:color w:val="000000" w:themeColor="text1"/>
              </w:rPr>
              <w:t>pa</w:t>
            </w:r>
            <w:r w:rsidR="00175782" w:rsidRPr="00B447EE">
              <w:rPr>
                <w:rFonts w:ascii="Times New Roman" w:hAnsi="Times New Roman" w:cs="Times New Roman"/>
                <w:color w:val="000000" w:themeColor="text1"/>
              </w:rPr>
              <w:t>didintų jų kaštus.</w:t>
            </w:r>
          </w:p>
          <w:p w14:paraId="124F46A0" w14:textId="77777777" w:rsidR="00E922CD" w:rsidRDefault="00E922CD" w:rsidP="000708FD">
            <w:pPr>
              <w:pStyle w:val="Betarp"/>
              <w:jc w:val="both"/>
              <w:rPr>
                <w:rFonts w:ascii="Times New Roman" w:hAnsi="Times New Roman" w:cs="Times New Roman"/>
                <w:color w:val="000000" w:themeColor="text1"/>
              </w:rPr>
            </w:pPr>
          </w:p>
          <w:p w14:paraId="0899C8CC" w14:textId="77777777" w:rsidR="000708FD" w:rsidRPr="00B447EE" w:rsidRDefault="000708FD" w:rsidP="00491D48">
            <w:pPr>
              <w:pStyle w:val="Betarp"/>
              <w:rPr>
                <w:rFonts w:ascii="Times New Roman" w:hAnsi="Times New Roman" w:cs="Times New Roman"/>
                <w:b/>
                <w:bCs/>
                <w:color w:val="000000" w:themeColor="text1"/>
                <w:sz w:val="24"/>
                <w:szCs w:val="24"/>
              </w:rPr>
            </w:pPr>
          </w:p>
          <w:p w14:paraId="322DA23F" w14:textId="59BB96FE" w:rsidR="00491D48" w:rsidRPr="00B447EE" w:rsidRDefault="00491D48" w:rsidP="00491D48">
            <w:pPr>
              <w:pStyle w:val="Betarp"/>
              <w:rPr>
                <w:rFonts w:ascii="Times New Roman" w:hAnsi="Times New Roman" w:cs="Times New Roman"/>
                <w:color w:val="000000" w:themeColor="text1"/>
                <w:sz w:val="24"/>
                <w:szCs w:val="24"/>
              </w:rPr>
            </w:pPr>
            <w:r w:rsidRPr="00B447EE">
              <w:rPr>
                <w:rFonts w:ascii="Times New Roman" w:hAnsi="Times New Roman" w:cs="Times New Roman"/>
                <w:b/>
                <w:bCs/>
                <w:color w:val="000000" w:themeColor="text1"/>
                <w:sz w:val="24"/>
                <w:szCs w:val="24"/>
              </w:rPr>
              <w:t>Pasiūlyma</w:t>
            </w:r>
            <w:r w:rsidR="00175782" w:rsidRPr="00B447EE">
              <w:rPr>
                <w:rFonts w:ascii="Times New Roman" w:hAnsi="Times New Roman" w:cs="Times New Roman"/>
                <w:b/>
                <w:bCs/>
                <w:color w:val="000000" w:themeColor="text1"/>
                <w:sz w:val="24"/>
                <w:szCs w:val="24"/>
              </w:rPr>
              <w:t>i</w:t>
            </w:r>
            <w:r w:rsidRPr="00B447EE">
              <w:rPr>
                <w:rFonts w:ascii="Times New Roman" w:hAnsi="Times New Roman" w:cs="Times New Roman"/>
                <w:color w:val="000000" w:themeColor="text1"/>
                <w:sz w:val="24"/>
                <w:szCs w:val="24"/>
              </w:rPr>
              <w:t>:</w:t>
            </w:r>
          </w:p>
          <w:p w14:paraId="185B729E" w14:textId="120F3A51" w:rsidR="000708FD" w:rsidRPr="00B447EE" w:rsidRDefault="00C9001A" w:rsidP="007B06A7">
            <w:pPr>
              <w:pStyle w:val="Betarp"/>
              <w:jc w:val="both"/>
              <w:rPr>
                <w:rFonts w:ascii="Times New Roman" w:hAnsi="Times New Roman" w:cs="Times New Roman"/>
                <w:color w:val="000000" w:themeColor="text1"/>
              </w:rPr>
            </w:pPr>
            <w:r w:rsidRPr="00B447EE">
              <w:rPr>
                <w:rFonts w:ascii="Times New Roman" w:hAnsi="Times New Roman" w:cs="Times New Roman"/>
                <w:color w:val="000000" w:themeColor="text1"/>
              </w:rPr>
              <w:t xml:space="preserve">1. </w:t>
            </w:r>
            <w:r w:rsidR="000708FD" w:rsidRPr="00B447EE">
              <w:rPr>
                <w:rFonts w:ascii="Times New Roman" w:hAnsi="Times New Roman" w:cs="Times New Roman"/>
                <w:color w:val="000000" w:themeColor="text1"/>
              </w:rPr>
              <w:t xml:space="preserve">Siekiant supaprastinti informavimo procedūras ir </w:t>
            </w:r>
            <w:r w:rsidR="007B06A7" w:rsidRPr="00B447EE">
              <w:rPr>
                <w:rFonts w:ascii="Times New Roman" w:hAnsi="Times New Roman" w:cs="Times New Roman"/>
                <w:color w:val="000000" w:themeColor="text1"/>
              </w:rPr>
              <w:t xml:space="preserve">sumažinti </w:t>
            </w:r>
            <w:r w:rsidR="005F324E" w:rsidRPr="00B447EE">
              <w:rPr>
                <w:rFonts w:ascii="Times New Roman" w:hAnsi="Times New Roman" w:cs="Times New Roman"/>
                <w:color w:val="000000" w:themeColor="text1"/>
              </w:rPr>
              <w:t xml:space="preserve">jų </w:t>
            </w:r>
            <w:r w:rsidR="000708FD" w:rsidRPr="00B447EE">
              <w:rPr>
                <w:rFonts w:ascii="Times New Roman" w:hAnsi="Times New Roman" w:cs="Times New Roman"/>
                <w:color w:val="000000" w:themeColor="text1"/>
              </w:rPr>
              <w:t xml:space="preserve">kaštus, siūlome pakeisti Projekto 16 straipsnio 1 dalį, joje numatant, kad </w:t>
            </w:r>
            <w:r w:rsidR="007B06A7" w:rsidRPr="00B447EE">
              <w:rPr>
                <w:rFonts w:ascii="Times New Roman" w:hAnsi="Times New Roman" w:cs="Times New Roman"/>
                <w:color w:val="000000" w:themeColor="text1"/>
              </w:rPr>
              <w:t>jeigu į Projekto 16 straipsnio 1 dalyje nurodytas teritorijas patenka gyvenamosios paskirties daugiabutis pastatas, apie sprendimą pradėti potencialios nekilnojamosios kultūros vertybės atskleidimo ir vertinimo procedūras informuojama šio pastato savininkų bendrija ar kitas bendrojo naudojimo objektų valdytojas, kuris apie tai per 15 darbo dienų nuo šio pranešimo gavimo dienos raštu praneša butų ir kitų patalpų savininkams:</w:t>
            </w:r>
          </w:p>
          <w:p w14:paraId="2265D82A" w14:textId="77777777" w:rsidR="00491D48" w:rsidRPr="00B447EE" w:rsidRDefault="007B06A7" w:rsidP="007B06A7">
            <w:pPr>
              <w:pStyle w:val="Betarp"/>
              <w:jc w:val="both"/>
              <w:rPr>
                <w:rFonts w:ascii="Times New Roman" w:hAnsi="Times New Roman" w:cs="Times New Roman"/>
                <w:color w:val="000000" w:themeColor="text1"/>
              </w:rPr>
            </w:pPr>
            <w:r w:rsidRPr="00B447EE">
              <w:rPr>
                <w:rFonts w:ascii="Times New Roman" w:hAnsi="Times New Roman" w:cs="Times New Roman"/>
                <w:color w:val="000000" w:themeColor="text1"/>
              </w:rPr>
              <w:t>„</w:t>
            </w:r>
            <w:r w:rsidR="00491D48" w:rsidRPr="00B447EE">
              <w:rPr>
                <w:rFonts w:ascii="Times New Roman" w:hAnsi="Times New Roman" w:cs="Times New Roman"/>
                <w:color w:val="000000" w:themeColor="text1"/>
              </w:rPr>
              <w:t xml:space="preserve">1. Už kultūros paveldo apsaugą atsakinga institucija, priėmusi sprendimą pradėti potencialios nekilnojamosios kultūros vertybės atskleidimo ir vertinimo procedūras (nuo dokumentų rengimo pradžios), nurodytas šio įstatymo 14 straipsnyje, turi su jomis supažindinti visus asmenis, kurių daiktinės teisės į nekilnojamuosius daiktus tokios galimos nekilnojamosios kultūros vertybės teritorijos ribose ir (ar) galimos apsaugos zonoje yra registruotos Nekilnojamojo turto registro informacinėje sistemoje, ir informuoti juos raštu (elektroninių ryšių priemonėmis ar registruotąja pašto siunta) per 15 darbo dienų nuo sprendimo priėmimo dienos apie pradėtas potencialios nekilnojamosios kultūros vertybės atskleidimo ir vertinimo procedūras, numatomą šių procedūrų užbaigimo laiką ir galimą iki 6 mėnesių trukmės statybos darbų ir (ar) žemės darbų vykdymo apribojimų ar draudimų termino pradžią. </w:t>
            </w:r>
            <w:r w:rsidR="00491D48" w:rsidRPr="00B447EE">
              <w:rPr>
                <w:rFonts w:ascii="Times New Roman" w:eastAsia="Aptos" w:hAnsi="Times New Roman" w:cs="Times New Roman"/>
                <w:b/>
                <w:bCs/>
                <w:color w:val="000000" w:themeColor="text1"/>
                <w:szCs w:val="24"/>
                <w:lang w:val="lt"/>
              </w:rPr>
              <w:t xml:space="preserve">Jeigu į </w:t>
            </w:r>
            <w:r w:rsidR="005F324E" w:rsidRPr="00B447EE">
              <w:rPr>
                <w:rFonts w:ascii="Times New Roman" w:hAnsi="Times New Roman" w:cs="Times New Roman"/>
                <w:b/>
                <w:bCs/>
                <w:color w:val="000000" w:themeColor="text1"/>
              </w:rPr>
              <w:t xml:space="preserve">galimą nekilnojamosios kultūros vertybės teritoriją ir (ar) apsaugos zoną </w:t>
            </w:r>
            <w:r w:rsidR="00491D48" w:rsidRPr="00B447EE">
              <w:rPr>
                <w:rFonts w:ascii="Times New Roman" w:eastAsia="Aptos" w:hAnsi="Times New Roman" w:cs="Times New Roman"/>
                <w:b/>
                <w:bCs/>
                <w:color w:val="000000" w:themeColor="text1"/>
                <w:szCs w:val="24"/>
                <w:lang w:val="lt"/>
              </w:rPr>
              <w:t xml:space="preserve">patenka gyvenamosios paskirties daugiabutis pastatas, apie pradėtas procedūras informuojama šio pastato savininkų bendrija ar kitas bendrojo naudojimo objektų valdytojas, kuris apie tai per 15 darbo dienų nuo šio pranešimo gavimo dienos raštu praneša butų ir kitų patalpų savininkams. </w:t>
            </w:r>
            <w:r w:rsidR="00491D48" w:rsidRPr="00B447EE">
              <w:rPr>
                <w:rFonts w:ascii="Times New Roman" w:hAnsi="Times New Roman" w:cs="Times New Roman"/>
                <w:color w:val="000000" w:themeColor="text1"/>
              </w:rPr>
              <w:t>Konkretus laikinųjų apsaugos priemonių trukmės terminas ir galimi ūkinės veiklos apribojimai kultūros ministro nustatyta tvarka gali būti nustatyti atsižvelgiant į potencialios nekilnojamosios kultūros vertybės autentiškumą, vientisumą ir amžiaus kriterijų, tyrimų atlikimo sudėtingumą ir išlaikant proporcingą santykį tarp galimos objekto kultūrinės reikšmės ir objekto savininko teisėtų interesų. Jeigu dėl nepalankių klimato sąlygų (neigiamos temperatūros ir (ar) įšalusio grunto) archeologiniai tyrimai neatliekami, statybos darbų apribojimo ar draudimo terminas gali būti pratęstas, bet ne ilgiau kaip 2 mėnesiams nuo 6 mėnesių trukmės statybos darbų ir (ar) žemės darbų vykdymo apribojimų ar draudimų termino pabaigos. Per šį terminą turi būti atlikti tyrimai, kiti apskaitos veiksmai ir prireikus statinio konservavimo darbai.</w:t>
            </w:r>
          </w:p>
          <w:p w14:paraId="3E15D89E" w14:textId="61AA7649" w:rsidR="00B8453D" w:rsidRPr="00B447EE" w:rsidRDefault="00C9001A" w:rsidP="00210A5E">
            <w:pPr>
              <w:pStyle w:val="Betarp"/>
              <w:jc w:val="both"/>
              <w:rPr>
                <w:rFonts w:ascii="Times New Roman" w:hAnsi="Times New Roman" w:cs="Times New Roman"/>
                <w:color w:val="000000" w:themeColor="text1"/>
              </w:rPr>
            </w:pPr>
            <w:r w:rsidRPr="00B447EE">
              <w:rPr>
                <w:rFonts w:ascii="Times New Roman" w:hAnsi="Times New Roman" w:cs="Times New Roman"/>
                <w:color w:val="000000" w:themeColor="text1"/>
              </w:rPr>
              <w:t xml:space="preserve">2. Siekiant </w:t>
            </w:r>
            <w:r w:rsidR="00210A5E" w:rsidRPr="00B447EE">
              <w:rPr>
                <w:rFonts w:ascii="Times New Roman" w:hAnsi="Times New Roman" w:cs="Times New Roman"/>
                <w:color w:val="000000" w:themeColor="text1"/>
              </w:rPr>
              <w:t xml:space="preserve">Projekto 16 straipsnio 1 dalies nuostatose numatytą </w:t>
            </w:r>
            <w:r w:rsidR="00B8453D" w:rsidRPr="00B447EE">
              <w:rPr>
                <w:rFonts w:ascii="Times New Roman" w:hAnsi="Times New Roman" w:cs="Times New Roman"/>
                <w:color w:val="000000" w:themeColor="text1"/>
              </w:rPr>
              <w:t xml:space="preserve">individualaus </w:t>
            </w:r>
            <w:r w:rsidR="00210A5E" w:rsidRPr="00B447EE">
              <w:rPr>
                <w:rFonts w:ascii="Times New Roman" w:hAnsi="Times New Roman" w:cs="Times New Roman"/>
                <w:color w:val="000000" w:themeColor="text1"/>
              </w:rPr>
              <w:t xml:space="preserve">informavimo </w:t>
            </w:r>
            <w:r w:rsidR="00B8453D" w:rsidRPr="00B447EE">
              <w:rPr>
                <w:rFonts w:ascii="Times New Roman" w:hAnsi="Times New Roman" w:cs="Times New Roman"/>
                <w:color w:val="000000" w:themeColor="text1"/>
              </w:rPr>
              <w:t xml:space="preserve">raštu (elektroninių ryšių priemonėmis ar registruotąja pašto siunta) </w:t>
            </w:r>
            <w:r w:rsidR="00210A5E" w:rsidRPr="00B447EE">
              <w:rPr>
                <w:rFonts w:ascii="Times New Roman" w:hAnsi="Times New Roman" w:cs="Times New Roman"/>
                <w:color w:val="000000" w:themeColor="text1"/>
              </w:rPr>
              <w:t xml:space="preserve">būdą aiškiau atskirti nuo Projekto 16 straipsnio 2 dalyje numatyto informavimo </w:t>
            </w:r>
            <w:r w:rsidR="00B8453D" w:rsidRPr="00B447EE">
              <w:rPr>
                <w:rFonts w:ascii="Times New Roman" w:hAnsi="Times New Roman" w:cs="Times New Roman"/>
                <w:color w:val="000000" w:themeColor="text1"/>
              </w:rPr>
              <w:t>interneto svetainėse</w:t>
            </w:r>
            <w:r w:rsidR="00210A5E" w:rsidRPr="00B447EE">
              <w:rPr>
                <w:rFonts w:ascii="Times New Roman" w:hAnsi="Times New Roman" w:cs="Times New Roman"/>
                <w:color w:val="000000" w:themeColor="text1"/>
              </w:rPr>
              <w:t xml:space="preserve">, siūlome </w:t>
            </w:r>
            <w:r w:rsidR="00B8453D" w:rsidRPr="00B447EE">
              <w:rPr>
                <w:rFonts w:ascii="Times New Roman" w:hAnsi="Times New Roman" w:cs="Times New Roman"/>
                <w:color w:val="000000" w:themeColor="text1"/>
              </w:rPr>
              <w:t>P</w:t>
            </w:r>
            <w:r w:rsidR="00210A5E" w:rsidRPr="00B447EE">
              <w:rPr>
                <w:rFonts w:ascii="Times New Roman" w:hAnsi="Times New Roman" w:cs="Times New Roman"/>
                <w:color w:val="000000" w:themeColor="text1"/>
              </w:rPr>
              <w:t xml:space="preserve">rojekto 16 straipsnio 2 dalyje nustatyti, kad jeigu informuojama daugiau negu 100 asmenų, informavimas vykdomas interneto svetainėse, </w:t>
            </w:r>
            <w:r w:rsidR="00B8453D" w:rsidRPr="00B447EE">
              <w:rPr>
                <w:rFonts w:ascii="Times New Roman" w:hAnsi="Times New Roman" w:cs="Times New Roman"/>
                <w:color w:val="000000" w:themeColor="text1"/>
              </w:rPr>
              <w:t>o informavimas raštu (elektroninių ryšių priemonėmis ar registruotąja pašto siunta) netaikomas ir 16 straipsnio 2 dalį išdėstyti taip:</w:t>
            </w:r>
          </w:p>
          <w:p w14:paraId="1D312406" w14:textId="51E31842" w:rsidR="00C9001A" w:rsidRPr="00B447EE" w:rsidRDefault="00B8453D" w:rsidP="00B8453D">
            <w:pPr>
              <w:pStyle w:val="Betarp"/>
              <w:jc w:val="both"/>
              <w:rPr>
                <w:rFonts w:ascii="Times New Roman" w:hAnsi="Times New Roman" w:cs="Times New Roman"/>
                <w:color w:val="000000" w:themeColor="text1"/>
              </w:rPr>
            </w:pPr>
            <w:r w:rsidRPr="00B447EE">
              <w:rPr>
                <w:rFonts w:ascii="Times New Roman" w:hAnsi="Times New Roman" w:cs="Times New Roman"/>
                <w:color w:val="000000" w:themeColor="text1"/>
                <w:sz w:val="24"/>
                <w:szCs w:val="24"/>
              </w:rPr>
              <w:t xml:space="preserve">„2. </w:t>
            </w:r>
            <w:r w:rsidR="00C9001A" w:rsidRPr="00B447EE">
              <w:rPr>
                <w:rFonts w:ascii="Times New Roman" w:hAnsi="Times New Roman" w:cs="Times New Roman"/>
                <w:color w:val="000000" w:themeColor="text1"/>
              </w:rPr>
              <w:t xml:space="preserve">Jeigu potencialioje nekilnojamojoje kultūros vertybėje, dėl kurios pradėtos atskleidimo ir vertinimo procedūros, yra daiktinės teisės objektų, į kuriuos Nekilnojamojo turto registro informacinėje sistemoje registruotas daiktines teises turi daugiau negu 100 asmenų, informavimas apie atskleidimo ir vertinimo procedūras atliekamas skelbiant už kultūros paveldo apsaugą atsakingos institucijos ir savivaldybės (-ių), kurios (-ių) teritorijoje yra minimas objektas ar </w:t>
            </w:r>
            <w:r w:rsidR="00C9001A" w:rsidRPr="00B447EE">
              <w:rPr>
                <w:rFonts w:ascii="Times New Roman" w:hAnsi="Times New Roman" w:cs="Times New Roman"/>
                <w:color w:val="000000" w:themeColor="text1"/>
              </w:rPr>
              <w:lastRenderedPageBreak/>
              <w:t xml:space="preserve">vietovė, interneto svetainėse, </w:t>
            </w:r>
            <w:r w:rsidR="00C9001A" w:rsidRPr="00B447EE">
              <w:rPr>
                <w:rFonts w:ascii="Times New Roman" w:hAnsi="Times New Roman" w:cs="Times New Roman"/>
                <w:b/>
                <w:bCs/>
                <w:color w:val="000000" w:themeColor="text1"/>
              </w:rPr>
              <w:t xml:space="preserve">o </w:t>
            </w:r>
            <w:r w:rsidR="007C6468" w:rsidRPr="00B447EE">
              <w:rPr>
                <w:rFonts w:ascii="Times New Roman" w:hAnsi="Times New Roman" w:cs="Times New Roman"/>
                <w:b/>
                <w:bCs/>
                <w:color w:val="000000" w:themeColor="text1"/>
              </w:rPr>
              <w:t xml:space="preserve">šio įstatymo 16 straipsnio 1 dalyje numatytas </w:t>
            </w:r>
            <w:r w:rsidR="00C9001A" w:rsidRPr="00B447EE">
              <w:rPr>
                <w:rFonts w:ascii="Times New Roman" w:hAnsi="Times New Roman" w:cs="Times New Roman"/>
                <w:b/>
                <w:bCs/>
                <w:color w:val="000000" w:themeColor="text1"/>
              </w:rPr>
              <w:t>informavimas raštu (elektroninių ryšių priemonėmis ar registruotąja pašto siunta) netaikomas</w:t>
            </w:r>
            <w:r w:rsidR="00C9001A" w:rsidRPr="00B447EE">
              <w:rPr>
                <w:rFonts w:ascii="Times New Roman" w:hAnsi="Times New Roman" w:cs="Times New Roman"/>
                <w:color w:val="000000" w:themeColor="text1"/>
              </w:rPr>
              <w:t>. Skelbime trumpai pateikiama informacija apie atskleidimo procedūrą, numatomą šios procedūros užbaigimo laiką ir galimą 6 mėnesių trukmės statybos darbų ir (ar) žemės darbų vykdymo apribojimų termino pradžią nuo pradėtos atskleidimo procedūros pradžios.</w:t>
            </w:r>
            <w:r w:rsidRPr="00B447EE">
              <w:rPr>
                <w:rFonts w:ascii="Times New Roman" w:hAnsi="Times New Roman" w:cs="Times New Roman"/>
                <w:color w:val="000000" w:themeColor="text1"/>
              </w:rPr>
              <w:t>“</w:t>
            </w:r>
          </w:p>
          <w:p w14:paraId="0596EC6D" w14:textId="2FDC8A00" w:rsidR="00C9001A" w:rsidRPr="00B447EE" w:rsidRDefault="00C9001A" w:rsidP="007B06A7">
            <w:pPr>
              <w:pStyle w:val="Betarp"/>
              <w:jc w:val="both"/>
              <w:rPr>
                <w:rFonts w:ascii="Times New Roman" w:hAnsi="Times New Roman" w:cs="Times New Roman"/>
                <w:b/>
                <w:bCs/>
                <w:color w:val="000000" w:themeColor="text1"/>
                <w:sz w:val="24"/>
                <w:szCs w:val="24"/>
              </w:rPr>
            </w:pPr>
          </w:p>
        </w:tc>
      </w:tr>
    </w:tbl>
    <w:p w14:paraId="183058E6" w14:textId="77777777" w:rsidR="00A114B7" w:rsidRDefault="00A114B7" w:rsidP="00A62CFF">
      <w:pPr>
        <w:spacing w:after="0" w:line="240" w:lineRule="auto"/>
        <w:jc w:val="both"/>
        <w:rPr>
          <w:rFonts w:ascii="Times New Roman" w:eastAsia="Times New Roman" w:hAnsi="Times New Roman" w:cs="Times New Roman"/>
          <w:sz w:val="24"/>
          <w:szCs w:val="20"/>
        </w:rPr>
      </w:pPr>
    </w:p>
    <w:p w14:paraId="517FE716" w14:textId="6CD6C129" w:rsidR="00A114B7" w:rsidRPr="00A62CFF" w:rsidRDefault="00A114B7" w:rsidP="00A114B7">
      <w:pPr>
        <w:spacing w:after="0" w:line="240" w:lineRule="auto"/>
        <w:jc w:val="center"/>
        <w:rPr>
          <w:rFonts w:ascii="Times New Roman" w:eastAsia="Times New Roman" w:hAnsi="Times New Roman" w:cs="Times New Roman"/>
          <w:sz w:val="24"/>
          <w:szCs w:val="20"/>
        </w:rPr>
      </w:pPr>
      <w:r>
        <w:rPr>
          <w:rFonts w:ascii="Times New Roman" w:eastAsia="Times New Roman" w:hAnsi="Times New Roman" w:cs="Times New Roman"/>
          <w:sz w:val="24"/>
          <w:szCs w:val="20"/>
        </w:rPr>
        <w:t>__________________________</w:t>
      </w:r>
    </w:p>
    <w:p w14:paraId="7B42977D" w14:textId="77777777" w:rsidR="00FC2DBD" w:rsidRDefault="00FC2DBD" w:rsidP="00FC2DBD">
      <w:pPr>
        <w:jc w:val="both"/>
        <w:rPr>
          <w:rFonts w:ascii="Times New Roman" w:hAnsi="Times New Roman" w:cs="Times New Roman"/>
          <w:color w:val="000000" w:themeColor="text1"/>
        </w:rPr>
      </w:pPr>
    </w:p>
    <w:p w14:paraId="45283718" w14:textId="77777777" w:rsidR="00FC2DBD" w:rsidRDefault="00FC2DBD" w:rsidP="00FC2DBD">
      <w:pPr>
        <w:jc w:val="both"/>
        <w:rPr>
          <w:rFonts w:ascii="Times New Roman" w:hAnsi="Times New Roman" w:cs="Times New Roman"/>
          <w:color w:val="000000" w:themeColor="text1"/>
        </w:rPr>
      </w:pPr>
    </w:p>
    <w:p w14:paraId="68FEE40E" w14:textId="77777777" w:rsidR="00FC2DBD" w:rsidRDefault="00FC2DBD" w:rsidP="00FC2DBD">
      <w:pPr>
        <w:jc w:val="both"/>
        <w:rPr>
          <w:rFonts w:ascii="Times New Roman" w:hAnsi="Times New Roman" w:cs="Times New Roman"/>
          <w:color w:val="000000" w:themeColor="text1"/>
        </w:rPr>
      </w:pPr>
    </w:p>
    <w:p w14:paraId="6737E7A2" w14:textId="77777777" w:rsidR="00FC2DBD" w:rsidRDefault="00FC2DBD" w:rsidP="00FC2DBD">
      <w:pPr>
        <w:jc w:val="both"/>
        <w:rPr>
          <w:rFonts w:ascii="Times New Roman" w:hAnsi="Times New Roman" w:cs="Times New Roman"/>
          <w:color w:val="000000" w:themeColor="text1"/>
        </w:rPr>
      </w:pPr>
    </w:p>
    <w:p w14:paraId="75712FC1" w14:textId="68843AE3" w:rsidR="00FC2DBD" w:rsidRDefault="00FC2DBD" w:rsidP="00FC2DBD">
      <w:pPr>
        <w:jc w:val="both"/>
        <w:rPr>
          <w:rFonts w:ascii="Times New Roman" w:hAnsi="Times New Roman" w:cs="Times New Roman"/>
          <w:color w:val="000000" w:themeColor="text1"/>
        </w:rPr>
      </w:pPr>
      <w:r w:rsidRPr="00FC2DBD">
        <w:rPr>
          <w:rFonts w:ascii="Times New Roman" w:hAnsi="Times New Roman" w:cs="Times New Roman"/>
          <w:color w:val="000000" w:themeColor="text1"/>
        </w:rPr>
        <w:t xml:space="preserve">Teikia </w:t>
      </w:r>
    </w:p>
    <w:p w14:paraId="33D40CC7" w14:textId="00A7822F" w:rsidR="00FC2DBD" w:rsidRPr="00FC2DBD" w:rsidRDefault="00FC2DBD" w:rsidP="00FC2DBD">
      <w:pPr>
        <w:jc w:val="both"/>
        <w:rPr>
          <w:rFonts w:ascii="Times New Roman" w:hAnsi="Times New Roman" w:cs="Times New Roman"/>
          <w:color w:val="000000" w:themeColor="text1"/>
        </w:rPr>
      </w:pPr>
      <w:r>
        <w:rPr>
          <w:rFonts w:ascii="Times New Roman" w:hAnsi="Times New Roman" w:cs="Times New Roman"/>
          <w:color w:val="000000" w:themeColor="text1"/>
        </w:rPr>
        <w:t>Seimo nariai</w:t>
      </w:r>
    </w:p>
    <w:p w14:paraId="1241E338" w14:textId="47DC3FE8" w:rsidR="00FC2DBD" w:rsidRDefault="00FC2DBD" w:rsidP="00FC2DBD">
      <w:pPr>
        <w:jc w:val="both"/>
        <w:rPr>
          <w:rFonts w:ascii="Times New Roman" w:hAnsi="Times New Roman" w:cs="Times New Roman"/>
          <w:color w:val="000000" w:themeColor="text1"/>
        </w:rPr>
      </w:pPr>
      <w:r>
        <w:rPr>
          <w:rFonts w:ascii="Times New Roman" w:hAnsi="Times New Roman" w:cs="Times New Roman"/>
          <w:color w:val="000000" w:themeColor="text1"/>
        </w:rPr>
        <w:tab/>
      </w:r>
      <w:r>
        <w:rPr>
          <w:rFonts w:ascii="Times New Roman" w:hAnsi="Times New Roman" w:cs="Times New Roman"/>
          <w:color w:val="000000" w:themeColor="text1"/>
        </w:rPr>
        <w:tab/>
      </w:r>
      <w:r>
        <w:rPr>
          <w:rFonts w:ascii="Times New Roman" w:hAnsi="Times New Roman" w:cs="Times New Roman"/>
          <w:color w:val="000000" w:themeColor="text1"/>
        </w:rPr>
        <w:tab/>
      </w:r>
      <w:r>
        <w:rPr>
          <w:rFonts w:ascii="Times New Roman" w:hAnsi="Times New Roman" w:cs="Times New Roman"/>
          <w:color w:val="000000" w:themeColor="text1"/>
        </w:rPr>
        <w:tab/>
      </w:r>
      <w:r w:rsidR="00F72FD9">
        <w:rPr>
          <w:rFonts w:ascii="Times New Roman" w:hAnsi="Times New Roman" w:cs="Times New Roman"/>
          <w:color w:val="000000" w:themeColor="text1"/>
        </w:rPr>
        <w:tab/>
      </w:r>
      <w:r w:rsidR="00F72FD9">
        <w:rPr>
          <w:rFonts w:ascii="Times New Roman" w:hAnsi="Times New Roman" w:cs="Times New Roman"/>
          <w:color w:val="000000" w:themeColor="text1"/>
        </w:rPr>
        <w:tab/>
      </w:r>
      <w:r>
        <w:rPr>
          <w:rFonts w:ascii="Times New Roman" w:hAnsi="Times New Roman" w:cs="Times New Roman"/>
          <w:color w:val="000000" w:themeColor="text1"/>
        </w:rPr>
        <w:t>Šarūnas Birutis</w:t>
      </w:r>
    </w:p>
    <w:p w14:paraId="678C8FBB" w14:textId="171DC440" w:rsidR="00F72FD9" w:rsidRPr="00FC2DBD" w:rsidRDefault="00F72FD9" w:rsidP="00FC2DBD">
      <w:pPr>
        <w:jc w:val="both"/>
        <w:rPr>
          <w:rFonts w:ascii="Times New Roman" w:hAnsi="Times New Roman" w:cs="Times New Roman"/>
          <w:color w:val="000000" w:themeColor="text1"/>
        </w:rPr>
      </w:pPr>
      <w:r>
        <w:rPr>
          <w:rFonts w:ascii="Times New Roman" w:hAnsi="Times New Roman" w:cs="Times New Roman"/>
          <w:color w:val="000000" w:themeColor="text1"/>
        </w:rPr>
        <w:tab/>
      </w:r>
      <w:r>
        <w:rPr>
          <w:rFonts w:ascii="Times New Roman" w:hAnsi="Times New Roman" w:cs="Times New Roman"/>
          <w:color w:val="000000" w:themeColor="text1"/>
        </w:rPr>
        <w:tab/>
      </w:r>
      <w:r>
        <w:rPr>
          <w:rFonts w:ascii="Times New Roman" w:hAnsi="Times New Roman" w:cs="Times New Roman"/>
          <w:color w:val="000000" w:themeColor="text1"/>
        </w:rPr>
        <w:tab/>
      </w:r>
      <w:r>
        <w:rPr>
          <w:rFonts w:ascii="Times New Roman" w:hAnsi="Times New Roman" w:cs="Times New Roman"/>
          <w:color w:val="000000" w:themeColor="text1"/>
        </w:rPr>
        <w:tab/>
      </w:r>
      <w:r>
        <w:rPr>
          <w:rFonts w:ascii="Times New Roman" w:hAnsi="Times New Roman" w:cs="Times New Roman"/>
          <w:color w:val="000000" w:themeColor="text1"/>
        </w:rPr>
        <w:tab/>
      </w:r>
      <w:r>
        <w:rPr>
          <w:rFonts w:ascii="Times New Roman" w:hAnsi="Times New Roman" w:cs="Times New Roman"/>
          <w:color w:val="000000" w:themeColor="text1"/>
        </w:rPr>
        <w:tab/>
        <w:t>Simonas</w:t>
      </w:r>
      <w:bookmarkStart w:id="0" w:name="_GoBack"/>
      <w:bookmarkEnd w:id="0"/>
      <w:r>
        <w:rPr>
          <w:rFonts w:ascii="Times New Roman" w:hAnsi="Times New Roman" w:cs="Times New Roman"/>
          <w:color w:val="000000" w:themeColor="text1"/>
        </w:rPr>
        <w:t xml:space="preserve"> Gentvilas</w:t>
      </w:r>
    </w:p>
    <w:p w14:paraId="04B6A899" w14:textId="77777777" w:rsidR="00FC2DBD" w:rsidRPr="00FC2DBD" w:rsidRDefault="00FC2DBD" w:rsidP="00FC2DBD">
      <w:pPr>
        <w:jc w:val="both"/>
        <w:rPr>
          <w:rFonts w:ascii="Times New Roman" w:hAnsi="Times New Roman" w:cs="Times New Roman"/>
          <w:color w:val="000000" w:themeColor="text1"/>
        </w:rPr>
      </w:pPr>
    </w:p>
    <w:p w14:paraId="2A0098AB" w14:textId="77777777" w:rsidR="00A62CFF" w:rsidRPr="00A62CFF" w:rsidRDefault="00A62CFF" w:rsidP="00A62CFF">
      <w:pPr>
        <w:spacing w:after="0" w:line="240" w:lineRule="auto"/>
        <w:jc w:val="both"/>
        <w:rPr>
          <w:rFonts w:ascii="Times New Roman" w:eastAsia="Times New Roman" w:hAnsi="Times New Roman" w:cs="Times New Roman"/>
          <w:bCs/>
          <w:sz w:val="24"/>
          <w:szCs w:val="24"/>
        </w:rPr>
      </w:pPr>
    </w:p>
    <w:sectPr w:rsidR="00A62CFF" w:rsidRPr="00A62CFF" w:rsidSect="00002BCE">
      <w:pgSz w:w="11906" w:h="16838"/>
      <w:pgMar w:top="1135" w:right="849" w:bottom="1134" w:left="1170"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3FD3BC" w14:textId="77777777" w:rsidR="00D274C6" w:rsidRDefault="00D274C6" w:rsidP="000F7F71">
      <w:pPr>
        <w:spacing w:after="0" w:line="240" w:lineRule="auto"/>
      </w:pPr>
      <w:r>
        <w:separator/>
      </w:r>
    </w:p>
  </w:endnote>
  <w:endnote w:type="continuationSeparator" w:id="0">
    <w:p w14:paraId="2F3F63B3" w14:textId="77777777" w:rsidR="00D274C6" w:rsidRDefault="00D274C6" w:rsidP="000F7F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3B4B8A" w14:textId="77777777" w:rsidR="00D274C6" w:rsidRDefault="00D274C6" w:rsidP="000F7F71">
      <w:pPr>
        <w:spacing w:after="0" w:line="240" w:lineRule="auto"/>
      </w:pPr>
      <w:r>
        <w:separator/>
      </w:r>
    </w:p>
  </w:footnote>
  <w:footnote w:type="continuationSeparator" w:id="0">
    <w:p w14:paraId="2EC244E5" w14:textId="77777777" w:rsidR="00D274C6" w:rsidRDefault="00D274C6" w:rsidP="000F7F7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removePersonalInformation/>
  <w:removeDateAndTime/>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CFF"/>
    <w:rsid w:val="00001D6E"/>
    <w:rsid w:val="00002BCE"/>
    <w:rsid w:val="00014541"/>
    <w:rsid w:val="00016B1C"/>
    <w:rsid w:val="00017ED7"/>
    <w:rsid w:val="00021BCB"/>
    <w:rsid w:val="000276FD"/>
    <w:rsid w:val="000278B0"/>
    <w:rsid w:val="0004303E"/>
    <w:rsid w:val="00046FED"/>
    <w:rsid w:val="00051AE9"/>
    <w:rsid w:val="00052B27"/>
    <w:rsid w:val="00052C0E"/>
    <w:rsid w:val="000605B6"/>
    <w:rsid w:val="00061ECD"/>
    <w:rsid w:val="000708FD"/>
    <w:rsid w:val="00076471"/>
    <w:rsid w:val="0008018A"/>
    <w:rsid w:val="0009082E"/>
    <w:rsid w:val="000927FB"/>
    <w:rsid w:val="000A4B2A"/>
    <w:rsid w:val="000A4B94"/>
    <w:rsid w:val="000A534E"/>
    <w:rsid w:val="000B0CB2"/>
    <w:rsid w:val="000B0CC0"/>
    <w:rsid w:val="000B3AB8"/>
    <w:rsid w:val="000B5843"/>
    <w:rsid w:val="000C013A"/>
    <w:rsid w:val="000C413C"/>
    <w:rsid w:val="000D25FC"/>
    <w:rsid w:val="000D2D45"/>
    <w:rsid w:val="000D4FB6"/>
    <w:rsid w:val="000E20ED"/>
    <w:rsid w:val="000F215A"/>
    <w:rsid w:val="000F2C6B"/>
    <w:rsid w:val="000F7F71"/>
    <w:rsid w:val="00100BF9"/>
    <w:rsid w:val="00101FA8"/>
    <w:rsid w:val="00124D4D"/>
    <w:rsid w:val="00125169"/>
    <w:rsid w:val="00125A3F"/>
    <w:rsid w:val="00126673"/>
    <w:rsid w:val="00130F91"/>
    <w:rsid w:val="001604C1"/>
    <w:rsid w:val="00163764"/>
    <w:rsid w:val="00163FFA"/>
    <w:rsid w:val="0016445D"/>
    <w:rsid w:val="00164656"/>
    <w:rsid w:val="0016635E"/>
    <w:rsid w:val="00175782"/>
    <w:rsid w:val="00175FC1"/>
    <w:rsid w:val="00177A9F"/>
    <w:rsid w:val="001835AA"/>
    <w:rsid w:val="001858A4"/>
    <w:rsid w:val="00193C90"/>
    <w:rsid w:val="00195E79"/>
    <w:rsid w:val="001968F3"/>
    <w:rsid w:val="001A3530"/>
    <w:rsid w:val="001C44E1"/>
    <w:rsid w:val="001D2877"/>
    <w:rsid w:val="001D7F49"/>
    <w:rsid w:val="001E6617"/>
    <w:rsid w:val="001F5161"/>
    <w:rsid w:val="00202311"/>
    <w:rsid w:val="00210A5E"/>
    <w:rsid w:val="00226929"/>
    <w:rsid w:val="00236A4A"/>
    <w:rsid w:val="0024081E"/>
    <w:rsid w:val="00242C10"/>
    <w:rsid w:val="00244D1B"/>
    <w:rsid w:val="00246145"/>
    <w:rsid w:val="00254F35"/>
    <w:rsid w:val="0026340A"/>
    <w:rsid w:val="00263F15"/>
    <w:rsid w:val="00265B8F"/>
    <w:rsid w:val="00265F76"/>
    <w:rsid w:val="00273A1C"/>
    <w:rsid w:val="002760F5"/>
    <w:rsid w:val="00285D76"/>
    <w:rsid w:val="00291284"/>
    <w:rsid w:val="00294776"/>
    <w:rsid w:val="00295B1D"/>
    <w:rsid w:val="002A5CF9"/>
    <w:rsid w:val="002B3D3A"/>
    <w:rsid w:val="002B610C"/>
    <w:rsid w:val="002C2CA6"/>
    <w:rsid w:val="002C3493"/>
    <w:rsid w:val="002E3E39"/>
    <w:rsid w:val="002E7BF6"/>
    <w:rsid w:val="002E7BFC"/>
    <w:rsid w:val="003009DC"/>
    <w:rsid w:val="003120DF"/>
    <w:rsid w:val="003244DC"/>
    <w:rsid w:val="00325463"/>
    <w:rsid w:val="003355C0"/>
    <w:rsid w:val="00341C60"/>
    <w:rsid w:val="00343750"/>
    <w:rsid w:val="00351E32"/>
    <w:rsid w:val="00354129"/>
    <w:rsid w:val="003545A9"/>
    <w:rsid w:val="003551D9"/>
    <w:rsid w:val="00371DCF"/>
    <w:rsid w:val="00380BD9"/>
    <w:rsid w:val="003902FD"/>
    <w:rsid w:val="0039563E"/>
    <w:rsid w:val="003B1D0C"/>
    <w:rsid w:val="003B300D"/>
    <w:rsid w:val="003B414F"/>
    <w:rsid w:val="003B6A70"/>
    <w:rsid w:val="003B7BF9"/>
    <w:rsid w:val="003C010F"/>
    <w:rsid w:val="003C1B82"/>
    <w:rsid w:val="003D7487"/>
    <w:rsid w:val="003E59E6"/>
    <w:rsid w:val="003F39D8"/>
    <w:rsid w:val="003F3A91"/>
    <w:rsid w:val="003F4B58"/>
    <w:rsid w:val="00404EF7"/>
    <w:rsid w:val="00406A56"/>
    <w:rsid w:val="00421158"/>
    <w:rsid w:val="0043104B"/>
    <w:rsid w:val="00432F58"/>
    <w:rsid w:val="00451D4E"/>
    <w:rsid w:val="00454751"/>
    <w:rsid w:val="00461315"/>
    <w:rsid w:val="00461E7F"/>
    <w:rsid w:val="0047018B"/>
    <w:rsid w:val="004719D2"/>
    <w:rsid w:val="00472B65"/>
    <w:rsid w:val="00473547"/>
    <w:rsid w:val="00475724"/>
    <w:rsid w:val="00476CC6"/>
    <w:rsid w:val="00486A00"/>
    <w:rsid w:val="00491D48"/>
    <w:rsid w:val="00496B8E"/>
    <w:rsid w:val="004971C7"/>
    <w:rsid w:val="004A0E8C"/>
    <w:rsid w:val="004A0F09"/>
    <w:rsid w:val="004A5FDF"/>
    <w:rsid w:val="004B1F25"/>
    <w:rsid w:val="004B263B"/>
    <w:rsid w:val="004D03FE"/>
    <w:rsid w:val="004D3A33"/>
    <w:rsid w:val="004D3C2F"/>
    <w:rsid w:val="00511C56"/>
    <w:rsid w:val="00515372"/>
    <w:rsid w:val="00520461"/>
    <w:rsid w:val="00524415"/>
    <w:rsid w:val="00551BCC"/>
    <w:rsid w:val="00552374"/>
    <w:rsid w:val="00562FB7"/>
    <w:rsid w:val="00565D4C"/>
    <w:rsid w:val="005710D4"/>
    <w:rsid w:val="00580D59"/>
    <w:rsid w:val="00584F67"/>
    <w:rsid w:val="00585064"/>
    <w:rsid w:val="00585F1E"/>
    <w:rsid w:val="00593BA8"/>
    <w:rsid w:val="005A25F3"/>
    <w:rsid w:val="005A526E"/>
    <w:rsid w:val="005A54A7"/>
    <w:rsid w:val="005A5E3D"/>
    <w:rsid w:val="005B6DC9"/>
    <w:rsid w:val="005B72A3"/>
    <w:rsid w:val="005C074E"/>
    <w:rsid w:val="005C561F"/>
    <w:rsid w:val="005C596B"/>
    <w:rsid w:val="005C7BF0"/>
    <w:rsid w:val="005D0A29"/>
    <w:rsid w:val="005D27CA"/>
    <w:rsid w:val="005D6F7B"/>
    <w:rsid w:val="005E5EFF"/>
    <w:rsid w:val="005E773F"/>
    <w:rsid w:val="005F164C"/>
    <w:rsid w:val="005F324E"/>
    <w:rsid w:val="0060526E"/>
    <w:rsid w:val="0061433A"/>
    <w:rsid w:val="0062067E"/>
    <w:rsid w:val="006270AC"/>
    <w:rsid w:val="00634091"/>
    <w:rsid w:val="0064377F"/>
    <w:rsid w:val="00643DCD"/>
    <w:rsid w:val="0065242F"/>
    <w:rsid w:val="006526C4"/>
    <w:rsid w:val="00665CA0"/>
    <w:rsid w:val="0067368D"/>
    <w:rsid w:val="0068172B"/>
    <w:rsid w:val="00681B82"/>
    <w:rsid w:val="00682874"/>
    <w:rsid w:val="00683F0D"/>
    <w:rsid w:val="00685669"/>
    <w:rsid w:val="006861B6"/>
    <w:rsid w:val="006A0CCD"/>
    <w:rsid w:val="006A6766"/>
    <w:rsid w:val="006B423F"/>
    <w:rsid w:val="006B5469"/>
    <w:rsid w:val="006B5809"/>
    <w:rsid w:val="006C33F1"/>
    <w:rsid w:val="006D1F1C"/>
    <w:rsid w:val="006E004A"/>
    <w:rsid w:val="006F4A8F"/>
    <w:rsid w:val="007063B1"/>
    <w:rsid w:val="007110DA"/>
    <w:rsid w:val="00720216"/>
    <w:rsid w:val="00720A42"/>
    <w:rsid w:val="007213F1"/>
    <w:rsid w:val="00722158"/>
    <w:rsid w:val="00723AE9"/>
    <w:rsid w:val="00724E2E"/>
    <w:rsid w:val="007256D5"/>
    <w:rsid w:val="00731BE2"/>
    <w:rsid w:val="00732F83"/>
    <w:rsid w:val="007409C8"/>
    <w:rsid w:val="007422F7"/>
    <w:rsid w:val="00761082"/>
    <w:rsid w:val="00765014"/>
    <w:rsid w:val="007709B1"/>
    <w:rsid w:val="00771B87"/>
    <w:rsid w:val="00785B0B"/>
    <w:rsid w:val="007B06A7"/>
    <w:rsid w:val="007B4676"/>
    <w:rsid w:val="007C3E9D"/>
    <w:rsid w:val="007C6468"/>
    <w:rsid w:val="007D3BAF"/>
    <w:rsid w:val="007D48DA"/>
    <w:rsid w:val="007D7143"/>
    <w:rsid w:val="007E5019"/>
    <w:rsid w:val="00807BB8"/>
    <w:rsid w:val="00814763"/>
    <w:rsid w:val="00835BF1"/>
    <w:rsid w:val="008360D6"/>
    <w:rsid w:val="008366E7"/>
    <w:rsid w:val="00842F4C"/>
    <w:rsid w:val="00843B0F"/>
    <w:rsid w:val="00853AEA"/>
    <w:rsid w:val="00857DB2"/>
    <w:rsid w:val="00884CD7"/>
    <w:rsid w:val="00893884"/>
    <w:rsid w:val="00895D47"/>
    <w:rsid w:val="00896923"/>
    <w:rsid w:val="008A7032"/>
    <w:rsid w:val="008B02F0"/>
    <w:rsid w:val="008B49B7"/>
    <w:rsid w:val="008B76C6"/>
    <w:rsid w:val="008D4533"/>
    <w:rsid w:val="008E5088"/>
    <w:rsid w:val="008F16D8"/>
    <w:rsid w:val="008F3F5F"/>
    <w:rsid w:val="009008D6"/>
    <w:rsid w:val="00907834"/>
    <w:rsid w:val="00910172"/>
    <w:rsid w:val="0091192E"/>
    <w:rsid w:val="00921C14"/>
    <w:rsid w:val="009222F1"/>
    <w:rsid w:val="00924284"/>
    <w:rsid w:val="009270AE"/>
    <w:rsid w:val="0093067B"/>
    <w:rsid w:val="00930A16"/>
    <w:rsid w:val="009314AF"/>
    <w:rsid w:val="0093725D"/>
    <w:rsid w:val="0093773C"/>
    <w:rsid w:val="00944A55"/>
    <w:rsid w:val="00953CA1"/>
    <w:rsid w:val="0097257A"/>
    <w:rsid w:val="009936A9"/>
    <w:rsid w:val="009A6B9E"/>
    <w:rsid w:val="009A77B8"/>
    <w:rsid w:val="009B49D5"/>
    <w:rsid w:val="009B6ECC"/>
    <w:rsid w:val="009B6FFB"/>
    <w:rsid w:val="009C69FE"/>
    <w:rsid w:val="009D203D"/>
    <w:rsid w:val="009E37C9"/>
    <w:rsid w:val="009E3930"/>
    <w:rsid w:val="009E5ECC"/>
    <w:rsid w:val="00A03E08"/>
    <w:rsid w:val="00A114B7"/>
    <w:rsid w:val="00A207D5"/>
    <w:rsid w:val="00A3231E"/>
    <w:rsid w:val="00A33D75"/>
    <w:rsid w:val="00A37A5C"/>
    <w:rsid w:val="00A41840"/>
    <w:rsid w:val="00A50CA0"/>
    <w:rsid w:val="00A53AB7"/>
    <w:rsid w:val="00A53DD0"/>
    <w:rsid w:val="00A62CFF"/>
    <w:rsid w:val="00A642F7"/>
    <w:rsid w:val="00A677B7"/>
    <w:rsid w:val="00A751AA"/>
    <w:rsid w:val="00A80BC9"/>
    <w:rsid w:val="00A8495C"/>
    <w:rsid w:val="00A857BB"/>
    <w:rsid w:val="00A975F5"/>
    <w:rsid w:val="00AA5E11"/>
    <w:rsid w:val="00AB3235"/>
    <w:rsid w:val="00AB6B7F"/>
    <w:rsid w:val="00AC43A8"/>
    <w:rsid w:val="00AD18FF"/>
    <w:rsid w:val="00AD2949"/>
    <w:rsid w:val="00AD3F9E"/>
    <w:rsid w:val="00AF7CB6"/>
    <w:rsid w:val="00B057E6"/>
    <w:rsid w:val="00B232A2"/>
    <w:rsid w:val="00B351E0"/>
    <w:rsid w:val="00B43789"/>
    <w:rsid w:val="00B447EE"/>
    <w:rsid w:val="00B50844"/>
    <w:rsid w:val="00B616B4"/>
    <w:rsid w:val="00B63069"/>
    <w:rsid w:val="00B707EA"/>
    <w:rsid w:val="00B7726B"/>
    <w:rsid w:val="00B80841"/>
    <w:rsid w:val="00B810F1"/>
    <w:rsid w:val="00B8226B"/>
    <w:rsid w:val="00B8453D"/>
    <w:rsid w:val="00B9483E"/>
    <w:rsid w:val="00BB51F6"/>
    <w:rsid w:val="00BB57A9"/>
    <w:rsid w:val="00BB5B29"/>
    <w:rsid w:val="00BC239A"/>
    <w:rsid w:val="00BC5EEE"/>
    <w:rsid w:val="00BE0FBF"/>
    <w:rsid w:val="00BE6C49"/>
    <w:rsid w:val="00BF2AF6"/>
    <w:rsid w:val="00C26267"/>
    <w:rsid w:val="00C36958"/>
    <w:rsid w:val="00C43F09"/>
    <w:rsid w:val="00C466C0"/>
    <w:rsid w:val="00C5620B"/>
    <w:rsid w:val="00C5767F"/>
    <w:rsid w:val="00C604E7"/>
    <w:rsid w:val="00C638E8"/>
    <w:rsid w:val="00C67C0F"/>
    <w:rsid w:val="00C74591"/>
    <w:rsid w:val="00C86438"/>
    <w:rsid w:val="00C86E61"/>
    <w:rsid w:val="00C9001A"/>
    <w:rsid w:val="00C91015"/>
    <w:rsid w:val="00C91DAB"/>
    <w:rsid w:val="00C91F1D"/>
    <w:rsid w:val="00C94288"/>
    <w:rsid w:val="00C965B5"/>
    <w:rsid w:val="00CB39EC"/>
    <w:rsid w:val="00CC045C"/>
    <w:rsid w:val="00CC71FB"/>
    <w:rsid w:val="00CD0B8F"/>
    <w:rsid w:val="00CD2254"/>
    <w:rsid w:val="00CD788D"/>
    <w:rsid w:val="00CE0B00"/>
    <w:rsid w:val="00CF01E7"/>
    <w:rsid w:val="00CF32AA"/>
    <w:rsid w:val="00D01803"/>
    <w:rsid w:val="00D023AB"/>
    <w:rsid w:val="00D03FF0"/>
    <w:rsid w:val="00D16540"/>
    <w:rsid w:val="00D223FF"/>
    <w:rsid w:val="00D274C6"/>
    <w:rsid w:val="00D30BCC"/>
    <w:rsid w:val="00D34E58"/>
    <w:rsid w:val="00D54988"/>
    <w:rsid w:val="00D61ADC"/>
    <w:rsid w:val="00D635DD"/>
    <w:rsid w:val="00D648E7"/>
    <w:rsid w:val="00D70D9E"/>
    <w:rsid w:val="00D76D01"/>
    <w:rsid w:val="00D7709C"/>
    <w:rsid w:val="00D81A22"/>
    <w:rsid w:val="00D8287F"/>
    <w:rsid w:val="00D92CB9"/>
    <w:rsid w:val="00DA1477"/>
    <w:rsid w:val="00DA1D8F"/>
    <w:rsid w:val="00DB2267"/>
    <w:rsid w:val="00DB378F"/>
    <w:rsid w:val="00DC664F"/>
    <w:rsid w:val="00DD3117"/>
    <w:rsid w:val="00DD3706"/>
    <w:rsid w:val="00DE2A80"/>
    <w:rsid w:val="00DF2D43"/>
    <w:rsid w:val="00E00C48"/>
    <w:rsid w:val="00E07679"/>
    <w:rsid w:val="00E07D74"/>
    <w:rsid w:val="00E11BF4"/>
    <w:rsid w:val="00E36556"/>
    <w:rsid w:val="00E36EAE"/>
    <w:rsid w:val="00E40016"/>
    <w:rsid w:val="00E43CD8"/>
    <w:rsid w:val="00E5755E"/>
    <w:rsid w:val="00E72001"/>
    <w:rsid w:val="00E725B8"/>
    <w:rsid w:val="00E7405E"/>
    <w:rsid w:val="00E750EB"/>
    <w:rsid w:val="00E87795"/>
    <w:rsid w:val="00E922CD"/>
    <w:rsid w:val="00E92C9D"/>
    <w:rsid w:val="00E9510E"/>
    <w:rsid w:val="00EC2C1C"/>
    <w:rsid w:val="00ED3A89"/>
    <w:rsid w:val="00EF368F"/>
    <w:rsid w:val="00EF430B"/>
    <w:rsid w:val="00F0782C"/>
    <w:rsid w:val="00F15FB5"/>
    <w:rsid w:val="00F25715"/>
    <w:rsid w:val="00F30FDF"/>
    <w:rsid w:val="00F355D5"/>
    <w:rsid w:val="00F401A1"/>
    <w:rsid w:val="00F460B9"/>
    <w:rsid w:val="00F47F99"/>
    <w:rsid w:val="00F5103D"/>
    <w:rsid w:val="00F62F4D"/>
    <w:rsid w:val="00F70217"/>
    <w:rsid w:val="00F72FD9"/>
    <w:rsid w:val="00F737FF"/>
    <w:rsid w:val="00F75057"/>
    <w:rsid w:val="00F763CA"/>
    <w:rsid w:val="00F81E34"/>
    <w:rsid w:val="00F97513"/>
    <w:rsid w:val="00F97E82"/>
    <w:rsid w:val="00FA0486"/>
    <w:rsid w:val="00FB1180"/>
    <w:rsid w:val="00FC2DBD"/>
    <w:rsid w:val="00FD2E41"/>
    <w:rsid w:val="00FE115D"/>
    <w:rsid w:val="00FF6123"/>
    <w:rsid w:val="00FF7E7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8FCD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Betarp">
    <w:name w:val="No Spacing"/>
    <w:uiPriority w:val="1"/>
    <w:qFormat/>
    <w:rsid w:val="002A5CF9"/>
    <w:pPr>
      <w:spacing w:after="0" w:line="240" w:lineRule="auto"/>
    </w:pPr>
  </w:style>
  <w:style w:type="character" w:styleId="Hipersaitas">
    <w:name w:val="Hyperlink"/>
    <w:basedOn w:val="Numatytasispastraiposriftas"/>
    <w:uiPriority w:val="99"/>
    <w:unhideWhenUsed/>
    <w:rsid w:val="00D16540"/>
    <w:rPr>
      <w:color w:val="0563C1" w:themeColor="hyperlink"/>
      <w:u w:val="single"/>
    </w:rPr>
  </w:style>
  <w:style w:type="character" w:customStyle="1" w:styleId="UnresolvedMention">
    <w:name w:val="Unresolved Mention"/>
    <w:basedOn w:val="Numatytasispastraiposriftas"/>
    <w:uiPriority w:val="99"/>
    <w:semiHidden/>
    <w:unhideWhenUsed/>
    <w:rsid w:val="00D16540"/>
    <w:rPr>
      <w:color w:val="605E5C"/>
      <w:shd w:val="clear" w:color="auto" w:fill="E1DFDD"/>
    </w:rPr>
  </w:style>
  <w:style w:type="paragraph" w:styleId="Komentarotekstas">
    <w:name w:val="annotation text"/>
    <w:basedOn w:val="prastasis"/>
    <w:link w:val="KomentarotekstasDiagrama"/>
    <w:unhideWhenUsed/>
    <w:rsid w:val="005A526E"/>
    <w:pPr>
      <w:spacing w:after="0" w:line="240" w:lineRule="auto"/>
    </w:pPr>
    <w:rPr>
      <w:rFonts w:ascii="Times New Roman" w:eastAsia="Times New Roman" w:hAnsi="Times New Roman" w:cs="Times New Roman"/>
      <w:sz w:val="20"/>
      <w:szCs w:val="20"/>
    </w:rPr>
  </w:style>
  <w:style w:type="character" w:customStyle="1" w:styleId="KomentarotekstasDiagrama">
    <w:name w:val="Komentaro tekstas Diagrama"/>
    <w:basedOn w:val="Numatytasispastraiposriftas"/>
    <w:link w:val="Komentarotekstas"/>
    <w:rsid w:val="005A526E"/>
    <w:rPr>
      <w:rFonts w:ascii="Times New Roman" w:eastAsia="Times New Roman" w:hAnsi="Times New Roman" w:cs="Times New Roman"/>
      <w:sz w:val="20"/>
      <w:szCs w:val="20"/>
    </w:rPr>
  </w:style>
  <w:style w:type="character" w:styleId="Komentaronuoroda">
    <w:name w:val="annotation reference"/>
    <w:basedOn w:val="Numatytasispastraiposriftas"/>
    <w:semiHidden/>
    <w:unhideWhenUsed/>
    <w:rsid w:val="005A526E"/>
    <w:rPr>
      <w:sz w:val="16"/>
      <w:szCs w:val="16"/>
    </w:rPr>
  </w:style>
  <w:style w:type="paragraph" w:styleId="Pataisymai">
    <w:name w:val="Revision"/>
    <w:hidden/>
    <w:uiPriority w:val="99"/>
    <w:semiHidden/>
    <w:rsid w:val="007063B1"/>
    <w:pPr>
      <w:spacing w:after="0" w:line="240" w:lineRule="auto"/>
    </w:pPr>
  </w:style>
  <w:style w:type="paragraph" w:styleId="Komentarotema">
    <w:name w:val="annotation subject"/>
    <w:basedOn w:val="Komentarotekstas"/>
    <w:next w:val="Komentarotekstas"/>
    <w:link w:val="KomentarotemaDiagrama"/>
    <w:uiPriority w:val="99"/>
    <w:semiHidden/>
    <w:unhideWhenUsed/>
    <w:rsid w:val="00F75057"/>
    <w:pPr>
      <w:spacing w:after="160"/>
    </w:pPr>
    <w:rPr>
      <w:rFonts w:asciiTheme="minorHAnsi" w:eastAsiaTheme="minorHAnsi" w:hAnsiTheme="minorHAnsi" w:cstheme="minorBidi"/>
      <w:b/>
      <w:bCs/>
    </w:rPr>
  </w:style>
  <w:style w:type="character" w:customStyle="1" w:styleId="KomentarotemaDiagrama">
    <w:name w:val="Komentaro tema Diagrama"/>
    <w:basedOn w:val="KomentarotekstasDiagrama"/>
    <w:link w:val="Komentarotema"/>
    <w:uiPriority w:val="99"/>
    <w:semiHidden/>
    <w:rsid w:val="00F75057"/>
    <w:rPr>
      <w:rFonts w:ascii="Times New Roman" w:eastAsia="Times New Roman" w:hAnsi="Times New Roman" w:cs="Times New Roman"/>
      <w:b/>
      <w:bCs/>
      <w:sz w:val="20"/>
      <w:szCs w:val="20"/>
    </w:rPr>
  </w:style>
  <w:style w:type="paragraph" w:styleId="Antrats">
    <w:name w:val="header"/>
    <w:basedOn w:val="prastasis"/>
    <w:link w:val="AntratsDiagrama"/>
    <w:uiPriority w:val="99"/>
    <w:unhideWhenUsed/>
    <w:rsid w:val="000F7F71"/>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F7F71"/>
  </w:style>
  <w:style w:type="paragraph" w:styleId="Porat">
    <w:name w:val="footer"/>
    <w:basedOn w:val="prastasis"/>
    <w:link w:val="PoratDiagrama"/>
    <w:uiPriority w:val="99"/>
    <w:unhideWhenUsed/>
    <w:rsid w:val="000F7F71"/>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0F7F71"/>
  </w:style>
  <w:style w:type="paragraph" w:styleId="Debesliotekstas">
    <w:name w:val="Balloon Text"/>
    <w:basedOn w:val="prastasis"/>
    <w:link w:val="DebesliotekstasDiagrama"/>
    <w:uiPriority w:val="99"/>
    <w:semiHidden/>
    <w:unhideWhenUsed/>
    <w:rsid w:val="00FC2DBD"/>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FC2DB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4965</Words>
  <Characters>2831</Characters>
  <Application>Microsoft Office Word</Application>
  <DocSecurity>0</DocSecurity>
  <Lines>23</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2025-09-23T08:50:00Z</dcterms:created>
  <dcterms:modified xsi:type="dcterms:W3CDTF">2025-09-23T08:50:00Z</dcterms:modified>
</cp:coreProperties>
</file>