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a2452000f53467a964d53a2d9cdd823"/>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1132EA67" wp14:editId="6957375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 SEIMO VALDYBA</w:t>
          </w:r>
        </w:p>
        <w:p>
          <w:pPr>
            <w:jc w:val="center"/>
            <w:rPr>
              <w:b/>
              <w:caps/>
            </w:rPr>
          </w:pPr>
        </w:p>
        <w:p>
          <w:pPr>
            <w:jc w:val="center"/>
            <w:rPr>
              <w:b/>
              <w:caps/>
            </w:rPr>
          </w:pPr>
        </w:p>
        <w:p>
          <w:pPr>
            <w:jc w:val="center"/>
            <w:rPr>
              <w:b/>
              <w:bCs/>
              <w:caps/>
            </w:rPr>
          </w:pPr>
          <w:r>
            <w:rPr>
              <w:b/>
              <w:caps/>
            </w:rPr>
            <w:t>SPRENDIMAS</w:t>
          </w:r>
        </w:p>
        <w:p>
          <w:pPr>
            <w:jc w:val="center"/>
            <w:rPr>
              <w:b/>
              <w:caps/>
            </w:rPr>
          </w:pPr>
          <w:r>
            <w:rPr>
              <w:b/>
              <w:caps/>
            </w:rPr>
            <w:t>DĖL SEIMO VALDYBOS 2018 M. SAUSIO 31 D. SPRENDIMO NR. SV-S-571 „DĖL LIETUVOS RESPUBLIKOS SEIMO, SEIMO KOMITETŲ IR KOMISIJŲ, SEIMO FRAKCIJŲ IR SEIMO NARIŲ VEIKLOS STATISTINIŲ DUOMENŲ SKAIČIAVIMO IR SKELBIMO TVARKOS APRAŠO PATVIRTINIMO“ PAKEITIMO</w:t>
          </w:r>
        </w:p>
        <w:p>
          <w:pPr>
            <w:jc w:val="center"/>
            <w:rPr>
              <w:b/>
              <w:caps/>
            </w:rPr>
          </w:pPr>
        </w:p>
        <w:p>
          <w:pPr>
            <w:jc w:val="center"/>
            <w:rPr>
              <w:szCs w:val="24"/>
            </w:rPr>
          </w:pPr>
          <w:r>
            <w:rPr>
              <w:szCs w:val="24"/>
              <w:lang w:val="en-US"/>
            </w:rPr>
            <w:t>2020</w:t>
          </w:r>
          <w:r>
            <w:rPr>
              <w:szCs w:val="24"/>
            </w:rPr>
            <w:t xml:space="preserve"> m. </w:t>
          </w:r>
          <w:r>
            <w:rPr>
              <w:szCs w:val="24"/>
              <w:lang w:val="en-US"/>
            </w:rPr>
            <w:t>lapkričio</w:t>
          </w:r>
          <w:r>
            <w:rPr>
              <w:szCs w:val="24"/>
            </w:rPr>
            <w:t xml:space="preserve"> </w:t>
          </w:r>
          <w:r>
            <w:rPr>
              <w:szCs w:val="24"/>
              <w:lang w:val="en-US"/>
            </w:rPr>
            <w:t>10</w:t>
          </w:r>
          <w:r>
            <w:rPr>
              <w:szCs w:val="24"/>
            </w:rPr>
            <w:t xml:space="preserve"> d. Nr. SV-S-</w:t>
          </w:r>
          <w:r>
            <w:rPr>
              <w:szCs w:val="24"/>
              <w:lang w:val="en-US"/>
            </w:rPr>
            <w:t>1697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preambule"/>
            <w:tag w:val="part_2e91a7ee3e01409da638b40f7eec05aa"/>
            <w:lock w:val="sdtLocked"/>
            <w:richText/>
          </w:sdtPr>
          <w:sdtContent>
            <w:p>
              <w:pPr>
                <w:spacing w:line="360" w:lineRule="auto"/>
                <w:ind w:firstLine="720"/>
                <w:jc w:val="both"/>
                <w:rPr>
                  <w:szCs w:val="24"/>
                </w:rPr>
              </w:pPr>
              <w:r>
                <w:rPr>
                  <w:szCs w:val="24"/>
                </w:rPr>
                <w:t xml:space="preserve">Lietuvos Respublikos Seimo valdyba, vadovaudamasi Lietuvos Respublikos Seimo statuto 32 straipsnio 14 punktu, </w:t>
              </w:r>
              <w:r>
                <w:rPr>
                  <w:spacing w:val="60"/>
                  <w:szCs w:val="24"/>
                </w:rPr>
                <w:t>nusprendži</w:t>
              </w:r>
              <w:r>
                <w:rPr>
                  <w:szCs w:val="24"/>
                </w:rPr>
                <w:t>a:</w:t>
              </w:r>
            </w:p>
          </w:sdtContent>
        </w:sdt>
        <w:sdt>
          <w:sdtPr>
            <w:alias w:val="1 p."/>
            <w:tag w:val="part_f15e80f9219c4f2f8c02f76806024279"/>
            <w:lock w:val="sdtLocked"/>
            <w:richText/>
          </w:sdtPr>
          <w:sdtContent>
            <w:p>
              <w:pPr>
                <w:spacing w:line="360" w:lineRule="auto"/>
                <w:ind w:firstLine="720"/>
                <w:jc w:val="both"/>
                <w:rPr>
                  <w:szCs w:val="24"/>
                </w:rPr>
              </w:pPr>
              <w:sdt>
                <w:sdtPr>
                  <w:alias w:val="Numeris"/>
                  <w:tag w:val="nr_f15e80f9219c4f2f8c02f76806024279"/>
                  <w:lock w:val="sdtLocked"/>
                  <w:richText/>
                </w:sdtPr>
                <w:sdtContent>
                  <w:r>
                    <w:rPr>
                      <w:szCs w:val="24"/>
                    </w:rPr>
                    <w:t>1</w:t>
                  </w:r>
                </w:sdtContent>
              </w:sdt>
              <w:r>
                <w:rPr>
                  <w:szCs w:val="24"/>
                </w:rPr>
                <w:t>. Pakeisti Lietuvos Respublikos Seimo, Seimo komitetų ir komisijų, Seimo frakcijų ir Seimo narių veiklos statistinių duomenų skaičiavimo ir skelbimo tvarkos aprašą, patvirtintą Lietuvos Respublikos Seimo valdybos 2018 m. sausio 31 d. sprendimu Nr. SV-S-571 „Dėl Lietuvos Respublikos Seimo, Seimo komitetų ir komisijų, Seimo frakcijų ir Seimo narių veiklos statistinių duomenų skaičiavimo ir skelbimo tvarkos aprašo patvirtinimo“:</w:t>
              </w:r>
            </w:p>
            <w:sdt>
              <w:sdtPr>
                <w:alias w:val="1.1 pp."/>
                <w:tag w:val="part_d1735ea614814be38ff3bab58ee2355f"/>
                <w:lock w:val="sdtLocked"/>
                <w:richText/>
              </w:sdtPr>
              <w:sdtContent>
                <w:p>
                  <w:pPr>
                    <w:spacing w:line="360" w:lineRule="auto"/>
                    <w:ind w:firstLine="720"/>
                    <w:jc w:val="both"/>
                    <w:rPr>
                      <w:szCs w:val="24"/>
                    </w:rPr>
                  </w:pPr>
                  <w:sdt>
                    <w:sdtPr>
                      <w:alias w:val="Numeris"/>
                      <w:tag w:val="nr_d1735ea614814be38ff3bab58ee2355f"/>
                      <w:lock w:val="sdtLocked"/>
                      <w:richText/>
                    </w:sdtPr>
                    <w:sdtContent>
                      <w:r>
                        <w:rPr>
                          <w:szCs w:val="24"/>
                        </w:rPr>
                        <w:t>1.1</w:t>
                      </w:r>
                    </w:sdtContent>
                  </w:sdt>
                  <w:r>
                    <w:rPr>
                      <w:szCs w:val="24"/>
                    </w:rPr>
                    <w:t>. Pakeisti 5 punktą ir jį išdėstyti taip:</w:t>
                  </w:r>
                </w:p>
                <w:sdt>
                  <w:sdtPr>
                    <w:alias w:val="citata"/>
                    <w:tag w:val="part_65b3d2d14d194baf8ea366de1fb2dad6"/>
                    <w:lock w:val="sdtLocked"/>
                    <w:richText/>
                  </w:sdtPr>
                  <w:sdtContent>
                    <w:sdt>
                      <w:sdtPr>
                        <w:alias w:val="5 p."/>
                        <w:tag w:val="part_239d78aee0414ffb8bc733ed0447ce25"/>
                        <w:lock w:val="sdtLocked"/>
                        <w:richText/>
                      </w:sdtPr>
                      <w:sdtContent>
                        <w:p>
                          <w:pPr>
                            <w:spacing w:line="360" w:lineRule="auto"/>
                            <w:ind w:firstLine="720"/>
                            <w:jc w:val="both"/>
                            <w:rPr>
                              <w:rFonts w:eastAsia="Calibri"/>
                              <w:szCs w:val="24"/>
                              <w:lang w:eastAsia="lt-LT"/>
                            </w:rPr>
                          </w:pPr>
                          <w:r>
                            <w:rPr>
                              <w:rFonts w:eastAsia="Calibri"/>
                              <w:szCs w:val="24"/>
                              <w:lang w:eastAsia="lt-LT"/>
                            </w:rPr>
                            <w:t>„</w:t>
                          </w:r>
                          <w:sdt>
                            <w:sdtPr>
                              <w:alias w:val="Numeris"/>
                              <w:tag w:val="nr_239d78aee0414ffb8bc733ed0447ce25"/>
                              <w:lock w:val="sdtLocked"/>
                              <w:richText/>
                            </w:sdtPr>
                            <w:sdtContent>
                              <w:r>
                                <w:rPr>
                                  <w:rFonts w:eastAsia="Calibri"/>
                                  <w:szCs w:val="24"/>
                                  <w:lang w:eastAsia="lt-LT"/>
                                </w:rPr>
                                <w:t>5</w:t>
                              </w:r>
                            </w:sdtContent>
                          </w:sdt>
                          <w:r>
                            <w:rPr>
                              <w:rFonts w:eastAsia="Calibri"/>
                              <w:szCs w:val="24"/>
                              <w:lang w:eastAsia="lt-LT"/>
                            </w:rPr>
                            <w:t>. Skaičiuojami šie duomenys apie Seimo komitetų ir komisijų veiklą:</w:t>
                          </w:r>
                        </w:p>
                        <w:sdt>
                          <w:sdtPr>
                            <w:alias w:val="5.1 pp."/>
                            <w:tag w:val="part_071f40b471c947368af3f9a5c3ca97b4"/>
                            <w:lock w:val="sdtLocked"/>
                            <w:richText/>
                          </w:sdtPr>
                          <w:sdtContent>
                            <w:p>
                              <w:pPr>
                                <w:spacing w:line="360" w:lineRule="auto"/>
                                <w:ind w:firstLine="720"/>
                                <w:jc w:val="both"/>
                                <w:rPr>
                                  <w:rFonts w:eastAsia="Calibri"/>
                                  <w:szCs w:val="24"/>
                                  <w:lang w:eastAsia="lt-LT"/>
                                </w:rPr>
                              </w:pPr>
                              <w:sdt>
                                <w:sdtPr>
                                  <w:alias w:val="Numeris"/>
                                  <w:tag w:val="nr_071f40b471c947368af3f9a5c3ca97b4"/>
                                  <w:lock w:val="sdtLocked"/>
                                  <w:richText/>
                                </w:sdtPr>
                                <w:sdtContent>
                                  <w:r>
                                    <w:rPr>
                                      <w:rFonts w:eastAsia="Calibri"/>
                                      <w:szCs w:val="24"/>
                                      <w:lang w:eastAsia="lt-LT"/>
                                    </w:rPr>
                                    <w:t>5.1</w:t>
                                  </w:r>
                                </w:sdtContent>
                              </w:sdt>
                              <w:r>
                                <w:rPr>
                                  <w:rFonts w:eastAsia="Calibri"/>
                                  <w:szCs w:val="24"/>
                                  <w:lang w:eastAsia="lt-LT"/>
                                </w:rPr>
                                <w:t xml:space="preserve">. Seimo pavedimų svarstyti teisės aktų projektus (toliau – pavedimai) skaičius pagal komitetus (komisijas), nurodant, kiek pavedimų komitetui (komisijai) buvo paskirta kaip  pagrindiniam ir kiek – kaip papildomam komitetui; </w:t>
                              </w:r>
                            </w:p>
                          </w:sdtContent>
                        </w:sdt>
                        <w:sdt>
                          <w:sdtPr>
                            <w:alias w:val="5.2 pp."/>
                            <w:tag w:val="part_a4527d53e9c648289f184dc3593c60c2"/>
                            <w:lock w:val="sdtLocked"/>
                            <w:richText/>
                          </w:sdtPr>
                          <w:sdtContent>
                            <w:p>
                              <w:pPr>
                                <w:spacing w:line="360" w:lineRule="auto"/>
                                <w:ind w:firstLine="720"/>
                                <w:jc w:val="both"/>
                                <w:rPr>
                                  <w:rFonts w:eastAsia="Calibri"/>
                                  <w:szCs w:val="24"/>
                                  <w:lang w:eastAsia="lt-LT"/>
                                </w:rPr>
                              </w:pPr>
                              <w:sdt>
                                <w:sdtPr>
                                  <w:alias w:val="Numeris"/>
                                  <w:tag w:val="nr_a4527d53e9c648289f184dc3593c60c2"/>
                                  <w:lock w:val="sdtLocked"/>
                                  <w:richText/>
                                </w:sdtPr>
                                <w:sdtContent>
                                  <w:r>
                                    <w:rPr>
                                      <w:rFonts w:eastAsia="Calibri"/>
                                      <w:szCs w:val="24"/>
                                      <w:lang w:eastAsia="lt-LT"/>
                                    </w:rPr>
                                    <w:t>5.2</w:t>
                                  </w:r>
                                </w:sdtContent>
                              </w:sdt>
                              <w:r>
                                <w:rPr>
                                  <w:rFonts w:eastAsia="Calibri"/>
                                  <w:szCs w:val="24"/>
                                  <w:lang w:eastAsia="lt-LT"/>
                                </w:rPr>
                                <w:t>. pavedimų įvykdymas pagal komitetus (komisijas), išskiriant pagal pavedimo pobūdį (pagrindinis ar papildomas komitetas) ir nurodant:</w:t>
                              </w:r>
                            </w:p>
                            <w:sdt>
                              <w:sdtPr>
                                <w:alias w:val="5.2.1 pp."/>
                                <w:tag w:val="part_11331ccb526d48e39c13bee9db44ed1b"/>
                                <w:lock w:val="sdtLocked"/>
                                <w:richText/>
                              </w:sdtPr>
                              <w:sdtContent>
                                <w:p>
                                  <w:pPr>
                                    <w:spacing w:line="360" w:lineRule="auto"/>
                                    <w:ind w:firstLine="720"/>
                                    <w:jc w:val="both"/>
                                    <w:rPr>
                                      <w:rFonts w:eastAsia="Calibri"/>
                                      <w:szCs w:val="24"/>
                                      <w:lang w:eastAsia="lt-LT"/>
                                    </w:rPr>
                                  </w:pPr>
                                  <w:sdt>
                                    <w:sdtPr>
                                      <w:alias w:val="Numeris"/>
                                      <w:tag w:val="nr_11331ccb526d48e39c13bee9db44ed1b"/>
                                      <w:lock w:val="sdtLocked"/>
                                      <w:richText/>
                                    </w:sdtPr>
                                    <w:sdtContent>
                                      <w:r>
                                        <w:rPr>
                                          <w:rFonts w:eastAsia="Calibri"/>
                                          <w:szCs w:val="24"/>
                                          <w:lang w:eastAsia="lt-LT"/>
                                        </w:rPr>
                                        <w:t>5.2.1</w:t>
                                      </w:r>
                                    </w:sdtContent>
                                  </w:sdt>
                                  <w:r>
                                    <w:rPr>
                                      <w:rFonts w:eastAsia="Calibri"/>
                                      <w:szCs w:val="24"/>
                                      <w:lang w:eastAsia="lt-LT"/>
                                    </w:rPr>
                                    <w:t>. kiek pavedimų yra įvykdyta laiku (tai yra pagrindinis komitetas teisės akto projektą apsvarstė ir išvadas pateikė Seimo nustatytais terminais, o papildomas komitetas – pagrindinio komiteto nustatytais terminais);</w:t>
                                  </w:r>
                                </w:p>
                              </w:sdtContent>
                            </w:sdt>
                            <w:sdt>
                              <w:sdtPr>
                                <w:alias w:val="5.2.2 pp."/>
                                <w:tag w:val="part_791eb1a8803f4c17bd2fa41a7d0b5b73"/>
                                <w:lock w:val="sdtLocked"/>
                                <w:richText/>
                              </w:sdtPr>
                              <w:sdtContent>
                                <w:p>
                                  <w:pPr>
                                    <w:spacing w:line="360" w:lineRule="auto"/>
                                    <w:ind w:firstLine="720"/>
                                    <w:jc w:val="both"/>
                                    <w:rPr>
                                      <w:rFonts w:eastAsia="Calibri"/>
                                      <w:szCs w:val="24"/>
                                      <w:lang w:eastAsia="lt-LT"/>
                                    </w:rPr>
                                  </w:pPr>
                                  <w:sdt>
                                    <w:sdtPr>
                                      <w:alias w:val="Numeris"/>
                                      <w:tag w:val="nr_791eb1a8803f4c17bd2fa41a7d0b5b73"/>
                                      <w:lock w:val="sdtLocked"/>
                                      <w:richText/>
                                    </w:sdtPr>
                                    <w:sdtContent>
                                      <w:r>
                                        <w:rPr>
                                          <w:rFonts w:eastAsia="Calibri"/>
                                          <w:szCs w:val="24"/>
                                          <w:lang w:eastAsia="lt-LT"/>
                                        </w:rPr>
                                        <w:t>5.2.2</w:t>
                                      </w:r>
                                    </w:sdtContent>
                                  </w:sdt>
                                  <w:r>
                                    <w:rPr>
                                      <w:rFonts w:eastAsia="Calibri"/>
                                      <w:szCs w:val="24"/>
                                      <w:lang w:eastAsia="lt-LT"/>
                                    </w:rPr>
                                    <w:t>. kiek pavedimų yra įvykdyta vėluojant (tai yra vėliau negu Aprašo 5.2.1 papunktyje nurodytais terminais);</w:t>
                                  </w:r>
                                </w:p>
                              </w:sdtContent>
                            </w:sdt>
                            <w:sdt>
                              <w:sdtPr>
                                <w:alias w:val="5.2.3 pp."/>
                                <w:tag w:val="part_fa40595608684ee5ac37b9d6f69c451e"/>
                                <w:lock w:val="sdtLocked"/>
                                <w:richText/>
                              </w:sdtPr>
                              <w:sdtContent>
                                <w:p>
                                  <w:pPr>
                                    <w:spacing w:line="360" w:lineRule="auto"/>
                                    <w:ind w:firstLine="720"/>
                                    <w:jc w:val="both"/>
                                    <w:rPr>
                                      <w:rFonts w:eastAsia="Calibri"/>
                                      <w:szCs w:val="24"/>
                                      <w:lang w:eastAsia="lt-LT"/>
                                    </w:rPr>
                                  </w:pPr>
                                  <w:sdt>
                                    <w:sdtPr>
                                      <w:alias w:val="Numeris"/>
                                      <w:tag w:val="nr_fa40595608684ee5ac37b9d6f69c451e"/>
                                      <w:lock w:val="sdtLocked"/>
                                      <w:richText/>
                                    </w:sdtPr>
                                    <w:sdtContent>
                                      <w:r>
                                        <w:rPr>
                                          <w:rFonts w:eastAsia="Calibri"/>
                                          <w:szCs w:val="24"/>
                                          <w:lang w:eastAsia="lt-LT"/>
                                        </w:rPr>
                                        <w:t>5.2.3</w:t>
                                      </w:r>
                                    </w:sdtContent>
                                  </w:sdt>
                                  <w:r>
                                    <w:rPr>
                                      <w:rFonts w:eastAsia="Calibri"/>
                                      <w:szCs w:val="24"/>
                                      <w:lang w:eastAsia="lt-LT"/>
                                    </w:rPr>
                                    <w:t>. kiek pavedimų yra neįvykdyta, tačiau nėra pasibaigę Aprašo 5.2.1 papunktyje nurodyti terminai;</w:t>
                                  </w:r>
                                </w:p>
                              </w:sdtContent>
                            </w:sdt>
                            <w:sdt>
                              <w:sdtPr>
                                <w:alias w:val="5.2.4 pp."/>
                                <w:tag w:val="part_981f537e7b1a434db992f74bbd740883"/>
                                <w:lock w:val="sdtLocked"/>
                                <w:richText/>
                              </w:sdtPr>
                              <w:sdtContent>
                                <w:p>
                                  <w:pPr>
                                    <w:spacing w:line="360" w:lineRule="auto"/>
                                    <w:ind w:firstLine="720"/>
                                    <w:jc w:val="both"/>
                                    <w:rPr>
                                      <w:rFonts w:eastAsia="Calibri"/>
                                      <w:szCs w:val="24"/>
                                      <w:lang w:eastAsia="lt-LT"/>
                                    </w:rPr>
                                  </w:pPr>
                                  <w:sdt>
                                    <w:sdtPr>
                                      <w:alias w:val="Numeris"/>
                                      <w:tag w:val="nr_981f537e7b1a434db992f74bbd740883"/>
                                      <w:lock w:val="sdtLocked"/>
                                      <w:richText/>
                                    </w:sdtPr>
                                    <w:sdtContent>
                                      <w:r>
                                        <w:rPr>
                                          <w:rFonts w:eastAsia="Calibri"/>
                                          <w:szCs w:val="24"/>
                                          <w:lang w:eastAsia="lt-LT"/>
                                        </w:rPr>
                                        <w:t>5.2.4</w:t>
                                      </w:r>
                                    </w:sdtContent>
                                  </w:sdt>
                                  <w:r>
                                    <w:rPr>
                                      <w:rFonts w:eastAsia="Calibri"/>
                                      <w:szCs w:val="24"/>
                                      <w:lang w:eastAsia="lt-LT"/>
                                    </w:rPr>
                                    <w:t>. kiek pavedimų yra neįvykdyta ir yra vėluojama juos įvykdyti Aprašo 5.2.1 papunktyje nurodytais terminais;</w:t>
                                  </w:r>
                                </w:p>
                              </w:sdtContent>
                            </w:sdt>
                          </w:sdtContent>
                        </w:sdt>
                        <w:sdt>
                          <w:sdtPr>
                            <w:alias w:val="5.3 pp."/>
                            <w:tag w:val="part_0a9da35048014496b93ec460f4d47f1c"/>
                            <w:lock w:val="sdtLocked"/>
                            <w:richText/>
                          </w:sdtPr>
                          <w:sdtContent>
                            <w:p>
                              <w:pPr>
                                <w:spacing w:line="360" w:lineRule="auto"/>
                                <w:ind w:firstLine="720"/>
                                <w:jc w:val="both"/>
                                <w:rPr>
                                  <w:rFonts w:eastAsia="Calibri"/>
                                  <w:szCs w:val="24"/>
                                  <w:lang w:eastAsia="lt-LT"/>
                                </w:rPr>
                              </w:pPr>
                              <w:sdt>
                                <w:sdtPr>
                                  <w:alias w:val="Numeris"/>
                                  <w:tag w:val="nr_0a9da35048014496b93ec460f4d47f1c"/>
                                  <w:lock w:val="sdtLocked"/>
                                  <w:richText/>
                                </w:sdtPr>
                                <w:sdtContent>
                                  <w:r>
                                    <w:rPr>
                                      <w:rFonts w:eastAsia="Calibri"/>
                                      <w:szCs w:val="24"/>
                                      <w:lang w:eastAsia="lt-LT"/>
                                    </w:rPr>
                                    <w:t>5.3</w:t>
                                  </w:r>
                                </w:sdtContent>
                              </w:sdt>
                              <w:r>
                                <w:rPr>
                                  <w:rFonts w:eastAsia="Calibri"/>
                                  <w:szCs w:val="24"/>
                                  <w:lang w:eastAsia="lt-LT"/>
                                </w:rPr>
                                <w:t xml:space="preserve">. komiteto (komisijos) posėdžių skaičius pagal komitetus (komisijas), nurodant išvažiuojamųjų ir bendrų su kitais komitetais (komisijomis) posėdžių skaičių; </w:t>
                              </w:r>
                            </w:p>
                          </w:sdtContent>
                        </w:sdt>
                        <w:sdt>
                          <w:sdtPr>
                            <w:alias w:val="5.4 pp."/>
                            <w:tag w:val="part_175a9cbcd0564fcd9c938f09ad8234ec"/>
                            <w:lock w:val="sdtLocked"/>
                            <w:richText/>
                          </w:sdtPr>
                          <w:sdtContent>
                            <w:p>
                              <w:pPr>
                                <w:spacing w:line="360" w:lineRule="auto"/>
                                <w:ind w:firstLine="720"/>
                                <w:jc w:val="both"/>
                                <w:rPr>
                                  <w:rFonts w:eastAsia="Calibri"/>
                                  <w:szCs w:val="24"/>
                                  <w:lang w:eastAsia="lt-LT"/>
                                </w:rPr>
                              </w:pPr>
                              <w:sdt>
                                <w:sdtPr>
                                  <w:alias w:val="Numeris"/>
                                  <w:tag w:val="nr_175a9cbcd0564fcd9c938f09ad8234ec"/>
                                  <w:lock w:val="sdtLocked"/>
                                  <w:richText/>
                                </w:sdtPr>
                                <w:sdtContent>
                                  <w:r>
                                    <w:rPr>
                                      <w:rFonts w:eastAsia="Calibri"/>
                                      <w:szCs w:val="24"/>
                                      <w:lang w:eastAsia="lt-LT"/>
                                    </w:rPr>
                                    <w:t>5.4</w:t>
                                  </w:r>
                                </w:sdtContent>
                              </w:sdt>
                              <w:r>
                                <w:rPr>
                                  <w:rFonts w:eastAsia="Calibri"/>
                                  <w:szCs w:val="24"/>
                                  <w:lang w:eastAsia="lt-LT"/>
                                </w:rPr>
                                <w:t xml:space="preserve">.  komiteto (komisijos) surengtų klausymų skaičius pagal komitetus (komisijas); </w:t>
                              </w:r>
                            </w:p>
                          </w:sdtContent>
                        </w:sdt>
                        <w:sdt>
                          <w:sdtPr>
                            <w:alias w:val="5.5 pp."/>
                            <w:tag w:val="part_490e5cf10da643d898c56a02d17fe53b"/>
                            <w:lock w:val="sdtLocked"/>
                            <w:richText/>
                          </w:sdtPr>
                          <w:sdtContent>
                            <w:p>
                              <w:pPr>
                                <w:spacing w:line="360" w:lineRule="auto"/>
                                <w:ind w:firstLine="720"/>
                                <w:jc w:val="both"/>
                                <w:rPr>
                                  <w:rFonts w:eastAsia="Calibri"/>
                                  <w:szCs w:val="24"/>
                                  <w:lang w:eastAsia="lt-LT"/>
                                </w:rPr>
                              </w:pPr>
                              <w:sdt>
                                <w:sdtPr>
                                  <w:alias w:val="Numeris"/>
                                  <w:tag w:val="nr_490e5cf10da643d898c56a02d17fe53b"/>
                                  <w:lock w:val="sdtLocked"/>
                                  <w:richText/>
                                </w:sdtPr>
                                <w:sdtContent>
                                  <w:r>
                                    <w:rPr>
                                      <w:rFonts w:eastAsia="Calibri"/>
                                      <w:szCs w:val="24"/>
                                    </w:rPr>
                                    <w:t>5.5</w:t>
                                  </w:r>
                                </w:sdtContent>
                              </w:sdt>
                              <w:r>
                                <w:rPr>
                                  <w:rFonts w:eastAsia="Calibri"/>
                                  <w:szCs w:val="24"/>
                                </w:rPr>
                                <w:t xml:space="preserve">. komiteto </w:t>
                              </w:r>
                              <w:r>
                                <w:rPr>
                                  <w:rFonts w:eastAsia="Calibri"/>
                                  <w:szCs w:val="24"/>
                                  <w:lang w:eastAsia="lt-LT"/>
                                </w:rPr>
                                <w:t xml:space="preserve">(komisijos) </w:t>
                              </w:r>
                              <w:r>
                                <w:rPr>
                                  <w:rFonts w:eastAsia="Calibri"/>
                                  <w:szCs w:val="24"/>
                                </w:rPr>
                                <w:t xml:space="preserve">svarstytų parlamentinės kontrolės klausimų skaičius </w:t>
                              </w:r>
                              <w:r>
                                <w:rPr>
                                  <w:rFonts w:eastAsia="Calibri"/>
                                  <w:szCs w:val="24"/>
                                  <w:lang w:eastAsia="lt-LT"/>
                                </w:rPr>
                                <w:t>pagal komitetus (komisijas)</w:t>
                              </w:r>
                              <w:r>
                                <w:rPr>
                                  <w:rFonts w:eastAsia="Calibri"/>
                                  <w:szCs w:val="24"/>
                                </w:rPr>
                                <w:t>.“</w:t>
                              </w:r>
                            </w:p>
                          </w:sdtContent>
                        </w:sdt>
                      </w:sdtContent>
                    </w:sdt>
                  </w:sdtContent>
                </w:sdt>
              </w:sdtContent>
            </w:sdt>
            <w:sdt>
              <w:sdtPr>
                <w:alias w:val="1.2 pp."/>
                <w:tag w:val="part_a6551da2101e4de8bce08ab91027297b"/>
                <w:lock w:val="sdtLocked"/>
                <w:richText/>
              </w:sdtPr>
              <w:sdtContent>
                <w:p>
                  <w:pPr>
                    <w:spacing w:line="360" w:lineRule="auto"/>
                    <w:ind w:firstLine="720"/>
                    <w:jc w:val="both"/>
                    <w:rPr>
                      <w:rFonts w:eastAsia="Calibri"/>
                      <w:szCs w:val="24"/>
                    </w:rPr>
                  </w:pPr>
                  <w:sdt>
                    <w:sdtPr>
                      <w:alias w:val="Numeris"/>
                      <w:tag w:val="nr_a6551da2101e4de8bce08ab91027297b"/>
                      <w:lock w:val="sdtLocked"/>
                      <w:richText/>
                    </w:sdtPr>
                    <w:sdtContent>
                      <w:r>
                        <w:rPr>
                          <w:rFonts w:eastAsia="Calibri"/>
                          <w:szCs w:val="24"/>
                        </w:rPr>
                        <w:t>1.2</w:t>
                      </w:r>
                    </w:sdtContent>
                  </w:sdt>
                  <w:r>
                    <w:rPr>
                      <w:rFonts w:eastAsia="Calibri"/>
                      <w:szCs w:val="24"/>
                    </w:rPr>
                    <w:t>. Pakeisti 6 punktą ir jį išdėstyti taip:</w:t>
                  </w:r>
                </w:p>
                <w:sdt>
                  <w:sdtPr>
                    <w:alias w:val="citata"/>
                    <w:tag w:val="part_963fda73967c4eb690a7c87cef3078da"/>
                    <w:lock w:val="sdtLocked"/>
                    <w:richText/>
                  </w:sdtPr>
                  <w:sdtContent>
                    <w:sdt>
                      <w:sdtPr>
                        <w:alias w:val="6 p."/>
                        <w:tag w:val="part_0e6d41afc06a4b04bcbaf86bbabd6561"/>
                        <w:lock w:val="sdtLocked"/>
                        <w:richText/>
                      </w:sdtPr>
                      <w:sdtContent>
                        <w:p>
                          <w:pPr>
                            <w:spacing w:line="360" w:lineRule="auto"/>
                            <w:ind w:firstLine="720"/>
                            <w:jc w:val="both"/>
                            <w:rPr>
                              <w:rFonts w:eastAsia="Calibri"/>
                              <w:szCs w:val="24"/>
                            </w:rPr>
                          </w:pPr>
                          <w:r>
                            <w:rPr>
                              <w:rFonts w:eastAsia="Calibri"/>
                              <w:szCs w:val="24"/>
                            </w:rPr>
                            <w:t>„</w:t>
                          </w:r>
                          <w:sdt>
                            <w:sdtPr>
                              <w:alias w:val="Numeris"/>
                              <w:tag w:val="nr_0e6d41afc06a4b04bcbaf86bbabd6561"/>
                              <w:lock w:val="sdtLocked"/>
                              <w:richText/>
                            </w:sdtPr>
                            <w:sdtContent>
                              <w:r>
                                <w:rPr>
                                  <w:rFonts w:eastAsia="Calibri"/>
                                  <w:szCs w:val="24"/>
                                </w:rPr>
                                <w:t>6</w:t>
                              </w:r>
                            </w:sdtContent>
                          </w:sdt>
                          <w:r>
                            <w:rPr>
                              <w:rFonts w:eastAsia="Calibri"/>
                              <w:szCs w:val="24"/>
                            </w:rPr>
                            <w:t xml:space="preserve">. Aprašo 5.1 papunktyje nurodyti duomenys teikiami iš LRS VIS, remiantis Seimo posėdžio metu Dokumentų departamento atsakingo darbuotojo į LRS VIS įvedama informacija; Aprašo 5.2 papunktyje nurodyti duomenys teikiami iš TAIS, LRS VIS posistemio „Projektai“ ir LRS VIS Seimo komitetų ir komisijų veiklos posistemio; Aprašo 5.3, 5.4 ir 5.5 papunkčiuose nurodytus duomenis skaičiuoja Seimo komitetų biurų atsakingi darbuotojai ir Seimo kanceliarijos patarėjai ir kiti darbuotojai, aptarnaujantys Seimo komisijas (toliau – Seimo kanceliarijos patarėjai, aptarnaujantys Seimo komisijas), arba šie duomenys teikiami iš LRS VIS Seimo komitetų ir komisijų veiklos posistemio.“ </w:t>
                          </w:r>
                        </w:p>
                      </w:sdtContent>
                    </w:sdt>
                  </w:sdtContent>
                </w:sdt>
              </w:sdtContent>
            </w:sdt>
          </w:sdtContent>
        </w:sdt>
        <w:sdt>
          <w:sdtPr>
            <w:alias w:val="2 p."/>
            <w:tag w:val="part_ef913b7378964620a4d3b370506b4658"/>
            <w:lock w:val="sdtLocked"/>
            <w:richText/>
          </w:sdtPr>
          <w:sdtContent>
            <w:p>
              <w:pPr>
                <w:spacing w:line="360" w:lineRule="auto"/>
                <w:ind w:firstLine="720"/>
                <w:jc w:val="both"/>
                <w:rPr>
                  <w:color w:val="000000"/>
                  <w:szCs w:val="24"/>
                </w:rPr>
              </w:pPr>
              <w:sdt>
                <w:sdtPr>
                  <w:alias w:val="Numeris"/>
                  <w:tag w:val="nr_ef913b7378964620a4d3b370506b4658"/>
                  <w:lock w:val="sdtLocked"/>
                  <w:richText/>
                </w:sdtPr>
                <w:sdtContent>
                  <w:r>
                    <w:rPr>
                      <w:color w:val="000000"/>
                      <w:szCs w:val="24"/>
                    </w:rPr>
                    <w:t>2</w:t>
                  </w:r>
                </w:sdtContent>
              </w:sdt>
              <w:r>
                <w:rPr>
                  <w:color w:val="000000"/>
                  <w:szCs w:val="24"/>
                </w:rPr>
                <w:t>. Nustatyti, kad:</w:t>
              </w:r>
            </w:p>
            <w:sdt>
              <w:sdtPr>
                <w:alias w:val="2.1 pp."/>
                <w:tag w:val="part_b72ab3c12f8547af8dc94ad2a1f7f653"/>
                <w:lock w:val="sdtLocked"/>
                <w:richText/>
              </w:sdtPr>
              <w:sdtContent>
                <w:p>
                  <w:pPr>
                    <w:spacing w:line="360" w:lineRule="auto"/>
                    <w:ind w:firstLine="720"/>
                    <w:jc w:val="both"/>
                    <w:rPr>
                      <w:color w:val="000000"/>
                      <w:szCs w:val="24"/>
                    </w:rPr>
                  </w:pPr>
                  <w:sdt>
                    <w:sdtPr>
                      <w:alias w:val="Numeris"/>
                      <w:tag w:val="nr_b72ab3c12f8547af8dc94ad2a1f7f653"/>
                      <w:lock w:val="sdtLocked"/>
                      <w:richText/>
                    </w:sdtPr>
                    <w:sdtContent>
                      <w:r>
                        <w:rPr>
                          <w:color w:val="000000"/>
                          <w:szCs w:val="24"/>
                        </w:rPr>
                        <w:t>2.1</w:t>
                      </w:r>
                    </w:sdtContent>
                  </w:sdt>
                  <w:r>
                    <w:rPr>
                      <w:color w:val="000000"/>
                      <w:szCs w:val="24"/>
                    </w:rPr>
                    <w:t>. šis sprendimas taikomas skaičiuojant 2020–2024 metų Lietuvos Respublikos Seimo kadencijos Seimo komitetų ir komisijų statistinius duomenis;</w:t>
                  </w:r>
                </w:p>
              </w:sdtContent>
            </w:sdt>
            <w:sdt>
              <w:sdtPr>
                <w:alias w:val="2.2 pp."/>
                <w:tag w:val="part_17061028a2b7499eb31932cc11544a28"/>
                <w:lock w:val="sdtLocked"/>
                <w:richText/>
              </w:sdtPr>
              <w:sdtContent>
                <w:p>
                  <w:pPr>
                    <w:spacing w:line="360" w:lineRule="auto"/>
                    <w:ind w:firstLine="720"/>
                    <w:jc w:val="both"/>
                    <w:rPr>
                      <w:i/>
                      <w:szCs w:val="24"/>
                    </w:rPr>
                  </w:pPr>
                  <w:sdt>
                    <w:sdtPr>
                      <w:alias w:val="Numeris"/>
                      <w:tag w:val="nr_17061028a2b7499eb31932cc11544a28"/>
                      <w:lock w:val="sdtLocked"/>
                      <w:richText/>
                    </w:sdtPr>
                    <w:sdtContent>
                      <w:r>
                        <w:rPr>
                          <w:color w:val="000000"/>
                          <w:szCs w:val="24"/>
                        </w:rPr>
                        <w:t>2.2</w:t>
                      </w:r>
                    </w:sdtContent>
                  </w:sdt>
                  <w:r>
                    <w:rPr>
                      <w:color w:val="000000"/>
                      <w:szCs w:val="24"/>
                    </w:rPr>
                    <w:t>. pagal šį sprendimą skaičiuojami statistiniai duomenys Seimo interneto svetainėje pradedami skelbti ne vėliau kaip 2021 m. sausio 1 d.</w:t>
                  </w:r>
                </w:p>
                <w:p>
                  <w:pPr>
                    <w:spacing w:line="360" w:lineRule="auto"/>
                    <w:rPr>
                      <w:i/>
                      <w:szCs w:val="24"/>
                    </w:rPr>
                  </w:pPr>
                </w:p>
                <w:p>
                  <w:pPr>
                    <w:spacing w:line="360" w:lineRule="auto"/>
                    <w:rPr>
                      <w:i/>
                      <w:szCs w:val="24"/>
                    </w:rPr>
                  </w:pPr>
                </w:p>
                <w:p>
                  <w:pPr>
                    <w:spacing w:line="360" w:lineRule="auto"/>
                  </w:pPr>
                </w:p>
              </w:sdtContent>
            </w:sdt>
          </w:sdtContent>
        </w:sdt>
        <w:sdt>
          <w:sdtPr>
            <w:alias w:val="signatura"/>
            <w:tag w:val="part_046bfa96b664462e8b5e42ce5e2c4eda"/>
            <w:lock w:val="sdtLocked"/>
            <w:richText/>
          </w:sdtPr>
          <w:sdtContent>
            <w:p>
              <w:pPr>
                <w:tabs>
                  <w:tab w:val="right" w:pos="9356"/>
                </w:tabs>
              </w:pPr>
              <w:r>
                <w:rPr>
                  <w:lang w:val="en-US"/>
                </w:rPr>
                <w:t>Seimo Pirmininkas</w:t>
              </w:r>
              <w:r>
                <w:rPr>
                  <w:caps/>
                </w:rPr>
                <w:tab/>
              </w:r>
              <w:r>
                <w:rPr>
                  <w:lang w:val="en-US"/>
                </w:rPr>
                <w:t>Viktoras Pranckietis</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4E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0b9fd7e0a34a8ea90c9b387f0870bf" PartId="9a2452000f53467a964d53a2d9cdd823">
    <Part Type="preambule" DocPartId="1a03880c203a437d8c46b437a8101b21" PartId="2e91a7ee3e01409da638b40f7eec05aa"/>
    <Part Type="punktas" Nr="1" Abbr="1 p." DocPartId="6736246e1b6643f4b2d79fe45bb7a5bc" PartId="f15e80f9219c4f2f8c02f76806024279">
      <Part Type="papunktis" Nr="1.1" Abbr="1.1 pp." DocPartId="935cb51e1ad34624b0cb41a806a2de5d" PartId="d1735ea614814be38ff3bab58ee2355f">
        <Part Type="citata" DocPartId="cf9e211fd9b04123aa329792d3187b73" PartId="65b3d2d14d194baf8ea366de1fb2dad6">
          <Part Type="punktas" Nr="5" Abbr="5 p." DocPartId="d4a482a071854a30b48bec49c1962cd2" PartId="239d78aee0414ffb8bc733ed0447ce25">
            <Part Type="papunktis" Nr="5.1" Abbr="5.1 pp." DocPartId="118f1371652a474e8efdde891a453058" PartId="071f40b471c947368af3f9a5c3ca97b4"/>
            <Part Type="papunktis" Nr="5.2" Abbr="5.2 pp." DocPartId="a4c971b089564662814f316b0b5bddb6" PartId="a4527d53e9c648289f184dc3593c60c2">
              <Part Type="papunktis" Nr="5.2.1" Abbr="5.2.1 pp." DocPartId="c4e8f926af904a708d158d8f409e34ee" PartId="11331ccb526d48e39c13bee9db44ed1b"/>
              <Part Type="papunktis" Nr="5.2.2" Abbr="5.2.2 pp." DocPartId="5faad7c532cb492a9509856eb203651e" PartId="791eb1a8803f4c17bd2fa41a7d0b5b73"/>
              <Part Type="papunktis" Nr="5.2.3" Abbr="5.2.3 pp." DocPartId="48e888f4c8c548aeb7120c8c08764edf" PartId="fa40595608684ee5ac37b9d6f69c451e"/>
              <Part Type="papunktis" Nr="5.2.4" Abbr="5.2.4 pp." DocPartId="dd1d53869c324e739b33b6fbe192198b" PartId="981f537e7b1a434db992f74bbd740883"/>
            </Part>
            <Part Type="papunktis" Nr="5.3" Abbr="5.3 pp." DocPartId="99fc2ec0c7eb4105a5b3823a7574f057" PartId="0a9da35048014496b93ec460f4d47f1c"/>
            <Part Type="papunktis" Nr="5.4" Abbr="5.4 pp." DocPartId="5237561dadcc404da429560f063d23c0" PartId="175a9cbcd0564fcd9c938f09ad8234ec"/>
            <Part Type="papunktis" Nr="5.5" Abbr="5.5 pp." DocPartId="bf60f348aa114795b4b1a9439004bcf4" PartId="490e5cf10da643d898c56a02d17fe53b"/>
          </Part>
        </Part>
      </Part>
      <Part Type="papunktis" Nr="1.2" Abbr="1.2 pp." DocPartId="fde808b98e19438380e671e2cfc61cb0" PartId="a6551da2101e4de8bce08ab91027297b">
        <Part Type="citata" DocPartId="cf97ac71e2f347d793411f089afb4277" PartId="963fda73967c4eb690a7c87cef3078da">
          <Part Type="punktas" Nr="6" Abbr="6 p." DocPartId="b07c033ecf874f89aeb4ea14020a30e9" PartId="0e6d41afc06a4b04bcbaf86bbabd6561"/>
        </Part>
      </Part>
    </Part>
    <Part Type="punktas" Nr="2" Abbr="2 p." DocPartId="792ca7d559f34a3683a585948ef2cc06" PartId="ef913b7378964620a4d3b370506b4658">
      <Part Type="papunktis" Nr="2.1" Abbr="2.1 pp." DocPartId="362c8b757bc14c1a92409bd07c3aefee" PartId="b72ab3c12f8547af8dc94ad2a1f7f653"/>
      <Part Type="papunktis" Nr="2.2" Abbr="2.2 pp." DocPartId="464750962a4843bd8f899515c9ce4419" PartId="17061028a2b7499eb31932cc11544a28"/>
    </Part>
    <Part Type="signatura" DocPartId="209ea8c9ffe74dd2be4ff7358248c4b9" PartId="046bfa96b664462e8b5e42ce5e2c4eda"/>
  </Part>
</Parts>
</file>

<file path=customXml/itemProps1.xml><?xml version="1.0" encoding="utf-8"?>
<ds:datastoreItem xmlns:ds="http://schemas.openxmlformats.org/officeDocument/2006/customXml" ds:itemID="{65356286-4569-49DE-9E7B-A0F76DC5987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431</Words>
  <Characters>2913</Characters>
  <Application>Microsoft Office Word</Application>
  <DocSecurity>4</DocSecurity>
  <Lines>63</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3317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2020-11-11T07:37:00Z</dcterms:created>
  <dc:creator>MOZERIENĖ Dainora</dc:creator>
  <lastModifiedBy>adlibuser</lastModifiedBy>
  <lastPrinted>2004-12-10T05:45:00Z</lastPrinted>
  <dcterms:modified xsi:type="dcterms:W3CDTF">2020-11-11T07:37:00Z</dcterms:modified>
  <revision>2</revision>
</coreProperties>
</file>