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ece36febf9c4974991636ff332b991e"/>
        <w:id w:val="455526719"/>
        <w:lock w:val="sdtLocked"/>
      </w:sdtPr>
      <w:sdtEndPr/>
      <w:sdtContent>
        <w:p w14:paraId="747A92FA" w14:textId="2D3A5BC0" w:rsidR="00202F4E" w:rsidRDefault="00202F4E">
          <w:pPr>
            <w:tabs>
              <w:tab w:val="center" w:pos="4153"/>
              <w:tab w:val="right" w:pos="8306"/>
            </w:tabs>
            <w:overflowPunct w:val="0"/>
            <w:jc w:val="center"/>
            <w:textAlignment w:val="baseline"/>
            <w:rPr>
              <w:lang w:val="en-GB"/>
            </w:rPr>
          </w:pPr>
        </w:p>
        <w:p w14:paraId="3181D606" w14:textId="1E1FBB53" w:rsidR="00202F4E" w:rsidRDefault="005C722C">
          <w:pPr>
            <w:overflowPunct w:val="0"/>
            <w:jc w:val="center"/>
            <w:textAlignment w:val="baseline"/>
            <w:rPr>
              <w:b/>
              <w:bCs/>
              <w:sz w:val="28"/>
              <w:szCs w:val="28"/>
            </w:rPr>
          </w:pPr>
          <w:r>
            <w:rPr>
              <w:rFonts w:ascii="TimesLT" w:hAnsi="TimesLT"/>
              <w:noProof/>
              <w:sz w:val="8"/>
              <w:lang w:eastAsia="lt-LT"/>
            </w:rPr>
            <w:drawing>
              <wp:inline distT="0" distB="0" distL="0" distR="0" wp14:anchorId="42621F97" wp14:editId="4962C5C9">
                <wp:extent cx="1000125" cy="684770"/>
                <wp:effectExtent l="0" t="0" r="0" b="1270"/>
                <wp:docPr id="1085379912" name="Paveikslėlis 3"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379912" name="Paveikslėlis 3" descr="Paveikslėlis, kuriame yra eskizas, piešimas, Linijinis piešimas, iliustracija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0125" cy="684770"/>
                        </a:xfrm>
                        <a:prstGeom prst="rect">
                          <a:avLst/>
                        </a:prstGeom>
                        <a:noFill/>
                        <a:ln>
                          <a:noFill/>
                        </a:ln>
                      </pic:spPr>
                    </pic:pic>
                  </a:graphicData>
                </a:graphic>
              </wp:inline>
            </w:drawing>
          </w:r>
        </w:p>
        <w:p w14:paraId="3E1C5EF1" w14:textId="72452F51" w:rsidR="00202F4E" w:rsidRDefault="005C722C">
          <w:pPr>
            <w:overflowPunct w:val="0"/>
            <w:jc w:val="center"/>
            <w:textAlignment w:val="baseline"/>
            <w:rPr>
              <w:b/>
              <w:sz w:val="28"/>
              <w:szCs w:val="28"/>
            </w:rPr>
          </w:pPr>
          <w:r>
            <w:rPr>
              <w:b/>
              <w:sz w:val="28"/>
              <w:szCs w:val="28"/>
            </w:rPr>
            <w:t>LIETUVOS RESPUBLIKOS ŽEMĖS ŪKIO MINISTRAS</w:t>
          </w:r>
        </w:p>
        <w:p w14:paraId="79058CF4" w14:textId="77777777" w:rsidR="00202F4E" w:rsidRDefault="00202F4E">
          <w:pPr>
            <w:overflowPunct w:val="0"/>
            <w:jc w:val="center"/>
            <w:textAlignment w:val="baseline"/>
            <w:rPr>
              <w:b/>
              <w:sz w:val="28"/>
              <w:szCs w:val="28"/>
            </w:rPr>
          </w:pPr>
        </w:p>
        <w:p w14:paraId="3E1C5EF3" w14:textId="2BA54705" w:rsidR="00202F4E" w:rsidRDefault="005C722C">
          <w:pPr>
            <w:overflowPunct w:val="0"/>
            <w:jc w:val="center"/>
            <w:textAlignment w:val="baseline"/>
            <w:rPr>
              <w:b/>
              <w:szCs w:val="24"/>
            </w:rPr>
          </w:pPr>
          <w:r>
            <w:rPr>
              <w:b/>
              <w:szCs w:val="24"/>
            </w:rPr>
            <w:t>ĮSAKYMAS</w:t>
          </w:r>
        </w:p>
        <w:p w14:paraId="3E1C5EF5" w14:textId="1243ED77" w:rsidR="00202F4E" w:rsidRDefault="005C722C">
          <w:pPr>
            <w:overflowPunct w:val="0"/>
            <w:jc w:val="center"/>
            <w:textAlignment w:val="baseline"/>
          </w:pPr>
          <w:r>
            <w:rPr>
              <w:b/>
              <w:bCs/>
              <w:caps/>
            </w:rPr>
            <w:t xml:space="preserve">DĖL ŽEMĖS ŪKIO MINISTRO 2014 M. SPALIO 24 D. ĮSAKYMO NR. 3D-792 „DĖL ŽUVININKYSTĖS KONTROLĖS PAREIGŪNŲ ATLIEKAMŲ PATIKRINIMŲ </w:t>
          </w:r>
          <w:r>
            <w:rPr>
              <w:b/>
              <w:bCs/>
              <w:caps/>
            </w:rPr>
            <w:t>TVARKOS APRAŠO PATVIRTINIMO“ PAKEITIMO</w:t>
          </w:r>
        </w:p>
        <w:p w14:paraId="2BEBB31A" w14:textId="77777777" w:rsidR="00202F4E" w:rsidRDefault="00202F4E">
          <w:pPr>
            <w:overflowPunct w:val="0"/>
            <w:jc w:val="center"/>
            <w:textAlignment w:val="baseline"/>
          </w:pPr>
        </w:p>
        <w:p w14:paraId="2B8E169D" w14:textId="442AF6B3" w:rsidR="00202F4E" w:rsidRDefault="005C722C">
          <w:pPr>
            <w:overflowPunct w:val="0"/>
            <w:jc w:val="center"/>
            <w:textAlignment w:val="baseline"/>
            <w:rPr>
              <w:szCs w:val="24"/>
              <w:lang w:eastAsia="lt-LT"/>
            </w:rPr>
          </w:pPr>
          <w:r>
            <w:t>2025 m. spalio 22 d. Nr</w:t>
          </w:r>
          <w:r>
            <w:rPr>
              <w:szCs w:val="24"/>
            </w:rPr>
            <w:t xml:space="preserve">. </w:t>
          </w:r>
          <w:r>
            <w:rPr>
              <w:szCs w:val="24"/>
              <w:lang w:eastAsia="lt-LT"/>
            </w:rPr>
            <w:t>3D-521</w:t>
          </w:r>
        </w:p>
        <w:p w14:paraId="1071C2EF" w14:textId="77777777" w:rsidR="00202F4E" w:rsidRDefault="005C722C">
          <w:pPr>
            <w:overflowPunct w:val="0"/>
            <w:jc w:val="center"/>
            <w:textAlignment w:val="baseline"/>
          </w:pPr>
          <w:r>
            <w:t>Vilnius</w:t>
          </w:r>
        </w:p>
        <w:p w14:paraId="0DDE43A3" w14:textId="77777777" w:rsidR="00202F4E" w:rsidRDefault="00202F4E">
          <w:pPr>
            <w:overflowPunct w:val="0"/>
            <w:jc w:val="center"/>
            <w:textAlignment w:val="baseline"/>
          </w:pPr>
        </w:p>
        <w:p w14:paraId="125AC562" w14:textId="77777777" w:rsidR="00202F4E" w:rsidRDefault="00202F4E">
          <w:pPr>
            <w:overflowPunct w:val="0"/>
            <w:jc w:val="center"/>
            <w:textAlignment w:val="baseline"/>
          </w:pPr>
        </w:p>
        <w:sdt>
          <w:sdtPr>
            <w:alias w:val="1 p."/>
            <w:tag w:val="part_391296caa30a457385322afed3ef1b40"/>
            <w:id w:val="-847555087"/>
            <w:lock w:val="sdtLocked"/>
          </w:sdtPr>
          <w:sdtEndPr/>
          <w:sdtContent>
            <w:p w14:paraId="50A5D367" w14:textId="77777777" w:rsidR="00202F4E" w:rsidRDefault="005C722C">
              <w:pPr>
                <w:overflowPunct w:val="0"/>
                <w:spacing w:line="360" w:lineRule="auto"/>
                <w:ind w:firstLine="731"/>
                <w:jc w:val="both"/>
                <w:textAlignment w:val="baseline"/>
              </w:pPr>
              <w:sdt>
                <w:sdtPr>
                  <w:alias w:val="Numeris"/>
                  <w:tag w:val="nr_391296caa30a457385322afed3ef1b40"/>
                  <w:id w:val="1228886944"/>
                  <w:lock w:val="sdtLocked"/>
                </w:sdtPr>
                <w:sdtEndPr/>
                <w:sdtContent>
                  <w:r>
                    <w:t>1</w:t>
                  </w:r>
                </w:sdtContent>
              </w:sdt>
              <w:r>
                <w:t>. P a k e i č i u Lietuvos Respublikos žemės ūkio ministro 2014 m. spalio 24 d. įsakymą Nr. 3D-792 „Dėl Žuvininkystės kontrolės pareigūnų atliekamų patikrinimų tvarkos apr</w:t>
              </w:r>
              <w:r>
                <w:t>ašo patvirtinimo“ ir jį išdėstau nauja redakcija (Žuvininkystės kontrolės pareigūnų atliekamų patikrinimų tvarkos aprašas nauja redakcija nedėstomas):</w:t>
              </w:r>
            </w:p>
            <w:p w14:paraId="2EB635A1" w14:textId="77777777" w:rsidR="00202F4E" w:rsidRDefault="00202F4E">
              <w:pPr>
                <w:overflowPunct w:val="0"/>
                <w:jc w:val="center"/>
                <w:textAlignment w:val="baseline"/>
              </w:pPr>
            </w:p>
            <w:sdt>
              <w:sdtPr>
                <w:alias w:val="citata"/>
                <w:tag w:val="part_af676811f45d42608f2c00d71e366809"/>
                <w:id w:val="1581631213"/>
                <w:lock w:val="sdtLocked"/>
              </w:sdtPr>
              <w:sdtEndPr/>
              <w:sdtContent>
                <w:sdt>
                  <w:sdtPr>
                    <w:alias w:val="pagrindine"/>
                    <w:tag w:val="part_6e784997b7f248dfb411735bc31844ba"/>
                    <w:id w:val="840818919"/>
                    <w:lock w:val="sdtLocked"/>
                  </w:sdtPr>
                  <w:sdtEndPr/>
                  <w:sdtContent>
                    <w:p w14:paraId="04ABEBEA" w14:textId="77777777" w:rsidR="00202F4E" w:rsidRDefault="005C722C">
                      <w:pPr>
                        <w:overflowPunct w:val="0"/>
                        <w:jc w:val="center"/>
                        <w:textAlignment w:val="baseline"/>
                        <w:rPr>
                          <w:b/>
                          <w:sz w:val="28"/>
                          <w:szCs w:val="28"/>
                        </w:rPr>
                      </w:pPr>
                      <w:r>
                        <w:t>„</w:t>
                      </w:r>
                      <w:r>
                        <w:rPr>
                          <w:b/>
                          <w:sz w:val="28"/>
                          <w:szCs w:val="28"/>
                        </w:rPr>
                        <w:t>LIETUVOS RESPUBLIKOS ŽEMĖS ŪKIO MINISTRAS</w:t>
                      </w:r>
                    </w:p>
                    <w:p w14:paraId="52862D26" w14:textId="77777777" w:rsidR="00202F4E" w:rsidRDefault="00202F4E">
                      <w:pPr>
                        <w:overflowPunct w:val="0"/>
                        <w:jc w:val="center"/>
                        <w:textAlignment w:val="baseline"/>
                        <w:rPr>
                          <w:b/>
                          <w:sz w:val="28"/>
                          <w:szCs w:val="28"/>
                        </w:rPr>
                      </w:pPr>
                    </w:p>
                    <w:p w14:paraId="007EED0A" w14:textId="77777777" w:rsidR="00202F4E" w:rsidRDefault="005C722C">
                      <w:pPr>
                        <w:overflowPunct w:val="0"/>
                        <w:jc w:val="center"/>
                        <w:textAlignment w:val="baseline"/>
                        <w:rPr>
                          <w:b/>
                          <w:szCs w:val="24"/>
                        </w:rPr>
                      </w:pPr>
                      <w:r>
                        <w:rPr>
                          <w:b/>
                          <w:szCs w:val="24"/>
                        </w:rPr>
                        <w:t>ĮSAKYMAS</w:t>
                      </w:r>
                    </w:p>
                    <w:p w14:paraId="20585122" w14:textId="77777777" w:rsidR="00202F4E" w:rsidRDefault="005C722C">
                      <w:pPr>
                        <w:overflowPunct w:val="0"/>
                        <w:jc w:val="center"/>
                        <w:textAlignment w:val="baseline"/>
                        <w:rPr>
                          <w:b/>
                          <w:bCs/>
                        </w:rPr>
                      </w:pPr>
                      <w:r>
                        <w:rPr>
                          <w:b/>
                          <w:bCs/>
                        </w:rPr>
                        <w:t xml:space="preserve">DĖL ŽUVININKYSTĖS KONTROLĖS PAREIGŪNŲ ATLIEKAMŲ </w:t>
                      </w:r>
                      <w:r>
                        <w:rPr>
                          <w:b/>
                          <w:bCs/>
                        </w:rPr>
                        <w:t>PATIKRINIMŲ TVARKOS APRAŠO PATVIRTINIMO</w:t>
                      </w:r>
                    </w:p>
                    <w:p w14:paraId="772D372D" w14:textId="77777777" w:rsidR="00202F4E" w:rsidRDefault="00202F4E">
                      <w:pPr>
                        <w:overflowPunct w:val="0"/>
                        <w:jc w:val="center"/>
                        <w:textAlignment w:val="baseline"/>
                      </w:pPr>
                    </w:p>
                    <w:sdt>
                      <w:sdtPr>
                        <w:alias w:val="preambule"/>
                        <w:tag w:val="part_c2c1b649bd1046d8b4192b39bf4a2f84"/>
                        <w:id w:val="1770738964"/>
                        <w:lock w:val="sdtLocked"/>
                      </w:sdtPr>
                      <w:sdtEndPr/>
                      <w:sdtContent>
                        <w:p w14:paraId="1CAABD09" w14:textId="77777777" w:rsidR="00202F4E" w:rsidRDefault="005C722C">
                          <w:pPr>
                            <w:overflowPunct w:val="0"/>
                            <w:spacing w:line="360" w:lineRule="auto"/>
                            <w:ind w:firstLine="731"/>
                            <w:jc w:val="both"/>
                            <w:textAlignment w:val="baseline"/>
                            <w:rPr>
                              <w:szCs w:val="24"/>
                            </w:rPr>
                          </w:pPr>
                          <w:r>
                            <w:rPr>
                              <w:szCs w:val="24"/>
                            </w:rPr>
                            <w:t>Vadovaudamasi Lietuvos Respublikos žuvininkystės įstatymo 52</w:t>
                          </w:r>
                          <w:r>
                            <w:rPr>
                              <w:b/>
                              <w:bCs/>
                              <w:szCs w:val="24"/>
                            </w:rPr>
                            <w:t xml:space="preserve"> </w:t>
                          </w:r>
                          <w:r>
                            <w:rPr>
                              <w:szCs w:val="24"/>
                            </w:rPr>
                            <w:t>straipsnio 5 dalimi,</w:t>
                          </w:r>
                        </w:p>
                      </w:sdtContent>
                    </w:sdt>
                    <w:sdt>
                      <w:sdtPr>
                        <w:alias w:val="pastraipa"/>
                        <w:tag w:val="part_5b1c6a0d69e9466192ed82be86dd42ab"/>
                        <w:id w:val="920606125"/>
                        <w:lock w:val="sdtLocked"/>
                      </w:sdtPr>
                      <w:sdtEndPr/>
                      <w:sdtContent>
                        <w:p w14:paraId="5D22D1EB" w14:textId="77777777" w:rsidR="00202F4E" w:rsidRDefault="005C722C">
                          <w:pPr>
                            <w:overflowPunct w:val="0"/>
                            <w:spacing w:line="360" w:lineRule="auto"/>
                            <w:ind w:firstLine="731"/>
                            <w:jc w:val="both"/>
                            <w:textAlignment w:val="baseline"/>
                            <w:rPr>
                              <w:szCs w:val="24"/>
                            </w:rPr>
                          </w:pPr>
                          <w:r>
                            <w:rPr>
                              <w:szCs w:val="24"/>
                            </w:rPr>
                            <w:t>t v i r t i n u Žuvininkystės kontrolės pareigūnų atliekamų patikrinimų tvarkos aprašą (pridedama).“</w:t>
                          </w:r>
                        </w:p>
                      </w:sdtContent>
                    </w:sdt>
                  </w:sdtContent>
                </w:sdt>
              </w:sdtContent>
            </w:sdt>
          </w:sdtContent>
        </w:sdt>
        <w:sdt>
          <w:sdtPr>
            <w:alias w:val="2 p."/>
            <w:tag w:val="part_ac16878591ea4078b6940235f7c1ba27"/>
            <w:id w:val="-1102803408"/>
            <w:lock w:val="sdtLocked"/>
          </w:sdtPr>
          <w:sdtEndPr/>
          <w:sdtContent>
            <w:p w14:paraId="1BDC016F" w14:textId="77777777" w:rsidR="00202F4E" w:rsidRDefault="005C722C">
              <w:pPr>
                <w:overflowPunct w:val="0"/>
                <w:spacing w:line="360" w:lineRule="auto"/>
                <w:ind w:firstLine="731"/>
                <w:jc w:val="both"/>
                <w:textAlignment w:val="baseline"/>
                <w:rPr>
                  <w:szCs w:val="24"/>
                </w:rPr>
              </w:pPr>
              <w:sdt>
                <w:sdtPr>
                  <w:alias w:val="Numeris"/>
                  <w:tag w:val="nr_ac16878591ea4078b6940235f7c1ba27"/>
                  <w:id w:val="1558980197"/>
                  <w:lock w:val="sdtLocked"/>
                </w:sdtPr>
                <w:sdtEndPr/>
                <w:sdtContent>
                  <w:r>
                    <w:rPr>
                      <w:szCs w:val="24"/>
                    </w:rPr>
                    <w:t>2</w:t>
                  </w:r>
                </w:sdtContent>
              </w:sdt>
              <w:r>
                <w:rPr>
                  <w:szCs w:val="24"/>
                </w:rPr>
                <w:t>. Pakeičiu nurodytu</w:t>
              </w:r>
              <w:r>
                <w:rPr>
                  <w:szCs w:val="24"/>
                </w:rPr>
                <w:t xml:space="preserve"> įsakymu patvirtintą Žuvininkystės kontrolės pareigūnų atliekamų patikrinimų tvarkos aprašą:</w:t>
              </w:r>
            </w:p>
            <w:sdt>
              <w:sdtPr>
                <w:alias w:val="2.1 pp."/>
                <w:tag w:val="part_88554dd0da7a426faf278c5829899f36"/>
                <w:id w:val="-1143340709"/>
                <w:lock w:val="sdtLocked"/>
              </w:sdtPr>
              <w:sdtEndPr/>
              <w:sdtContent>
                <w:p w14:paraId="622FC9BA" w14:textId="77777777" w:rsidR="00202F4E" w:rsidRDefault="005C722C">
                  <w:pPr>
                    <w:overflowPunct w:val="0"/>
                    <w:spacing w:line="360" w:lineRule="auto"/>
                    <w:ind w:firstLine="731"/>
                    <w:jc w:val="both"/>
                    <w:textAlignment w:val="baseline"/>
                    <w:rPr>
                      <w:szCs w:val="24"/>
                    </w:rPr>
                  </w:pPr>
                  <w:sdt>
                    <w:sdtPr>
                      <w:alias w:val="Numeris"/>
                      <w:tag w:val="nr_88554dd0da7a426faf278c5829899f36"/>
                      <w:id w:val="1265508882"/>
                      <w:lock w:val="sdtLocked"/>
                    </w:sdtPr>
                    <w:sdtEndPr/>
                    <w:sdtContent>
                      <w:r>
                        <w:rPr>
                          <w:szCs w:val="24"/>
                        </w:rPr>
                        <w:t>2.1</w:t>
                      </w:r>
                    </w:sdtContent>
                  </w:sdt>
                  <w:r>
                    <w:rPr>
                      <w:szCs w:val="24"/>
                    </w:rPr>
                    <w:t>. Pakeičiu 2 punktą ir jį išdėstau taip:</w:t>
                  </w:r>
                </w:p>
                <w:sdt>
                  <w:sdtPr>
                    <w:alias w:val="citata"/>
                    <w:tag w:val="part_3847ac021ebc45c6979ee83e6e05d365"/>
                    <w:id w:val="1795173366"/>
                    <w:lock w:val="sdtLocked"/>
                  </w:sdtPr>
                  <w:sdtEndPr/>
                  <w:sdtContent>
                    <w:sdt>
                      <w:sdtPr>
                        <w:alias w:val="2 p."/>
                        <w:tag w:val="part_c8c2b56099de46aea98215810589bc67"/>
                        <w:id w:val="534155276"/>
                        <w:lock w:val="sdtLocked"/>
                      </w:sdtPr>
                      <w:sdtEndPr/>
                      <w:sdtContent>
                        <w:p w14:paraId="5E5ACC92" w14:textId="07D2A32A" w:rsidR="00202F4E" w:rsidRDefault="005C722C">
                          <w:pPr>
                            <w:overflowPunct w:val="0"/>
                            <w:spacing w:line="360" w:lineRule="auto"/>
                            <w:ind w:firstLine="731"/>
                            <w:jc w:val="both"/>
                            <w:textAlignment w:val="baseline"/>
                            <w:rPr>
                              <w:szCs w:val="24"/>
                            </w:rPr>
                          </w:pPr>
                          <w:r>
                            <w:rPr>
                              <w:szCs w:val="24"/>
                            </w:rPr>
                            <w:t>„</w:t>
                          </w:r>
                          <w:sdt>
                            <w:sdtPr>
                              <w:alias w:val="Numeris"/>
                              <w:tag w:val="nr_c8c2b56099de46aea98215810589bc67"/>
                              <w:id w:val="1221486479"/>
                              <w:lock w:val="sdtLocked"/>
                            </w:sdtPr>
                            <w:sdtEndPr/>
                            <w:sdtContent>
                              <w:r>
                                <w:rPr>
                                  <w:szCs w:val="24"/>
                                </w:rPr>
                                <w:t>2</w:t>
                              </w:r>
                            </w:sdtContent>
                          </w:sdt>
                          <w:r>
                            <w:rPr>
                              <w:szCs w:val="24"/>
                            </w:rPr>
                            <w:t xml:space="preserve">. Aprašas parengtas vadovaujantis 2008 m. rugsėjo 29 d. Tarybos reglamentu </w:t>
                          </w:r>
                          <w:hyperlink r:id="rId9" w:tgtFrame="_blank" w:history="1">
                            <w:r>
                              <w:rPr>
                                <w:color w:val="0563C1" w:themeColor="hyperlink"/>
                                <w:szCs w:val="24"/>
                                <w:u w:val="single"/>
                              </w:rPr>
                              <w:t>(EB) Nr. 1005/2008</w:t>
                            </w:r>
                          </w:hyperlink>
                          <w:r>
                            <w:rPr>
                              <w:szCs w:val="24"/>
                            </w:rPr>
                            <w:t>, nustatančiu Bendrijos sistemą, kuria siekiama užkirsti kelią neteisėtai, nedeklaruojamai ir nereglamentuojamai žvejybai, atgrasyti nuo jo</w:t>
                          </w:r>
                          <w:r>
                            <w:rPr>
                              <w:szCs w:val="24"/>
                            </w:rPr>
                            <w:t xml:space="preserve">s ir ją panaikinti, iš dalies keičiančiu reglamentus </w:t>
                          </w:r>
                          <w:hyperlink r:id="rId10" w:tgtFrame="_blank" w:history="1">
                            <w:r>
                              <w:rPr>
                                <w:color w:val="0563C1" w:themeColor="hyperlink"/>
                                <w:szCs w:val="24"/>
                                <w:u w:val="single"/>
                              </w:rPr>
                              <w:t>(EEB) Nr. 2847/93</w:t>
                            </w:r>
                          </w:hyperlink>
                          <w:r>
                            <w:rPr>
                              <w:szCs w:val="24"/>
                            </w:rPr>
                            <w:t xml:space="preserve">, </w:t>
                          </w:r>
                          <w:hyperlink r:id="rId11" w:tgtFrame="_blank" w:history="1">
                            <w:r>
                              <w:rPr>
                                <w:color w:val="0563C1" w:themeColor="hyperlink"/>
                                <w:szCs w:val="24"/>
                                <w:u w:val="single"/>
                              </w:rPr>
                              <w:t>(EB) Nr. 1936/2001</w:t>
                            </w:r>
                          </w:hyperlink>
                          <w:r>
                            <w:rPr>
                              <w:szCs w:val="24"/>
                            </w:rPr>
                            <w:t xml:space="preserve"> ir </w:t>
                          </w:r>
                          <w:hyperlink r:id="rId12" w:tgtFrame="_blank" w:history="1">
                            <w:r>
                              <w:rPr>
                                <w:color w:val="0563C1" w:themeColor="hyperlink"/>
                                <w:szCs w:val="24"/>
                                <w:u w:val="single"/>
                              </w:rPr>
                              <w:t>(EB) Nr. 601/2004</w:t>
                            </w:r>
                          </w:hyperlink>
                          <w:r>
                            <w:rPr>
                              <w:szCs w:val="24"/>
                            </w:rPr>
                            <w:t xml:space="preserve"> bei panaikinančiu reglamentus </w:t>
                          </w:r>
                          <w:hyperlink r:id="rId13" w:tgtFrame="_blank" w:history="1">
                            <w:r>
                              <w:rPr>
                                <w:color w:val="0563C1" w:themeColor="hyperlink"/>
                                <w:szCs w:val="24"/>
                                <w:u w:val="single"/>
                              </w:rPr>
                              <w:t>(EB) Nr. 1093/94</w:t>
                            </w:r>
                          </w:hyperlink>
                          <w:r>
                            <w:rPr>
                              <w:szCs w:val="24"/>
                            </w:rPr>
                            <w:t xml:space="preserve"> ir </w:t>
                          </w:r>
                          <w:hyperlink r:id="rId14" w:tgtFrame="_blank" w:history="1">
                            <w:r>
                              <w:rPr>
                                <w:color w:val="0563C1" w:themeColor="hyperlink"/>
                                <w:szCs w:val="24"/>
                                <w:u w:val="single"/>
                              </w:rPr>
                              <w:t>(EB) Nr. 1447/1999</w:t>
                            </w:r>
                          </w:hyperlink>
                          <w:r>
                            <w:rPr>
                              <w:szCs w:val="24"/>
                            </w:rPr>
                            <w:t xml:space="preserve">, su visais pakeitimais, 2009 m. spalio 22 d. Komisijos reglamentu </w:t>
                          </w:r>
                          <w:hyperlink r:id="rId15" w:tgtFrame="_blank" w:history="1">
                            <w:r>
                              <w:rPr>
                                <w:color w:val="0563C1" w:themeColor="hyperlink"/>
                                <w:szCs w:val="24"/>
                                <w:u w:val="single"/>
                              </w:rPr>
                              <w:t>(EB) Nr. 1010/2009</w:t>
                            </w:r>
                          </w:hyperlink>
                          <w:r>
                            <w:rPr>
                              <w:szCs w:val="24"/>
                            </w:rPr>
                            <w:t xml:space="preserve">, kuriuo nustatomos išsamios Tarybos reglamento </w:t>
                          </w:r>
                          <w:hyperlink r:id="rId16" w:tgtFrame="_blank" w:history="1">
                            <w:r>
                              <w:rPr>
                                <w:color w:val="0563C1" w:themeColor="hyperlink"/>
                                <w:szCs w:val="24"/>
                                <w:u w:val="single"/>
                              </w:rPr>
                              <w:t>(EB)</w:t>
                            </w:r>
                            <w:r>
                              <w:rPr>
                                <w:color w:val="0563C1" w:themeColor="hyperlink"/>
                                <w:szCs w:val="24"/>
                                <w:u w:val="single"/>
                              </w:rPr>
                              <w:t xml:space="preserve"> Nr. 1005/2008</w:t>
                            </w:r>
                          </w:hyperlink>
                          <w:r>
                            <w:rPr>
                              <w:szCs w:val="24"/>
                            </w:rPr>
                            <w:t>, nustatančio Bendrijos sistemą, kuria siekiama užkirsti kelią neteisėtai, nedeklaruojamai ir nereglamentuojamai žvejybai, atgrasyti nuo jos ir ją panaikinti, įgyvendinimo taisyklės, su visais pakeitimais, 2009 m. lapkričio 20 d. Tarybos regl</w:t>
                          </w:r>
                          <w:r>
                            <w:rPr>
                              <w:szCs w:val="24"/>
                            </w:rPr>
                            <w:t xml:space="preserve">amentu </w:t>
                          </w:r>
                          <w:hyperlink r:id="rId17" w:tgtFrame="_blank" w:history="1">
                            <w:r>
                              <w:rPr>
                                <w:color w:val="0563C1" w:themeColor="hyperlink"/>
                                <w:szCs w:val="24"/>
                                <w:u w:val="single"/>
                              </w:rPr>
                              <w:t>(EB) Nr. 1224/2009</w:t>
                            </w:r>
                          </w:hyperlink>
                          <w:r>
                            <w:rPr>
                              <w:szCs w:val="24"/>
                            </w:rPr>
                            <w:t xml:space="preserve">, </w:t>
                          </w:r>
                          <w:r>
                            <w:rPr>
                              <w:szCs w:val="24"/>
                            </w:rPr>
                            <w:lastRenderedPageBreak/>
                            <w:t>nustatančiu Bendrijos kontrolės sistemą, kuria užtikrinamas bendrosios žuvininkystės politikos taisyklių laikymasis, iš dalies k</w:t>
                          </w:r>
                          <w:r>
                            <w:rPr>
                              <w:szCs w:val="24"/>
                            </w:rPr>
                            <w:t xml:space="preserve">eičiančiu reglamentus </w:t>
                          </w:r>
                          <w:hyperlink r:id="rId18" w:tgtFrame="_blank" w:history="1">
                            <w:r>
                              <w:rPr>
                                <w:color w:val="0563C1" w:themeColor="hyperlink"/>
                                <w:szCs w:val="24"/>
                                <w:u w:val="single"/>
                              </w:rPr>
                              <w:t>(EB) Nr. 847/96</w:t>
                            </w:r>
                          </w:hyperlink>
                          <w:r>
                            <w:rPr>
                              <w:szCs w:val="24"/>
                            </w:rPr>
                            <w:t xml:space="preserve">, </w:t>
                          </w:r>
                          <w:hyperlink r:id="rId19" w:tgtFrame="_blank" w:history="1">
                            <w:r>
                              <w:rPr>
                                <w:color w:val="0563C1" w:themeColor="hyperlink"/>
                                <w:szCs w:val="24"/>
                                <w:u w:val="single"/>
                              </w:rPr>
                              <w:t>(EB) Nr. 2371/2</w:t>
                            </w:r>
                            <w:r>
                              <w:rPr>
                                <w:color w:val="0563C1" w:themeColor="hyperlink"/>
                                <w:szCs w:val="24"/>
                                <w:u w:val="single"/>
                              </w:rPr>
                              <w:t>002</w:t>
                            </w:r>
                          </w:hyperlink>
                          <w:r>
                            <w:rPr>
                              <w:szCs w:val="24"/>
                            </w:rPr>
                            <w:t xml:space="preserve">, </w:t>
                          </w:r>
                          <w:hyperlink r:id="rId20" w:tgtFrame="_blank" w:history="1">
                            <w:r>
                              <w:rPr>
                                <w:color w:val="0563C1" w:themeColor="hyperlink"/>
                                <w:szCs w:val="24"/>
                                <w:u w:val="single"/>
                              </w:rPr>
                              <w:t>(EB) Nr. 811/2004</w:t>
                            </w:r>
                          </w:hyperlink>
                          <w:r>
                            <w:rPr>
                              <w:szCs w:val="24"/>
                            </w:rPr>
                            <w:t xml:space="preserve">, </w:t>
                          </w:r>
                          <w:hyperlink r:id="rId21" w:tgtFrame="_blank" w:history="1">
                            <w:r>
                              <w:rPr>
                                <w:color w:val="0563C1" w:themeColor="hyperlink"/>
                                <w:szCs w:val="24"/>
                                <w:u w:val="single"/>
                              </w:rPr>
                              <w:t>(EB) Nr. 768/2005</w:t>
                            </w:r>
                          </w:hyperlink>
                          <w:r>
                            <w:rPr>
                              <w:szCs w:val="24"/>
                            </w:rPr>
                            <w:t xml:space="preserve">, </w:t>
                          </w:r>
                          <w:hyperlink r:id="rId22" w:tgtFrame="_blank" w:history="1">
                            <w:r>
                              <w:rPr>
                                <w:color w:val="0563C1" w:themeColor="hyperlink"/>
                                <w:szCs w:val="24"/>
                                <w:u w:val="single"/>
                              </w:rPr>
                              <w:t>(EB) Nr. 2115/2005</w:t>
                            </w:r>
                          </w:hyperlink>
                          <w:r>
                            <w:rPr>
                              <w:szCs w:val="24"/>
                            </w:rPr>
                            <w:t xml:space="preserve">, </w:t>
                          </w:r>
                          <w:hyperlink r:id="rId23" w:tgtFrame="_blank" w:history="1">
                            <w:r>
                              <w:rPr>
                                <w:color w:val="0563C1" w:themeColor="hyperlink"/>
                                <w:szCs w:val="24"/>
                                <w:u w:val="single"/>
                              </w:rPr>
                              <w:t>(EB) Nr. 2166/2005</w:t>
                            </w:r>
                          </w:hyperlink>
                          <w:r>
                            <w:rPr>
                              <w:szCs w:val="24"/>
                            </w:rPr>
                            <w:t xml:space="preserve">, </w:t>
                          </w:r>
                          <w:hyperlink r:id="rId24" w:tgtFrame="_blank" w:history="1">
                            <w:r>
                              <w:rPr>
                                <w:color w:val="0563C1" w:themeColor="hyperlink"/>
                                <w:szCs w:val="24"/>
                                <w:u w:val="single"/>
                              </w:rPr>
                              <w:t>(EB) Nr. 388/2006</w:t>
                            </w:r>
                          </w:hyperlink>
                          <w:r>
                            <w:rPr>
                              <w:szCs w:val="24"/>
                            </w:rPr>
                            <w:t xml:space="preserve">, </w:t>
                          </w:r>
                          <w:hyperlink r:id="rId25" w:tgtFrame="_blank" w:history="1">
                            <w:r>
                              <w:rPr>
                                <w:color w:val="0563C1" w:themeColor="hyperlink"/>
                                <w:szCs w:val="24"/>
                                <w:u w:val="single"/>
                              </w:rPr>
                              <w:t>(EB) Nr. 509/2007</w:t>
                            </w:r>
                          </w:hyperlink>
                          <w:r>
                            <w:rPr>
                              <w:szCs w:val="24"/>
                            </w:rPr>
                            <w:t xml:space="preserve">, </w:t>
                          </w:r>
                          <w:hyperlink r:id="rId26" w:tgtFrame="_blank" w:history="1">
                            <w:r>
                              <w:rPr>
                                <w:color w:val="0563C1" w:themeColor="hyperlink"/>
                                <w:szCs w:val="24"/>
                                <w:u w:val="single"/>
                              </w:rPr>
                              <w:t>(EB) Nr. 676/2007</w:t>
                            </w:r>
                          </w:hyperlink>
                          <w:r>
                            <w:rPr>
                              <w:szCs w:val="24"/>
                            </w:rPr>
                            <w:t xml:space="preserve">, </w:t>
                          </w:r>
                          <w:hyperlink r:id="rId27" w:tgtFrame="_blank" w:history="1">
                            <w:r>
                              <w:rPr>
                                <w:color w:val="0563C1" w:themeColor="hyperlink"/>
                                <w:szCs w:val="24"/>
                                <w:u w:val="single"/>
                              </w:rPr>
                              <w:t>(EB) Nr. 1098/2007</w:t>
                            </w:r>
                          </w:hyperlink>
                          <w:r>
                            <w:rPr>
                              <w:szCs w:val="24"/>
                            </w:rPr>
                            <w:t xml:space="preserve">, </w:t>
                          </w:r>
                          <w:hyperlink r:id="rId28" w:tgtFrame="_blank" w:history="1">
                            <w:r>
                              <w:rPr>
                                <w:color w:val="0563C1" w:themeColor="hyperlink"/>
                                <w:szCs w:val="24"/>
                                <w:u w:val="single"/>
                              </w:rPr>
                              <w:t>(EB) Nr. 1300/2008</w:t>
                            </w:r>
                          </w:hyperlink>
                          <w:r>
                            <w:rPr>
                              <w:szCs w:val="24"/>
                            </w:rPr>
                            <w:t xml:space="preserve">, </w:t>
                          </w:r>
                          <w:hyperlink r:id="rId29" w:tgtFrame="_blank" w:history="1">
                            <w:r>
                              <w:rPr>
                                <w:color w:val="0563C1" w:themeColor="hyperlink"/>
                                <w:szCs w:val="24"/>
                                <w:u w:val="single"/>
                              </w:rPr>
                              <w:t>(EB) Nr. 1342/2008</w:t>
                            </w:r>
                          </w:hyperlink>
                          <w:r>
                            <w:rPr>
                              <w:szCs w:val="24"/>
                            </w:rPr>
                            <w:t xml:space="preserve"> ir panaikinančiu reglamentus </w:t>
                          </w:r>
                          <w:hyperlink r:id="rId30" w:tgtFrame="_blank" w:history="1">
                            <w:r>
                              <w:rPr>
                                <w:color w:val="0563C1" w:themeColor="hyperlink"/>
                                <w:szCs w:val="24"/>
                                <w:u w:val="single"/>
                              </w:rPr>
                              <w:t>(EEB) Nr. 2847/93</w:t>
                            </w:r>
                          </w:hyperlink>
                          <w:r>
                            <w:rPr>
                              <w:szCs w:val="24"/>
                            </w:rPr>
                            <w:t xml:space="preserve">, </w:t>
                          </w:r>
                          <w:hyperlink r:id="rId31" w:tgtFrame="_blank" w:history="1">
                            <w:r>
                              <w:rPr>
                                <w:color w:val="0563C1" w:themeColor="hyperlink"/>
                                <w:szCs w:val="24"/>
                                <w:u w:val="single"/>
                              </w:rPr>
                              <w:t>(EB) Nr. 1627/94</w:t>
                            </w:r>
                          </w:hyperlink>
                          <w:r>
                            <w:rPr>
                              <w:szCs w:val="24"/>
                            </w:rPr>
                            <w:t xml:space="preserve"> ir </w:t>
                          </w:r>
                          <w:hyperlink r:id="rId32" w:tgtFrame="_blank" w:history="1">
                            <w:r>
                              <w:rPr>
                                <w:color w:val="0563C1" w:themeColor="hyperlink"/>
                                <w:szCs w:val="24"/>
                                <w:u w:val="single"/>
                              </w:rPr>
                              <w:t>(EB) Nr. 1966/2006</w:t>
                            </w:r>
                          </w:hyperlink>
                          <w:r>
                            <w:rPr>
                              <w:szCs w:val="24"/>
                            </w:rPr>
                            <w:t xml:space="preserve">, su visais pakeitimais, 2024 m. rugsėjo 18 d. Europos Parlamento ir Tarybos reglamentu </w:t>
                          </w:r>
                          <w:hyperlink r:id="rId33" w:tgtFrame="_blank" w:history="1">
                            <w:r>
                              <w:rPr>
                                <w:color w:val="0563C1" w:themeColor="hyperlink"/>
                                <w:szCs w:val="24"/>
                                <w:u w:val="single"/>
                              </w:rPr>
                              <w:t>(ES) 2024/2594</w:t>
                            </w:r>
                          </w:hyperlink>
                          <w:r>
                            <w:rPr>
                              <w:szCs w:val="24"/>
                            </w:rPr>
                            <w:t>, kuriuo nustatomos išteklių išsaugojimo, valdymo ir kontrolės priemonės, taikytinos rajone, kuriam taikoma Konvencija dėl būsimo daugiašalio bendradarbiavimo žvejybai šiaurės rytų Atlante, iš dalies keičiama</w:t>
                          </w:r>
                          <w:r>
                            <w:rPr>
                              <w:szCs w:val="24"/>
                            </w:rPr>
                            <w:t xml:space="preserve">s Europos Parlamento ir Tarybos reglamentas </w:t>
                          </w:r>
                          <w:hyperlink r:id="rId34" w:tgtFrame="_blank" w:history="1">
                            <w:r>
                              <w:rPr>
                                <w:color w:val="0563C1" w:themeColor="hyperlink"/>
                                <w:szCs w:val="24"/>
                                <w:u w:val="single"/>
                              </w:rPr>
                              <w:t>(ES) 2019/1241</w:t>
                            </w:r>
                          </w:hyperlink>
                          <w:r>
                            <w:rPr>
                              <w:szCs w:val="24"/>
                            </w:rPr>
                            <w:t xml:space="preserve"> ir Tarybos reglamentas </w:t>
                          </w:r>
                          <w:hyperlink r:id="rId35" w:tgtFrame="_blank" w:history="1">
                            <w:r>
                              <w:rPr>
                                <w:color w:val="0563C1" w:themeColor="hyperlink"/>
                                <w:szCs w:val="24"/>
                                <w:u w:val="single"/>
                              </w:rPr>
                              <w:t>(EB) Nr. 1224/2009</w:t>
                            </w:r>
                          </w:hyperlink>
                          <w:r>
                            <w:rPr>
                              <w:szCs w:val="24"/>
                            </w:rPr>
                            <w:t xml:space="preserve">, taip pat panaikinamas Europos Parlamento ir Tarybos reglamentas </w:t>
                          </w:r>
                          <w:hyperlink r:id="rId36" w:tgtFrame="_blank" w:history="1">
                            <w:r>
                              <w:rPr>
                                <w:color w:val="0563C1" w:themeColor="hyperlink"/>
                                <w:szCs w:val="24"/>
                                <w:u w:val="single"/>
                              </w:rPr>
                              <w:t>(ES) Nr. 1236/2010</w:t>
                            </w:r>
                          </w:hyperlink>
                          <w:r>
                            <w:rPr>
                              <w:szCs w:val="24"/>
                            </w:rPr>
                            <w:t xml:space="preserve"> ir Tarybos reglamentai </w:t>
                          </w:r>
                          <w:hyperlink r:id="rId37" w:tgtFrame="_blank" w:history="1">
                            <w:r>
                              <w:rPr>
                                <w:color w:val="0563C1" w:themeColor="hyperlink"/>
                                <w:szCs w:val="24"/>
                                <w:u w:val="single"/>
                              </w:rPr>
                              <w:t>(EEB) Nr. 1899/85</w:t>
                            </w:r>
                          </w:hyperlink>
                          <w:r>
                            <w:rPr>
                              <w:szCs w:val="24"/>
                            </w:rPr>
                            <w:t xml:space="preserve"> ir </w:t>
                          </w:r>
                          <w:hyperlink r:id="rId38" w:tgtFrame="_blank" w:history="1">
                            <w:r>
                              <w:rPr>
                                <w:color w:val="0563C1" w:themeColor="hyperlink"/>
                                <w:szCs w:val="24"/>
                                <w:u w:val="single"/>
                              </w:rPr>
                              <w:t>(EEB) Nr. 1638/87</w:t>
                            </w:r>
                          </w:hyperlink>
                          <w:r>
                            <w:rPr>
                              <w:szCs w:val="24"/>
                            </w:rPr>
                            <w:t>, 2011 m. balandž</w:t>
                          </w:r>
                          <w:r>
                            <w:rPr>
                              <w:szCs w:val="24"/>
                            </w:rPr>
                            <w:t xml:space="preserve">io 8 d. Komisijos įgyvendinimo reglamentu </w:t>
                          </w:r>
                          <w:hyperlink r:id="rId39" w:tgtFrame="_blank" w:history="1">
                            <w:r>
                              <w:rPr>
                                <w:color w:val="0563C1" w:themeColor="hyperlink"/>
                                <w:szCs w:val="24"/>
                                <w:u w:val="single"/>
                              </w:rPr>
                              <w:t>(ES) Nr. 404/2011</w:t>
                            </w:r>
                          </w:hyperlink>
                          <w:r>
                            <w:rPr>
                              <w:szCs w:val="24"/>
                            </w:rPr>
                            <w:t xml:space="preserve">, kuriuo nustatomos išsamios Tarybos reglamento </w:t>
                          </w:r>
                          <w:hyperlink r:id="rId40" w:tgtFrame="_blank" w:history="1">
                            <w:r>
                              <w:rPr>
                                <w:color w:val="0563C1" w:themeColor="hyperlink"/>
                                <w:szCs w:val="24"/>
                                <w:u w:val="single"/>
                              </w:rPr>
                              <w:t>(EB) Nr. 1224/2009</w:t>
                            </w:r>
                          </w:hyperlink>
                          <w:r>
                            <w:rPr>
                              <w:szCs w:val="24"/>
                            </w:rPr>
                            <w:t xml:space="preserve">, nustatančio Bendrijos kontrolės sistemą, kuria užtikrinamas bendrosios žuvininkystės politikos taisyklių laikymasis, įgyvendinimo taisyklės, su visais pakeitimais, 2019 m. gegužės 20 </w:t>
                          </w:r>
                          <w:r>
                            <w:rPr>
                              <w:szCs w:val="24"/>
                            </w:rPr>
                            <w:t xml:space="preserve">d. Europos Parlamento ir Tarybos reglamentu </w:t>
                          </w:r>
                          <w:hyperlink r:id="rId41" w:tgtFrame="_blank" w:history="1">
                            <w:r>
                              <w:rPr>
                                <w:color w:val="0563C1" w:themeColor="hyperlink"/>
                                <w:szCs w:val="24"/>
                                <w:u w:val="single"/>
                              </w:rPr>
                              <w:t>(ES) Nr. 2019/833</w:t>
                            </w:r>
                          </w:hyperlink>
                          <w:r>
                            <w:rPr>
                              <w:szCs w:val="24"/>
                            </w:rPr>
                            <w:t xml:space="preserve">, kuriuo nustatomos išsaugojimo ir vykdymo užtikrinimo priemonės, taikytinos Žvejybos šiaurės </w:t>
                          </w:r>
                          <w:r>
                            <w:rPr>
                              <w:szCs w:val="24"/>
                            </w:rPr>
                            <w:t xml:space="preserve">vakarų Atlante organizacijos reguliuojamame rajone, iš dalies keičiamas Reglamentas </w:t>
                          </w:r>
                          <w:hyperlink r:id="rId42" w:tgtFrame="_blank" w:history="1">
                            <w:r>
                              <w:rPr>
                                <w:color w:val="0563C1" w:themeColor="hyperlink"/>
                                <w:szCs w:val="24"/>
                                <w:u w:val="single"/>
                              </w:rPr>
                              <w:t>(ES) 2016/1627</w:t>
                            </w:r>
                          </w:hyperlink>
                          <w:r>
                            <w:rPr>
                              <w:szCs w:val="24"/>
                            </w:rPr>
                            <w:t xml:space="preserve"> ir panaikinami Tarybos reglamentai </w:t>
                          </w:r>
                          <w:hyperlink r:id="rId43" w:tgtFrame="_blank" w:history="1">
                            <w:r>
                              <w:rPr>
                                <w:color w:val="0563C1" w:themeColor="hyperlink"/>
                                <w:szCs w:val="24"/>
                                <w:u w:val="single"/>
                              </w:rPr>
                              <w:t>(EB) Nr. 2115/2005</w:t>
                            </w:r>
                          </w:hyperlink>
                          <w:r>
                            <w:rPr>
                              <w:szCs w:val="24"/>
                            </w:rPr>
                            <w:t xml:space="preserve"> ir </w:t>
                          </w:r>
                          <w:hyperlink r:id="rId44" w:tgtFrame="_blank" w:history="1">
                            <w:r>
                              <w:rPr>
                                <w:color w:val="0563C1" w:themeColor="hyperlink"/>
                                <w:szCs w:val="24"/>
                                <w:u w:val="single"/>
                              </w:rPr>
                              <w:t>(EB) Nr. 1386/2007</w:t>
                            </w:r>
                          </w:hyperlink>
                          <w:r>
                            <w:rPr>
                              <w:szCs w:val="24"/>
                            </w:rPr>
                            <w:t>, su visais pakeitimais, Lietuvos R</w:t>
                          </w:r>
                          <w:r>
                            <w:rPr>
                              <w:szCs w:val="24"/>
                            </w:rPr>
                            <w:t>espublikos žuvininkystės įstatymu, Lietuvos Respublikos viešojo administravimo įstatymu.“</w:t>
                          </w:r>
                        </w:p>
                      </w:sdtContent>
                    </w:sdt>
                  </w:sdtContent>
                </w:sdt>
              </w:sdtContent>
            </w:sdt>
            <w:sdt>
              <w:sdtPr>
                <w:alias w:val="2.2 pp."/>
                <w:tag w:val="part_8143468263b046c5b1f3c2c0cae95cba"/>
                <w:id w:val="1853230427"/>
                <w:lock w:val="sdtLocked"/>
              </w:sdtPr>
              <w:sdtEndPr/>
              <w:sdtContent>
                <w:p w14:paraId="3FA5E6D3" w14:textId="3BAE9770" w:rsidR="00202F4E" w:rsidRDefault="005C722C">
                  <w:pPr>
                    <w:overflowPunct w:val="0"/>
                    <w:spacing w:line="360" w:lineRule="auto"/>
                    <w:ind w:firstLine="731"/>
                    <w:jc w:val="both"/>
                    <w:textAlignment w:val="baseline"/>
                    <w:rPr>
                      <w:szCs w:val="24"/>
                    </w:rPr>
                  </w:pPr>
                  <w:sdt>
                    <w:sdtPr>
                      <w:alias w:val="Numeris"/>
                      <w:tag w:val="nr_8143468263b046c5b1f3c2c0cae95cba"/>
                      <w:id w:val="1183944008"/>
                      <w:lock w:val="sdtLocked"/>
                    </w:sdtPr>
                    <w:sdtEndPr/>
                    <w:sdtContent>
                      <w:r>
                        <w:rPr>
                          <w:szCs w:val="24"/>
                        </w:rPr>
                        <w:t>2.2</w:t>
                      </w:r>
                    </w:sdtContent>
                  </w:sdt>
                  <w:r>
                    <w:rPr>
                      <w:szCs w:val="24"/>
                    </w:rPr>
                    <w:t>. Pakeičiu 25</w:t>
                  </w:r>
                  <w:r>
                    <w:rPr>
                      <w:szCs w:val="24"/>
                      <w:vertAlign w:val="superscript"/>
                    </w:rPr>
                    <w:t xml:space="preserve">1 </w:t>
                  </w:r>
                  <w:r>
                    <w:rPr>
                      <w:szCs w:val="24"/>
                    </w:rPr>
                    <w:t>punktą ir jį išdėstau taip:</w:t>
                  </w:r>
                </w:p>
                <w:sdt>
                  <w:sdtPr>
                    <w:alias w:val="citata"/>
                    <w:tag w:val="part_57d1eeea16c04e899421505ee34ba606"/>
                    <w:id w:val="-2031709496"/>
                    <w:lock w:val="sdtLocked"/>
                  </w:sdtPr>
                  <w:sdtEndPr/>
                  <w:sdtContent>
                    <w:sdt>
                      <w:sdtPr>
                        <w:alias w:val="25-1 p."/>
                        <w:tag w:val="part_316e7ad115f64259b2ffc420377b85e3"/>
                        <w:id w:val="-1633629898"/>
                        <w:lock w:val="sdtLocked"/>
                      </w:sdtPr>
                      <w:sdtEndPr/>
                      <w:sdtContent>
                        <w:p w14:paraId="1533F339" w14:textId="2F8D2836" w:rsidR="00202F4E" w:rsidRDefault="005C722C">
                          <w:pPr>
                            <w:overflowPunct w:val="0"/>
                            <w:spacing w:line="360" w:lineRule="auto"/>
                            <w:ind w:firstLine="731"/>
                            <w:jc w:val="both"/>
                            <w:textAlignment w:val="baseline"/>
                            <w:rPr>
                              <w:szCs w:val="24"/>
                            </w:rPr>
                          </w:pPr>
                          <w:r>
                            <w:rPr>
                              <w:szCs w:val="24"/>
                            </w:rPr>
                            <w:t>„</w:t>
                          </w:r>
                          <w:sdt>
                            <w:sdtPr>
                              <w:alias w:val="Numeris"/>
                              <w:tag w:val="nr_316e7ad115f64259b2ffc420377b85e3"/>
                              <w:id w:val="1413125744"/>
                              <w:lock w:val="sdtLocked"/>
                            </w:sdtPr>
                            <w:sdtEndPr/>
                            <w:sdtContent>
                              <w:r>
                                <w:rPr>
                                  <w:szCs w:val="24"/>
                                </w:rPr>
                                <w:t>25</w:t>
                              </w:r>
                              <w:r>
                                <w:rPr>
                                  <w:szCs w:val="24"/>
                                  <w:vertAlign w:val="superscript"/>
                                </w:rPr>
                                <w:t>1</w:t>
                              </w:r>
                            </w:sdtContent>
                          </w:sdt>
                          <w:r>
                            <w:rPr>
                              <w:szCs w:val="24"/>
                            </w:rPr>
                            <w:t xml:space="preserve">. Žuvininkystės tarnyba patikrinimus pagal Žvejybos šiaurės vakarų Atlante organizacijos (toliau – NAFO) nustatomus reikalavimus organizuoja ir vykdo vadovaudamasi Reglamento </w:t>
                          </w:r>
                          <w:hyperlink r:id="rId45" w:tgtFrame="_blank" w:history="1">
                            <w:r>
                              <w:rPr>
                                <w:color w:val="0563C1" w:themeColor="hyperlink"/>
                                <w:szCs w:val="24"/>
                                <w:u w:val="single"/>
                              </w:rPr>
                              <w:t>(ES) 2019/833</w:t>
                            </w:r>
                          </w:hyperlink>
                          <w:r>
                            <w:rPr>
                              <w:szCs w:val="24"/>
                            </w:rPr>
                            <w:t xml:space="preserve"> 28–31, 33–40, 42–43 ir 45 straipsnių nuostatomis.“</w:t>
                          </w:r>
                        </w:p>
                      </w:sdtContent>
                    </w:sdt>
                  </w:sdtContent>
                </w:sdt>
              </w:sdtContent>
            </w:sdt>
            <w:sdt>
              <w:sdtPr>
                <w:alias w:val="2.3 pp."/>
                <w:tag w:val="part_294f30eb2d324ce0b60eab76c9dbaa06"/>
                <w:id w:val="-341546382"/>
                <w:lock w:val="sdtLocked"/>
              </w:sdtPr>
              <w:sdtEndPr/>
              <w:sdtContent>
                <w:p w14:paraId="230FDB09" w14:textId="51FA460E" w:rsidR="00202F4E" w:rsidRDefault="005C722C">
                  <w:pPr>
                    <w:overflowPunct w:val="0"/>
                    <w:spacing w:line="360" w:lineRule="auto"/>
                    <w:ind w:firstLine="731"/>
                    <w:jc w:val="both"/>
                    <w:textAlignment w:val="baseline"/>
                    <w:rPr>
                      <w:szCs w:val="24"/>
                    </w:rPr>
                  </w:pPr>
                  <w:sdt>
                    <w:sdtPr>
                      <w:alias w:val="Numeris"/>
                      <w:tag w:val="nr_294f30eb2d324ce0b60eab76c9dbaa06"/>
                      <w:id w:val="-1215270234"/>
                      <w:lock w:val="sdtLocked"/>
                    </w:sdtPr>
                    <w:sdtEndPr/>
                    <w:sdtContent>
                      <w:r>
                        <w:rPr>
                          <w:szCs w:val="24"/>
                        </w:rPr>
                        <w:t>2.3</w:t>
                      </w:r>
                    </w:sdtContent>
                  </w:sdt>
                  <w:r>
                    <w:rPr>
                      <w:szCs w:val="24"/>
                    </w:rPr>
                    <w:t>. Pakeičiu 25</w:t>
                  </w:r>
                  <w:r>
                    <w:rPr>
                      <w:szCs w:val="24"/>
                      <w:vertAlign w:val="superscript"/>
                    </w:rPr>
                    <w:t xml:space="preserve">2 </w:t>
                  </w:r>
                  <w:r>
                    <w:rPr>
                      <w:szCs w:val="24"/>
                    </w:rPr>
                    <w:t>punktą ir jį išdėstau taip:</w:t>
                  </w:r>
                </w:p>
                <w:sdt>
                  <w:sdtPr>
                    <w:alias w:val="citata"/>
                    <w:tag w:val="part_edecc3294f7e415a96b139afa6f923b1"/>
                    <w:id w:val="-1776012510"/>
                    <w:lock w:val="sdtLocked"/>
                  </w:sdtPr>
                  <w:sdtEndPr/>
                  <w:sdtContent>
                    <w:sdt>
                      <w:sdtPr>
                        <w:alias w:val="25-2 p."/>
                        <w:tag w:val="part_1ffb6255107d4a4fb0119ec7d65adde5"/>
                        <w:id w:val="1759711943"/>
                        <w:lock w:val="sdtLocked"/>
                      </w:sdtPr>
                      <w:sdtEndPr/>
                      <w:sdtContent>
                        <w:p w14:paraId="64BBD77D" w14:textId="488C5255" w:rsidR="00202F4E" w:rsidRDefault="005C722C">
                          <w:pPr>
                            <w:overflowPunct w:val="0"/>
                            <w:spacing w:line="360" w:lineRule="auto"/>
                            <w:ind w:firstLine="731"/>
                            <w:jc w:val="both"/>
                            <w:textAlignment w:val="baseline"/>
                            <w:rPr>
                              <w:szCs w:val="24"/>
                            </w:rPr>
                          </w:pPr>
                          <w:r>
                            <w:rPr>
                              <w:szCs w:val="24"/>
                            </w:rPr>
                            <w:t>„</w:t>
                          </w:r>
                          <w:sdt>
                            <w:sdtPr>
                              <w:alias w:val="Numeris"/>
                              <w:tag w:val="nr_1ffb6255107d4a4fb0119ec7d65adde5"/>
                              <w:id w:val="-1313413816"/>
                              <w:lock w:val="sdtLocked"/>
                            </w:sdtPr>
                            <w:sdtEndPr/>
                            <w:sdtContent>
                              <w:r>
                                <w:rPr>
                                  <w:szCs w:val="24"/>
                                </w:rPr>
                                <w:t>25</w:t>
                              </w:r>
                              <w:r>
                                <w:rPr>
                                  <w:szCs w:val="24"/>
                                  <w:vertAlign w:val="superscript"/>
                                </w:rPr>
                                <w:t>2</w:t>
                              </w:r>
                            </w:sdtContent>
                          </w:sdt>
                          <w:r>
                            <w:rPr>
                              <w:szCs w:val="24"/>
                            </w:rPr>
                            <w:t xml:space="preserve">. Žuvininkystės tarnyba patikrinimus pagal Žvejybos šiaurės rytų Atlanto komisijos (toliau – NEAFC) nustatomus </w:t>
                          </w:r>
                          <w:r>
                            <w:rPr>
                              <w:szCs w:val="24"/>
                            </w:rPr>
                            <w:t xml:space="preserve">reikalavimus organizuoja ir vykdo vadovaudamasi Reglamento </w:t>
                          </w:r>
                          <w:hyperlink r:id="rId46" w:tgtFrame="_blank" w:history="1">
                            <w:r>
                              <w:rPr>
                                <w:color w:val="0563C1" w:themeColor="hyperlink"/>
                                <w:szCs w:val="24"/>
                                <w:u w:val="single"/>
                              </w:rPr>
                              <w:t>(ES) 2024/2594</w:t>
                            </w:r>
                          </w:hyperlink>
                          <w:r>
                            <w:rPr>
                              <w:szCs w:val="24"/>
                            </w:rPr>
                            <w:t xml:space="preserve"> 20–23, 25–31, 33–35, 37–38 straipsnių nuostatomis.“</w:t>
                          </w:r>
                        </w:p>
                      </w:sdtContent>
                    </w:sdt>
                  </w:sdtContent>
                </w:sdt>
              </w:sdtContent>
            </w:sdt>
            <w:sdt>
              <w:sdtPr>
                <w:alias w:val="2.4 pp."/>
                <w:tag w:val="part_aedde40339df42259a082e8da0c917cc"/>
                <w:id w:val="629365448"/>
                <w:lock w:val="sdtLocked"/>
              </w:sdtPr>
              <w:sdtEndPr/>
              <w:sdtContent>
                <w:p w14:paraId="70FABFA6" w14:textId="0CECCF47" w:rsidR="00202F4E" w:rsidRDefault="005C722C">
                  <w:pPr>
                    <w:overflowPunct w:val="0"/>
                    <w:spacing w:line="360" w:lineRule="auto"/>
                    <w:ind w:firstLine="731"/>
                    <w:jc w:val="both"/>
                    <w:textAlignment w:val="baseline"/>
                    <w:rPr>
                      <w:szCs w:val="24"/>
                    </w:rPr>
                  </w:pPr>
                  <w:sdt>
                    <w:sdtPr>
                      <w:alias w:val="Numeris"/>
                      <w:tag w:val="nr_aedde40339df42259a082e8da0c917cc"/>
                      <w:id w:val="-291362853"/>
                      <w:lock w:val="sdtLocked"/>
                    </w:sdtPr>
                    <w:sdtEndPr/>
                    <w:sdtContent>
                      <w:r>
                        <w:rPr>
                          <w:szCs w:val="24"/>
                        </w:rPr>
                        <w:t>2.4</w:t>
                      </w:r>
                    </w:sdtContent>
                  </w:sdt>
                  <w:r>
                    <w:rPr>
                      <w:szCs w:val="24"/>
                    </w:rPr>
                    <w:t>. Pakeičiu 26 punk</w:t>
                  </w:r>
                  <w:r>
                    <w:rPr>
                      <w:szCs w:val="24"/>
                    </w:rPr>
                    <w:t>tą ir jį išdėstau taip:</w:t>
                  </w:r>
                </w:p>
                <w:sdt>
                  <w:sdtPr>
                    <w:alias w:val="citata"/>
                    <w:tag w:val="part_5e048372011d4ad6aff544896af625ae"/>
                    <w:id w:val="-827525029"/>
                    <w:lock w:val="sdtLocked"/>
                  </w:sdtPr>
                  <w:sdtEndPr/>
                  <w:sdtContent>
                    <w:sdt>
                      <w:sdtPr>
                        <w:alias w:val="26 p."/>
                        <w:tag w:val="part_c363faa53f0b412186d8c12ca9739ebc"/>
                        <w:id w:val="-1603103659"/>
                        <w:lock w:val="sdtLocked"/>
                      </w:sdtPr>
                      <w:sdtEndPr/>
                      <w:sdtContent>
                        <w:p w14:paraId="5E9731F9" w14:textId="77777777" w:rsidR="00202F4E" w:rsidRDefault="005C722C">
                          <w:pPr>
                            <w:overflowPunct w:val="0"/>
                            <w:spacing w:line="360" w:lineRule="auto"/>
                            <w:ind w:firstLine="731"/>
                            <w:jc w:val="both"/>
                            <w:textAlignment w:val="baseline"/>
                            <w:rPr>
                              <w:szCs w:val="24"/>
                            </w:rPr>
                          </w:pPr>
                          <w:r>
                            <w:rPr>
                              <w:szCs w:val="24"/>
                            </w:rPr>
                            <w:t>„</w:t>
                          </w:r>
                          <w:sdt>
                            <w:sdtPr>
                              <w:alias w:val="Numeris"/>
                              <w:tag w:val="nr_c363faa53f0b412186d8c12ca9739ebc"/>
                              <w:id w:val="1079874583"/>
                              <w:lock w:val="sdtLocked"/>
                            </w:sdtPr>
                            <w:sdtEndPr/>
                            <w:sdtContent>
                              <w:r>
                                <w:rPr>
                                  <w:szCs w:val="24"/>
                                </w:rPr>
                                <w:t>26</w:t>
                              </w:r>
                            </w:sdtContent>
                          </w:sdt>
                          <w:r>
                            <w:rPr>
                              <w:szCs w:val="24"/>
                            </w:rPr>
                            <w:t>. Ūkio subjektai tikrinami tiesiogiai ir vykdant ūkio subjekto stebėseną nuotoliniu būdu, vadovaujantis Žuvininkystės įstatymo 53 straipsniu.“</w:t>
                          </w:r>
                        </w:p>
                      </w:sdtContent>
                    </w:sdt>
                  </w:sdtContent>
                </w:sdt>
              </w:sdtContent>
            </w:sdt>
            <w:sdt>
              <w:sdtPr>
                <w:alias w:val="2.5 pp."/>
                <w:tag w:val="part_ec8153e1095046f695cce3b7d0c27a6d"/>
                <w:id w:val="-1201236402"/>
                <w:lock w:val="sdtLocked"/>
              </w:sdtPr>
              <w:sdtEndPr/>
              <w:sdtContent>
                <w:p w14:paraId="6965023C" w14:textId="548832E3" w:rsidR="00202F4E" w:rsidRDefault="005C722C">
                  <w:pPr>
                    <w:overflowPunct w:val="0"/>
                    <w:spacing w:line="360" w:lineRule="auto"/>
                    <w:ind w:firstLine="731"/>
                    <w:jc w:val="both"/>
                    <w:textAlignment w:val="baseline"/>
                    <w:rPr>
                      <w:szCs w:val="24"/>
                    </w:rPr>
                  </w:pPr>
                  <w:sdt>
                    <w:sdtPr>
                      <w:alias w:val="Numeris"/>
                      <w:tag w:val="nr_ec8153e1095046f695cce3b7d0c27a6d"/>
                      <w:id w:val="198674477"/>
                      <w:lock w:val="sdtLocked"/>
                    </w:sdtPr>
                    <w:sdtEndPr/>
                    <w:sdtContent>
                      <w:r>
                        <w:rPr>
                          <w:szCs w:val="24"/>
                        </w:rPr>
                        <w:t>2.5</w:t>
                      </w:r>
                    </w:sdtContent>
                  </w:sdt>
                  <w:r>
                    <w:rPr>
                      <w:szCs w:val="24"/>
                    </w:rPr>
                    <w:t>. Pakeičiu 31</w:t>
                  </w:r>
                  <w:r>
                    <w:rPr>
                      <w:szCs w:val="24"/>
                      <w:vertAlign w:val="superscript"/>
                    </w:rPr>
                    <w:t xml:space="preserve"> </w:t>
                  </w:r>
                  <w:r>
                    <w:rPr>
                      <w:szCs w:val="24"/>
                    </w:rPr>
                    <w:t>punktą ir jį išdėstau taip:</w:t>
                  </w:r>
                </w:p>
                <w:sdt>
                  <w:sdtPr>
                    <w:alias w:val="citata"/>
                    <w:tag w:val="part_374e19edca2a44d2a7fba12ad35b6768"/>
                    <w:id w:val="-1488789324"/>
                    <w:lock w:val="sdtLocked"/>
                  </w:sdtPr>
                  <w:sdtEndPr/>
                  <w:sdtContent>
                    <w:sdt>
                      <w:sdtPr>
                        <w:alias w:val="31 p."/>
                        <w:tag w:val="part_8af78cdebf4d4c1aa3151ab74ac98dca"/>
                        <w:id w:val="1636216020"/>
                        <w:lock w:val="sdtLocked"/>
                      </w:sdtPr>
                      <w:sdtEndPr/>
                      <w:sdtContent>
                        <w:p w14:paraId="63139D66" w14:textId="6C048C85" w:rsidR="00202F4E" w:rsidRDefault="005C722C">
                          <w:pPr>
                            <w:overflowPunct w:val="0"/>
                            <w:spacing w:line="360" w:lineRule="auto"/>
                            <w:ind w:firstLine="731"/>
                            <w:jc w:val="both"/>
                            <w:textAlignment w:val="baseline"/>
                            <w:rPr>
                              <w:szCs w:val="24"/>
                            </w:rPr>
                          </w:pPr>
                          <w:r>
                            <w:rPr>
                              <w:szCs w:val="24"/>
                            </w:rPr>
                            <w:t>„</w:t>
                          </w:r>
                          <w:sdt>
                            <w:sdtPr>
                              <w:alias w:val="Numeris"/>
                              <w:tag w:val="nr_8af78cdebf4d4c1aa3151ab74ac98dca"/>
                              <w:id w:val="2040158128"/>
                              <w:lock w:val="sdtLocked"/>
                            </w:sdtPr>
                            <w:sdtEndPr/>
                            <w:sdtContent>
                              <w:r>
                                <w:rPr>
                                  <w:szCs w:val="24"/>
                                </w:rPr>
                                <w:t>31</w:t>
                              </w:r>
                            </w:sdtContent>
                          </w:sdt>
                          <w:r>
                            <w:rPr>
                              <w:szCs w:val="24"/>
                            </w:rPr>
                            <w:t xml:space="preserve">. Pareigūnams įtarus, kad </w:t>
                          </w:r>
                          <w:r>
                            <w:rPr>
                              <w:szCs w:val="24"/>
                            </w:rPr>
                            <w:t xml:space="preserve">gali būti atliekamas sunkus pažeidimas, bei siekiant nutraukti daromą sunkų pažeidimą, užkirsti kelią sunkiems pažeidimams, užtikrinti bylų nagrinėjimą ir nutarimų priėmimą, Pareigūnai, vadovaudamiesi Žuvininkystės įstatymo 70 straipsnio 3 dalies </w:t>
                          </w:r>
                          <w:r>
                            <w:rPr>
                              <w:szCs w:val="24"/>
                            </w:rPr>
                            <w:lastRenderedPageBreak/>
                            <w:t>nuostatom</w:t>
                          </w:r>
                          <w:r>
                            <w:rPr>
                              <w:szCs w:val="24"/>
                            </w:rPr>
                            <w:t>is, gali imtis neatidėliotinų vykdymo priemonių, numatytų Žuvininkystės įstatymo 70 straipsnio 2 dalyje.“</w:t>
                          </w:r>
                        </w:p>
                      </w:sdtContent>
                    </w:sdt>
                  </w:sdtContent>
                </w:sdt>
              </w:sdtContent>
            </w:sdt>
            <w:sdt>
              <w:sdtPr>
                <w:alias w:val="2.6 pp."/>
                <w:tag w:val="part_31622070e7f744f583f92084b905f436"/>
                <w:id w:val="-1356882373"/>
                <w:lock w:val="sdtLocked"/>
              </w:sdtPr>
              <w:sdtEndPr/>
              <w:sdtContent>
                <w:p w14:paraId="028A3796" w14:textId="2887FA0C" w:rsidR="00202F4E" w:rsidRDefault="005C722C">
                  <w:pPr>
                    <w:overflowPunct w:val="0"/>
                    <w:spacing w:line="360" w:lineRule="auto"/>
                    <w:ind w:firstLine="731"/>
                    <w:jc w:val="both"/>
                    <w:textAlignment w:val="baseline"/>
                    <w:rPr>
                      <w:szCs w:val="24"/>
                    </w:rPr>
                  </w:pPr>
                  <w:sdt>
                    <w:sdtPr>
                      <w:alias w:val="Numeris"/>
                      <w:tag w:val="nr_31622070e7f744f583f92084b905f436"/>
                      <w:id w:val="-1637101028"/>
                      <w:lock w:val="sdtLocked"/>
                    </w:sdtPr>
                    <w:sdtEndPr/>
                    <w:sdtContent>
                      <w:r>
                        <w:rPr>
                          <w:szCs w:val="24"/>
                        </w:rPr>
                        <w:t>2.6</w:t>
                      </w:r>
                    </w:sdtContent>
                  </w:sdt>
                  <w:r>
                    <w:rPr>
                      <w:szCs w:val="24"/>
                    </w:rPr>
                    <w:t>. Pakeičiu 31</w:t>
                  </w:r>
                  <w:r>
                    <w:rPr>
                      <w:szCs w:val="24"/>
                      <w:vertAlign w:val="superscript"/>
                    </w:rPr>
                    <w:t xml:space="preserve">1 </w:t>
                  </w:r>
                  <w:r>
                    <w:rPr>
                      <w:szCs w:val="24"/>
                    </w:rPr>
                    <w:t>punktą ir jį išdėstau taip:</w:t>
                  </w:r>
                </w:p>
                <w:sdt>
                  <w:sdtPr>
                    <w:alias w:val="citata"/>
                    <w:tag w:val="part_a00b8fb00d5b40338c8f8ce4bbbbcca9"/>
                    <w:id w:val="-1772929243"/>
                    <w:lock w:val="sdtLocked"/>
                  </w:sdtPr>
                  <w:sdtEndPr/>
                  <w:sdtContent>
                    <w:sdt>
                      <w:sdtPr>
                        <w:alias w:val="31-1 p."/>
                        <w:tag w:val="part_37ec1aa6a5244fb299638a5f318f84bd"/>
                        <w:id w:val="-578830473"/>
                        <w:lock w:val="sdtLocked"/>
                      </w:sdtPr>
                      <w:sdtEndPr/>
                      <w:sdtContent>
                        <w:p w14:paraId="0B832DB1" w14:textId="7E654DE1" w:rsidR="00202F4E" w:rsidRDefault="005C722C">
                          <w:pPr>
                            <w:overflowPunct w:val="0"/>
                            <w:spacing w:line="360" w:lineRule="auto"/>
                            <w:ind w:firstLine="731"/>
                            <w:jc w:val="both"/>
                            <w:textAlignment w:val="baseline"/>
                            <w:rPr>
                              <w:szCs w:val="24"/>
                            </w:rPr>
                          </w:pPr>
                          <w:r>
                            <w:rPr>
                              <w:szCs w:val="24"/>
                            </w:rPr>
                            <w:t>„</w:t>
                          </w:r>
                          <w:sdt>
                            <w:sdtPr>
                              <w:alias w:val="Numeris"/>
                              <w:tag w:val="nr_37ec1aa6a5244fb299638a5f318f84bd"/>
                              <w:id w:val="-341013453"/>
                              <w:lock w:val="sdtLocked"/>
                            </w:sdtPr>
                            <w:sdtEndPr/>
                            <w:sdtContent>
                              <w:r>
                                <w:rPr>
                                  <w:szCs w:val="24"/>
                                </w:rPr>
                                <w:t>31</w:t>
                              </w:r>
                              <w:r>
                                <w:rPr>
                                  <w:szCs w:val="24"/>
                                  <w:vertAlign w:val="superscript"/>
                                </w:rPr>
                                <w:t>1</w:t>
                              </w:r>
                            </w:sdtContent>
                          </w:sdt>
                          <w:r>
                            <w:rPr>
                              <w:szCs w:val="24"/>
                            </w:rPr>
                            <w:t xml:space="preserve">. Patikrinimus NAFO reguliuojamame rajone Pareigūnai atlieka vadovaudamiesi Reglamento </w:t>
                          </w:r>
                          <w:hyperlink r:id="rId47" w:tgtFrame="_blank" w:history="1">
                            <w:r>
                              <w:rPr>
                                <w:color w:val="0563C1" w:themeColor="hyperlink"/>
                                <w:szCs w:val="24"/>
                                <w:u w:val="single"/>
                              </w:rPr>
                              <w:t>(ES) 2019/833</w:t>
                            </w:r>
                          </w:hyperlink>
                          <w:r>
                            <w:rPr>
                              <w:szCs w:val="24"/>
                            </w:rPr>
                            <w:t xml:space="preserve"> 28, 30, 31, 34–36 ir 45 straipsnių nustatyta tvarka.“</w:t>
                          </w:r>
                        </w:p>
                      </w:sdtContent>
                    </w:sdt>
                  </w:sdtContent>
                </w:sdt>
              </w:sdtContent>
            </w:sdt>
            <w:sdt>
              <w:sdtPr>
                <w:alias w:val="2.7 pp."/>
                <w:tag w:val="part_a01915197a2147d9851cf283651ac994"/>
                <w:id w:val="486129892"/>
                <w:lock w:val="sdtLocked"/>
              </w:sdtPr>
              <w:sdtEndPr/>
              <w:sdtContent>
                <w:p w14:paraId="427C9B9F" w14:textId="54667BFB" w:rsidR="00202F4E" w:rsidRDefault="005C722C">
                  <w:pPr>
                    <w:overflowPunct w:val="0"/>
                    <w:spacing w:line="360" w:lineRule="auto"/>
                    <w:ind w:firstLine="731"/>
                    <w:jc w:val="both"/>
                    <w:textAlignment w:val="baseline"/>
                    <w:rPr>
                      <w:szCs w:val="24"/>
                    </w:rPr>
                  </w:pPr>
                  <w:sdt>
                    <w:sdtPr>
                      <w:alias w:val="Numeris"/>
                      <w:tag w:val="nr_a01915197a2147d9851cf283651ac994"/>
                      <w:id w:val="-1341857182"/>
                      <w:lock w:val="sdtLocked"/>
                    </w:sdtPr>
                    <w:sdtEndPr/>
                    <w:sdtContent>
                      <w:r>
                        <w:rPr>
                          <w:szCs w:val="24"/>
                        </w:rPr>
                        <w:t>2.7</w:t>
                      </w:r>
                    </w:sdtContent>
                  </w:sdt>
                  <w:r>
                    <w:rPr>
                      <w:szCs w:val="24"/>
                    </w:rPr>
                    <w:t>. Pakeičiu 31</w:t>
                  </w:r>
                  <w:r>
                    <w:rPr>
                      <w:szCs w:val="24"/>
                      <w:vertAlign w:val="superscript"/>
                    </w:rPr>
                    <w:t xml:space="preserve">2 </w:t>
                  </w:r>
                  <w:r>
                    <w:rPr>
                      <w:szCs w:val="24"/>
                    </w:rPr>
                    <w:t>punktą ir jį išdėstau taip:</w:t>
                  </w:r>
                </w:p>
                <w:sdt>
                  <w:sdtPr>
                    <w:alias w:val="citata"/>
                    <w:tag w:val="part_fa6d969ea39e4e94bf0c2a37d91a1c93"/>
                    <w:id w:val="112104381"/>
                    <w:lock w:val="sdtLocked"/>
                  </w:sdtPr>
                  <w:sdtEndPr/>
                  <w:sdtContent>
                    <w:sdt>
                      <w:sdtPr>
                        <w:alias w:val="31-2 p."/>
                        <w:tag w:val="part_2dc8c42eb9e24045a92f31300a971c09"/>
                        <w:id w:val="-50311991"/>
                        <w:lock w:val="sdtLocked"/>
                      </w:sdtPr>
                      <w:sdtEndPr/>
                      <w:sdtContent>
                        <w:p w14:paraId="416AF5B3" w14:textId="18075BFA" w:rsidR="00202F4E" w:rsidRDefault="005C722C">
                          <w:pPr>
                            <w:overflowPunct w:val="0"/>
                            <w:spacing w:line="360" w:lineRule="auto"/>
                            <w:ind w:firstLine="731"/>
                            <w:jc w:val="both"/>
                            <w:textAlignment w:val="baseline"/>
                            <w:rPr>
                              <w:szCs w:val="24"/>
                            </w:rPr>
                          </w:pPr>
                          <w:r>
                            <w:rPr>
                              <w:szCs w:val="24"/>
                            </w:rPr>
                            <w:t>„</w:t>
                          </w:r>
                          <w:sdt>
                            <w:sdtPr>
                              <w:alias w:val="Numeris"/>
                              <w:tag w:val="nr_2dc8c42eb9e24045a92f31300a971c09"/>
                              <w:id w:val="685720069"/>
                              <w:lock w:val="sdtLocked"/>
                            </w:sdtPr>
                            <w:sdtEndPr/>
                            <w:sdtContent>
                              <w:r>
                                <w:rPr>
                                  <w:color w:val="000000"/>
                                  <w:szCs w:val="24"/>
                                  <w:lang w:eastAsia="lt-LT"/>
                                </w:rPr>
                                <w:t>31</w:t>
                              </w:r>
                              <w:r>
                                <w:rPr>
                                  <w:color w:val="000000"/>
                                  <w:szCs w:val="24"/>
                                  <w:vertAlign w:val="superscript"/>
                                  <w:lang w:eastAsia="lt-LT"/>
                                </w:rPr>
                                <w:t>2</w:t>
                              </w:r>
                            </w:sdtContent>
                          </w:sdt>
                          <w:r>
                            <w:rPr>
                              <w:color w:val="000000"/>
                              <w:szCs w:val="24"/>
                              <w:lang w:eastAsia="lt-LT"/>
                            </w:rPr>
                            <w:t xml:space="preserve">. Patikrinimus NEAFC reguliuojamame rajone Pareigūnai atlieka vadovaudamiesi Reglamento </w:t>
                          </w:r>
                          <w:hyperlink r:id="rId48" w:tgtFrame="_blank" w:history="1">
                            <w:r>
                              <w:rPr>
                                <w:color w:val="0563C1" w:themeColor="hyperlink"/>
                                <w:szCs w:val="24"/>
                                <w:u w:val="single"/>
                                <w:lang w:eastAsia="lt-LT"/>
                              </w:rPr>
                              <w:t>(ES) 2024/2594</w:t>
                            </w:r>
                          </w:hyperlink>
                          <w:r>
                            <w:rPr>
                              <w:color w:val="000000"/>
                              <w:szCs w:val="24"/>
                              <w:lang w:eastAsia="lt-LT"/>
                            </w:rPr>
                            <w:t xml:space="preserve"> 20–23, 34–35, 37–38 straipsnių nustatyta tvarka.</w:t>
                          </w:r>
                          <w:r>
                            <w:rPr>
                              <w:szCs w:val="24"/>
                            </w:rPr>
                            <w:t>“</w:t>
                          </w:r>
                        </w:p>
                      </w:sdtContent>
                    </w:sdt>
                  </w:sdtContent>
                </w:sdt>
              </w:sdtContent>
            </w:sdt>
            <w:sdt>
              <w:sdtPr>
                <w:alias w:val="2.8 pp."/>
                <w:tag w:val="part_f2b5bb706ce244f2b820c7b0b3b279d7"/>
                <w:id w:val="-1616521587"/>
                <w:lock w:val="sdtLocked"/>
              </w:sdtPr>
              <w:sdtEndPr/>
              <w:sdtContent>
                <w:p w14:paraId="3F60A181" w14:textId="2C6984D2" w:rsidR="00202F4E" w:rsidRDefault="005C722C">
                  <w:pPr>
                    <w:overflowPunct w:val="0"/>
                    <w:spacing w:line="360" w:lineRule="auto"/>
                    <w:ind w:firstLine="731"/>
                    <w:jc w:val="both"/>
                    <w:textAlignment w:val="baseline"/>
                    <w:rPr>
                      <w:szCs w:val="24"/>
                    </w:rPr>
                  </w:pPr>
                  <w:sdt>
                    <w:sdtPr>
                      <w:alias w:val="Numeris"/>
                      <w:tag w:val="nr_f2b5bb706ce244f2b820c7b0b3b279d7"/>
                      <w:id w:val="1460538194"/>
                      <w:lock w:val="sdtLocked"/>
                    </w:sdtPr>
                    <w:sdtEndPr/>
                    <w:sdtContent>
                      <w:r>
                        <w:rPr>
                          <w:szCs w:val="24"/>
                        </w:rPr>
                        <w:t>2.8</w:t>
                      </w:r>
                    </w:sdtContent>
                  </w:sdt>
                  <w:r>
                    <w:rPr>
                      <w:szCs w:val="24"/>
                    </w:rPr>
                    <w:t>. Pakeičiu 33</w:t>
                  </w:r>
                  <w:r>
                    <w:rPr>
                      <w:szCs w:val="24"/>
                      <w:vertAlign w:val="superscript"/>
                    </w:rPr>
                    <w:t xml:space="preserve"> </w:t>
                  </w:r>
                  <w:r>
                    <w:rPr>
                      <w:szCs w:val="24"/>
                    </w:rPr>
                    <w:t>punktą ir jį išdėstau taip:</w:t>
                  </w:r>
                </w:p>
                <w:sdt>
                  <w:sdtPr>
                    <w:alias w:val="citata"/>
                    <w:tag w:val="part_3bb74ffd7e2a460ba0396f87b47475ba"/>
                    <w:id w:val="1309980308"/>
                    <w:lock w:val="sdtLocked"/>
                  </w:sdtPr>
                  <w:sdtEndPr/>
                  <w:sdtContent>
                    <w:sdt>
                      <w:sdtPr>
                        <w:alias w:val="33 p."/>
                        <w:tag w:val="part_91f4a3524fd449fcaf13f2200c9f14d7"/>
                        <w:id w:val="87131496"/>
                        <w:lock w:val="sdtLocked"/>
                      </w:sdtPr>
                      <w:sdtEndPr/>
                      <w:sdtContent>
                        <w:p w14:paraId="7920A4A8" w14:textId="77777777" w:rsidR="00202F4E" w:rsidRDefault="005C722C">
                          <w:pPr>
                            <w:overflowPunct w:val="0"/>
                            <w:spacing w:line="360" w:lineRule="auto"/>
                            <w:ind w:firstLine="731"/>
                            <w:jc w:val="both"/>
                            <w:textAlignment w:val="baseline"/>
                            <w:rPr>
                              <w:szCs w:val="24"/>
                            </w:rPr>
                          </w:pPr>
                          <w:r>
                            <w:rPr>
                              <w:szCs w:val="24"/>
                            </w:rPr>
                            <w:t>„</w:t>
                          </w:r>
                          <w:sdt>
                            <w:sdtPr>
                              <w:alias w:val="Numeris"/>
                              <w:tag w:val="nr_91f4a3524fd449fcaf13f2200c9f14d7"/>
                              <w:id w:val="-1944756813"/>
                              <w:lock w:val="sdtLocked"/>
                            </w:sdtPr>
                            <w:sdtEndPr/>
                            <w:sdtContent>
                              <w:r>
                                <w:rPr>
                                  <w:szCs w:val="24"/>
                                </w:rPr>
                                <w:t>33</w:t>
                              </w:r>
                            </w:sdtContent>
                          </w:sdt>
                          <w:r>
                            <w:rPr>
                              <w:szCs w:val="24"/>
                            </w:rPr>
                            <w:t>. Jeigu buvo nustatytas pažeidimas, surašomas Administracinio nusižengimo protokolas, vadovaujantis Lietuvos Respublikos Vyriausybės 2015 m. birželio 22 d. nutarimu Nr. 640 „Dėl Administracinio nusiže</w:t>
                          </w:r>
                          <w:r>
                            <w:rPr>
                              <w:szCs w:val="24"/>
                            </w:rPr>
                            <w:t>ngimo protokolo, Nutarimo administracinio nusižengimo byloje, Nutarimo dėl administracinio nusižengimo, kai protokolas nesurašomas, formų ir jų pildymo taisyklių patvirtinimo“, ir (arba) Sunkaus pažeidimo protokolas, kai ūkio subjektas atsakomybėn traukiam</w:t>
                          </w:r>
                          <w:r>
                            <w:rPr>
                              <w:szCs w:val="24"/>
                            </w:rPr>
                            <w:t>as pagal Žuvininkystės įstatymą.“</w:t>
                          </w:r>
                        </w:p>
                      </w:sdtContent>
                    </w:sdt>
                  </w:sdtContent>
                </w:sdt>
              </w:sdtContent>
            </w:sdt>
            <w:sdt>
              <w:sdtPr>
                <w:alias w:val="2.9 pp."/>
                <w:tag w:val="part_e7f99b93693d441ca6f0b9376bbf0bc8"/>
                <w:id w:val="-623768557"/>
                <w:lock w:val="sdtLocked"/>
              </w:sdtPr>
              <w:sdtEndPr/>
              <w:sdtContent>
                <w:p w14:paraId="7459B637" w14:textId="4AA7EB15" w:rsidR="00202F4E" w:rsidRDefault="005C722C">
                  <w:pPr>
                    <w:overflowPunct w:val="0"/>
                    <w:spacing w:line="360" w:lineRule="auto"/>
                    <w:ind w:firstLine="731"/>
                    <w:jc w:val="both"/>
                    <w:textAlignment w:val="baseline"/>
                    <w:rPr>
                      <w:szCs w:val="24"/>
                    </w:rPr>
                  </w:pPr>
                  <w:sdt>
                    <w:sdtPr>
                      <w:alias w:val="Numeris"/>
                      <w:tag w:val="nr_e7f99b93693d441ca6f0b9376bbf0bc8"/>
                      <w:id w:val="1397630458"/>
                      <w:lock w:val="sdtLocked"/>
                    </w:sdtPr>
                    <w:sdtEndPr/>
                    <w:sdtContent>
                      <w:r>
                        <w:rPr>
                          <w:szCs w:val="24"/>
                        </w:rPr>
                        <w:t>2.9</w:t>
                      </w:r>
                    </w:sdtContent>
                  </w:sdt>
                  <w:r>
                    <w:rPr>
                      <w:szCs w:val="24"/>
                    </w:rPr>
                    <w:t xml:space="preserve">. Pakeičiu </w:t>
                  </w:r>
                  <w:r>
                    <w:rPr>
                      <w:color w:val="000000"/>
                      <w:szCs w:val="24"/>
                      <w:lang w:eastAsia="lt-LT"/>
                    </w:rPr>
                    <w:t>45</w:t>
                  </w:r>
                  <w:r>
                    <w:rPr>
                      <w:color w:val="000000"/>
                      <w:szCs w:val="24"/>
                      <w:vertAlign w:val="superscript"/>
                      <w:lang w:eastAsia="lt-LT"/>
                    </w:rPr>
                    <w:t xml:space="preserve">2 </w:t>
                  </w:r>
                  <w:r>
                    <w:rPr>
                      <w:szCs w:val="24"/>
                    </w:rPr>
                    <w:t>punktą ir jį išdėstau taip:</w:t>
                  </w:r>
                </w:p>
                <w:sdt>
                  <w:sdtPr>
                    <w:alias w:val="citata"/>
                    <w:tag w:val="part_5538f0cff95a4f79902fb252bff4a27b"/>
                    <w:id w:val="1900855094"/>
                    <w:lock w:val="sdtLocked"/>
                  </w:sdtPr>
                  <w:sdtEndPr/>
                  <w:sdtContent>
                    <w:sdt>
                      <w:sdtPr>
                        <w:alias w:val="45-2 p."/>
                        <w:tag w:val="part_b2da04e81dd54cdc8f8cf37fff529671"/>
                        <w:id w:val="-324902557"/>
                        <w:lock w:val="sdtLocked"/>
                      </w:sdtPr>
                      <w:sdtEndPr/>
                      <w:sdtContent>
                        <w:p w14:paraId="30B05F7B" w14:textId="6D605551" w:rsidR="00202F4E" w:rsidRDefault="005C722C">
                          <w:pPr>
                            <w:overflowPunct w:val="0"/>
                            <w:spacing w:line="360" w:lineRule="auto"/>
                            <w:ind w:firstLine="731"/>
                            <w:jc w:val="both"/>
                            <w:textAlignment w:val="baseline"/>
                            <w:rPr>
                              <w:szCs w:val="24"/>
                            </w:rPr>
                          </w:pPr>
                          <w:r>
                            <w:rPr>
                              <w:szCs w:val="24"/>
                            </w:rPr>
                            <w:t>„</w:t>
                          </w:r>
                          <w:sdt>
                            <w:sdtPr>
                              <w:alias w:val="Numeris"/>
                              <w:tag w:val="nr_b2da04e81dd54cdc8f8cf37fff529671"/>
                              <w:id w:val="826399174"/>
                              <w:lock w:val="sdtLocked"/>
                            </w:sdtPr>
                            <w:sdtEndPr/>
                            <w:sdtContent>
                              <w:r>
                                <w:rPr>
                                  <w:color w:val="000000"/>
                                  <w:szCs w:val="24"/>
                                  <w:lang w:eastAsia="lt-LT"/>
                                </w:rPr>
                                <w:t>45</w:t>
                              </w:r>
                              <w:r>
                                <w:rPr>
                                  <w:color w:val="000000"/>
                                  <w:szCs w:val="24"/>
                                  <w:vertAlign w:val="superscript"/>
                                  <w:lang w:eastAsia="lt-LT"/>
                                </w:rPr>
                                <w:t>2</w:t>
                              </w:r>
                            </w:sdtContent>
                          </w:sdt>
                          <w:r>
                            <w:rPr>
                              <w:color w:val="000000"/>
                              <w:szCs w:val="24"/>
                              <w:lang w:eastAsia="lt-LT"/>
                            </w:rPr>
                            <w:t xml:space="preserve">. Patikrinimus NEAFC reguliuojamame rajone Pareigūnai įformina vadovaudamiesi Reglamento </w:t>
                          </w:r>
                          <w:hyperlink r:id="rId49" w:tgtFrame="_blank" w:history="1">
                            <w:r>
                              <w:rPr>
                                <w:color w:val="0563C1" w:themeColor="hyperlink"/>
                                <w:szCs w:val="24"/>
                                <w:u w:val="single"/>
                                <w:lang w:eastAsia="lt-LT"/>
                              </w:rPr>
                              <w:t>(ES) 2024/2594</w:t>
                            </w:r>
                          </w:hyperlink>
                          <w:r>
                            <w:rPr>
                              <w:color w:val="000000"/>
                              <w:szCs w:val="24"/>
                              <w:lang w:eastAsia="lt-LT"/>
                            </w:rPr>
                            <w:t xml:space="preserve"> 23 straipsnio reikalavimais.</w:t>
                          </w:r>
                          <w:r>
                            <w:rPr>
                              <w:szCs w:val="24"/>
                            </w:rPr>
                            <w:t>“</w:t>
                          </w:r>
                        </w:p>
                      </w:sdtContent>
                    </w:sdt>
                  </w:sdtContent>
                </w:sdt>
              </w:sdtContent>
            </w:sdt>
            <w:sdt>
              <w:sdtPr>
                <w:alias w:val="2.10 pp."/>
                <w:tag w:val="part_8ff7c71e04d44c88ba66bfb57a493d10"/>
                <w:id w:val="-1931259675"/>
                <w:lock w:val="sdtLocked"/>
              </w:sdtPr>
              <w:sdtEndPr/>
              <w:sdtContent>
                <w:p w14:paraId="794BC321" w14:textId="64D84ECE" w:rsidR="00202F4E" w:rsidRDefault="005C722C">
                  <w:pPr>
                    <w:overflowPunct w:val="0"/>
                    <w:spacing w:line="360" w:lineRule="auto"/>
                    <w:ind w:firstLine="731"/>
                    <w:jc w:val="both"/>
                    <w:textAlignment w:val="baseline"/>
                    <w:rPr>
                      <w:szCs w:val="24"/>
                    </w:rPr>
                  </w:pPr>
                  <w:sdt>
                    <w:sdtPr>
                      <w:alias w:val="Numeris"/>
                      <w:tag w:val="nr_8ff7c71e04d44c88ba66bfb57a493d10"/>
                      <w:id w:val="-1867279956"/>
                      <w:lock w:val="sdtLocked"/>
                    </w:sdtPr>
                    <w:sdtEndPr/>
                    <w:sdtContent>
                      <w:r>
                        <w:rPr>
                          <w:szCs w:val="24"/>
                        </w:rPr>
                        <w:t>2.10</w:t>
                      </w:r>
                    </w:sdtContent>
                  </w:sdt>
                  <w:r>
                    <w:rPr>
                      <w:szCs w:val="24"/>
                    </w:rPr>
                    <w:t>. Papildau 45</w:t>
                  </w:r>
                  <w:r>
                    <w:rPr>
                      <w:szCs w:val="24"/>
                      <w:vertAlign w:val="superscript"/>
                    </w:rPr>
                    <w:t>4</w:t>
                  </w:r>
                  <w:r>
                    <w:rPr>
                      <w:szCs w:val="24"/>
                    </w:rPr>
                    <w:t xml:space="preserve"> punktu:</w:t>
                  </w:r>
                </w:p>
                <w:sdt>
                  <w:sdtPr>
                    <w:alias w:val="citata"/>
                    <w:tag w:val="part_3a3d58acb617425b8d54ef24c95fb4dc"/>
                    <w:id w:val="1129061490"/>
                    <w:lock w:val="sdtLocked"/>
                  </w:sdtPr>
                  <w:sdtEndPr/>
                  <w:sdtContent>
                    <w:sdt>
                      <w:sdtPr>
                        <w:alias w:val="45-4 p."/>
                        <w:tag w:val="part_ce7daa7132144a4a897cb8295ede68ec"/>
                        <w:id w:val="220331063"/>
                        <w:lock w:val="sdtLocked"/>
                      </w:sdtPr>
                      <w:sdtEndPr/>
                      <w:sdtContent>
                        <w:p w14:paraId="6A89B3D5" w14:textId="77777777" w:rsidR="00202F4E" w:rsidRDefault="005C722C">
                          <w:pPr>
                            <w:overflowPunct w:val="0"/>
                            <w:spacing w:line="360" w:lineRule="auto"/>
                            <w:ind w:firstLine="731"/>
                            <w:jc w:val="both"/>
                            <w:textAlignment w:val="baseline"/>
                            <w:rPr>
                              <w:color w:val="000000"/>
                              <w:szCs w:val="24"/>
                            </w:rPr>
                          </w:pPr>
                          <w:r>
                            <w:rPr>
                              <w:color w:val="000000"/>
                              <w:szCs w:val="24"/>
                              <w:lang w:eastAsia="lt-LT"/>
                            </w:rPr>
                            <w:t>„</w:t>
                          </w:r>
                          <w:sdt>
                            <w:sdtPr>
                              <w:alias w:val="Numeris"/>
                              <w:tag w:val="nr_ce7daa7132144a4a897cb8295ede68ec"/>
                              <w:id w:val="-917627900"/>
                              <w:lock w:val="sdtLocked"/>
                            </w:sdtPr>
                            <w:sdtEndPr/>
                            <w:sdtContent>
                              <w:r>
                                <w:rPr>
                                  <w:szCs w:val="24"/>
                                </w:rPr>
                                <w:t>45</w:t>
                              </w:r>
                              <w:r>
                                <w:rPr>
                                  <w:szCs w:val="24"/>
                                  <w:vertAlign w:val="superscript"/>
                                </w:rPr>
                                <w:t>4</w:t>
                              </w:r>
                            </w:sdtContent>
                          </w:sdt>
                          <w:r>
                            <w:rPr>
                              <w:szCs w:val="24"/>
                            </w:rPr>
                            <w:t xml:space="preserve">. </w:t>
                          </w:r>
                          <w:r>
                            <w:rPr>
                              <w:color w:val="000000"/>
                              <w:szCs w:val="24"/>
                              <w:lang w:eastAsia="lt-LT"/>
                            </w:rPr>
                            <w:t>Žuvininkystės tarnyba informuoja Europos Komisiją ir jos paskirtą instituciją apie patikrinimų NEAFC reguliuojamame rajone rezultatus, vadov</w:t>
                          </w:r>
                          <w:r>
                            <w:rPr>
                              <w:color w:val="000000"/>
                              <w:szCs w:val="24"/>
                              <w:lang w:eastAsia="lt-LT"/>
                            </w:rPr>
                            <w:t xml:space="preserve">audamasi Reglamento </w:t>
                          </w:r>
                          <w:hyperlink r:id="rId50" w:tgtFrame="_blank" w:history="1">
                            <w:r>
                              <w:rPr>
                                <w:color w:val="0563C1" w:themeColor="hyperlink"/>
                                <w:szCs w:val="24"/>
                                <w:u w:val="single"/>
                                <w:lang w:eastAsia="lt-LT"/>
                              </w:rPr>
                              <w:t>(ES) 2024/2594</w:t>
                            </w:r>
                          </w:hyperlink>
                          <w:r>
                            <w:rPr>
                              <w:color w:val="000000"/>
                              <w:szCs w:val="24"/>
                              <w:lang w:eastAsia="lt-LT"/>
                            </w:rPr>
                            <w:t xml:space="preserve"> 34, 37, 38 ir 40 straipsnių nustatyta tvarka.</w:t>
                          </w:r>
                          <w:r>
                            <w:rPr>
                              <w:color w:val="000000"/>
                              <w:szCs w:val="24"/>
                            </w:rPr>
                            <w:t>“</w:t>
                          </w:r>
                        </w:p>
                      </w:sdtContent>
                    </w:sdt>
                  </w:sdtContent>
                </w:sdt>
              </w:sdtContent>
            </w:sdt>
            <w:sdt>
              <w:sdtPr>
                <w:alias w:val="2.11 pp."/>
                <w:tag w:val="part_f75ceb02160346b3a9c5f5659d16b3d6"/>
                <w:id w:val="-1432193070"/>
                <w:lock w:val="sdtLocked"/>
              </w:sdtPr>
              <w:sdtEndPr/>
              <w:sdtContent>
                <w:p w14:paraId="3FC4F37B" w14:textId="096D6CE5" w:rsidR="00202F4E" w:rsidRDefault="005C722C">
                  <w:pPr>
                    <w:overflowPunct w:val="0"/>
                    <w:spacing w:line="360" w:lineRule="auto"/>
                    <w:ind w:firstLine="731"/>
                    <w:jc w:val="both"/>
                    <w:textAlignment w:val="baseline"/>
                    <w:rPr>
                      <w:szCs w:val="24"/>
                    </w:rPr>
                  </w:pPr>
                  <w:sdt>
                    <w:sdtPr>
                      <w:alias w:val="Numeris"/>
                      <w:tag w:val="nr_f75ceb02160346b3a9c5f5659d16b3d6"/>
                      <w:id w:val="-1479227036"/>
                      <w:lock w:val="sdtLocked"/>
                    </w:sdtPr>
                    <w:sdtEndPr/>
                    <w:sdtContent>
                      <w:r>
                        <w:rPr>
                          <w:szCs w:val="24"/>
                        </w:rPr>
                        <w:t>2.11</w:t>
                      </w:r>
                    </w:sdtContent>
                  </w:sdt>
                  <w:r>
                    <w:rPr>
                      <w:szCs w:val="24"/>
                    </w:rPr>
                    <w:t>. Pakeičiu 46</w:t>
                  </w:r>
                  <w:r>
                    <w:rPr>
                      <w:szCs w:val="24"/>
                      <w:vertAlign w:val="superscript"/>
                    </w:rPr>
                    <w:t xml:space="preserve"> </w:t>
                  </w:r>
                  <w:r>
                    <w:rPr>
                      <w:szCs w:val="24"/>
                    </w:rPr>
                    <w:t>punktą ir jį išdėstau taip:</w:t>
                  </w:r>
                </w:p>
                <w:sdt>
                  <w:sdtPr>
                    <w:alias w:val="citata"/>
                    <w:tag w:val="part_91f8095238dd40cfb3176b64b7bd60af"/>
                    <w:id w:val="26845993"/>
                    <w:lock w:val="sdtLocked"/>
                  </w:sdtPr>
                  <w:sdtEndPr/>
                  <w:sdtContent>
                    <w:sdt>
                      <w:sdtPr>
                        <w:alias w:val="46 p."/>
                        <w:tag w:val="part_5c9c754f39dd4f85a059dd127df4bdd9"/>
                        <w:id w:val="-1263524319"/>
                        <w:lock w:val="sdtLocked"/>
                      </w:sdtPr>
                      <w:sdtEndPr/>
                      <w:sdtContent>
                        <w:p w14:paraId="01BD8E41" w14:textId="77777777" w:rsidR="00202F4E" w:rsidRDefault="005C722C">
                          <w:pPr>
                            <w:overflowPunct w:val="0"/>
                            <w:spacing w:line="360" w:lineRule="auto"/>
                            <w:ind w:firstLine="731"/>
                            <w:jc w:val="both"/>
                            <w:textAlignment w:val="baseline"/>
                            <w:rPr>
                              <w:szCs w:val="24"/>
                            </w:rPr>
                          </w:pPr>
                          <w:r>
                            <w:rPr>
                              <w:szCs w:val="24"/>
                            </w:rPr>
                            <w:t>„</w:t>
                          </w:r>
                          <w:sdt>
                            <w:sdtPr>
                              <w:alias w:val="Numeris"/>
                              <w:tag w:val="nr_5c9c754f39dd4f85a059dd127df4bdd9"/>
                              <w:id w:val="2056500377"/>
                              <w:lock w:val="sdtLocked"/>
                            </w:sdtPr>
                            <w:sdtEndPr/>
                            <w:sdtContent>
                              <w:r>
                                <w:rPr>
                                  <w:szCs w:val="24"/>
                                </w:rPr>
                                <w:t>46</w:t>
                              </w:r>
                            </w:sdtContent>
                          </w:sdt>
                          <w:r>
                            <w:rPr>
                              <w:szCs w:val="24"/>
                            </w:rPr>
                            <w:t xml:space="preserve">. Atlikdami </w:t>
                          </w:r>
                          <w:r>
                            <w:rPr>
                              <w:szCs w:val="24"/>
                            </w:rPr>
                            <w:t>ūkio subjekto patikrinimą, Pareigūnai turi teisę paimti dokumentus ir (ar) daiktus, kurie yra įtariamo teisės pažeidimo įrankis arba tiesioginis objektas, bei realizuoti paimtus žvejybos produktus, kaip tai numatyta Žuvininkystės įstatymo 54 straipsnyje.“</w:t>
                          </w:r>
                        </w:p>
                      </w:sdtContent>
                    </w:sdt>
                  </w:sdtContent>
                </w:sdt>
              </w:sdtContent>
            </w:sdt>
            <w:sdt>
              <w:sdtPr>
                <w:alias w:val="2.12 pp."/>
                <w:tag w:val="part_4804743cba9247d583c3e9493aafa183"/>
                <w:id w:val="1041104926"/>
                <w:lock w:val="sdtLocked"/>
              </w:sdtPr>
              <w:sdtEndPr/>
              <w:sdtContent>
                <w:p w14:paraId="6006FB8C" w14:textId="377628F1" w:rsidR="00202F4E" w:rsidRDefault="005C722C">
                  <w:pPr>
                    <w:overflowPunct w:val="0"/>
                    <w:spacing w:line="360" w:lineRule="auto"/>
                    <w:ind w:firstLine="731"/>
                    <w:jc w:val="both"/>
                    <w:textAlignment w:val="baseline"/>
                    <w:rPr>
                      <w:szCs w:val="24"/>
                    </w:rPr>
                  </w:pPr>
                  <w:sdt>
                    <w:sdtPr>
                      <w:alias w:val="Numeris"/>
                      <w:tag w:val="nr_4804743cba9247d583c3e9493aafa183"/>
                      <w:id w:val="363563071"/>
                      <w:lock w:val="sdtLocked"/>
                    </w:sdtPr>
                    <w:sdtEndPr/>
                    <w:sdtContent>
                      <w:r>
                        <w:rPr>
                          <w:szCs w:val="24"/>
                        </w:rPr>
                        <w:t>2.12</w:t>
                      </w:r>
                    </w:sdtContent>
                  </w:sdt>
                  <w:r>
                    <w:rPr>
                      <w:szCs w:val="24"/>
                    </w:rPr>
                    <w:t xml:space="preserve">. Pakeičiu 51 punktą ir jį išdėstau taip: </w:t>
                  </w:r>
                </w:p>
                <w:sdt>
                  <w:sdtPr>
                    <w:alias w:val="citata"/>
                    <w:tag w:val="part_ace36465cb1640818931167d58d32bf9"/>
                    <w:id w:val="-1530407697"/>
                    <w:lock w:val="sdtLocked"/>
                  </w:sdtPr>
                  <w:sdtEndPr/>
                  <w:sdtContent>
                    <w:sdt>
                      <w:sdtPr>
                        <w:alias w:val="51 p."/>
                        <w:tag w:val="part_e011047c3f2f43558b98f01e9cb4ebb4"/>
                        <w:id w:val="-136729942"/>
                        <w:lock w:val="sdtLocked"/>
                      </w:sdtPr>
                      <w:sdtEndPr/>
                      <w:sdtContent>
                        <w:p w14:paraId="06ED22F3" w14:textId="6DFDB5BC" w:rsidR="00202F4E" w:rsidRDefault="005C722C">
                          <w:pPr>
                            <w:tabs>
                              <w:tab w:val="left" w:pos="993"/>
                            </w:tabs>
                            <w:spacing w:line="360" w:lineRule="auto"/>
                            <w:ind w:firstLine="731"/>
                            <w:jc w:val="both"/>
                            <w:rPr>
                              <w:szCs w:val="24"/>
                            </w:rPr>
                          </w:pPr>
                          <w:r>
                            <w:rPr>
                              <w:szCs w:val="24"/>
                            </w:rPr>
                            <w:t>„</w:t>
                          </w:r>
                          <w:sdt>
                            <w:sdtPr>
                              <w:alias w:val="Numeris"/>
                              <w:tag w:val="nr_e011047c3f2f43558b98f01e9cb4ebb4"/>
                              <w:id w:val="768198929"/>
                              <w:lock w:val="sdtLocked"/>
                            </w:sdtPr>
                            <w:sdtEndPr/>
                            <w:sdtContent>
                              <w:r>
                                <w:rPr>
                                  <w:szCs w:val="24"/>
                                </w:rPr>
                                <w:t>51</w:t>
                              </w:r>
                            </w:sdtContent>
                          </w:sdt>
                          <w:r>
                            <w:rPr>
                              <w:szCs w:val="24"/>
                            </w:rPr>
                            <w:t xml:space="preserve">. Žuvininkystės tarnyba kartą teikia Europos Komisijai informaciją, vadovaudamasi Reglamento </w:t>
                          </w:r>
                          <w:hyperlink r:id="rId51" w:tgtFrame="_blank" w:history="1">
                            <w:r>
                              <w:rPr>
                                <w:color w:val="0563C1" w:themeColor="hyperlink"/>
                                <w:szCs w:val="24"/>
                                <w:u w:val="single"/>
                              </w:rPr>
                              <w:t>(ES) 2024/2594</w:t>
                            </w:r>
                          </w:hyperlink>
                          <w:r>
                            <w:rPr>
                              <w:szCs w:val="24"/>
                            </w:rPr>
                            <w:t xml:space="preserve"> 8 ir 40 straipsnių reikalavimais.“</w:t>
                          </w:r>
                        </w:p>
                      </w:sdtContent>
                    </w:sdt>
                  </w:sdtContent>
                </w:sdt>
              </w:sdtContent>
            </w:sdt>
          </w:sdtContent>
        </w:sdt>
        <w:sdt>
          <w:sdtPr>
            <w:alias w:val="3 p."/>
            <w:tag w:val="part_12a3408fb15c45049ce8ae17437799b9"/>
            <w:id w:val="-365679085"/>
            <w:lock w:val="sdtLocked"/>
          </w:sdtPr>
          <w:sdtEndPr/>
          <w:sdtContent>
            <w:p w14:paraId="761096F7" w14:textId="5CB966B6" w:rsidR="00202F4E" w:rsidRDefault="005C722C" w:rsidP="005C722C">
              <w:pPr>
                <w:tabs>
                  <w:tab w:val="left" w:pos="993"/>
                </w:tabs>
                <w:spacing w:line="360" w:lineRule="auto"/>
                <w:ind w:firstLine="731"/>
                <w:jc w:val="both"/>
                <w:rPr>
                  <w:color w:val="000000"/>
                  <w:szCs w:val="24"/>
                </w:rPr>
              </w:pPr>
              <w:sdt>
                <w:sdtPr>
                  <w:alias w:val="Numeris"/>
                  <w:tag w:val="nr_12a3408fb15c45049ce8ae17437799b9"/>
                  <w:id w:val="385311065"/>
                  <w:lock w:val="sdtLocked"/>
                </w:sdtPr>
                <w:sdtEndPr/>
                <w:sdtContent>
                  <w:r>
                    <w:rPr>
                      <w:szCs w:val="24"/>
                    </w:rPr>
                    <w:t>3</w:t>
                  </w:r>
                </w:sdtContent>
              </w:sdt>
              <w:r>
                <w:rPr>
                  <w:szCs w:val="24"/>
                </w:rPr>
                <w:t xml:space="preserve">. Nustatau, kad šio įsakymo 1 punktas, 2.4, 2.5 ir 2.11 papunkčiai įsigalioja 2026 m. sausio 10 d. </w:t>
              </w:r>
            </w:p>
          </w:sdtContent>
        </w:sdt>
        <w:sdt>
          <w:sdtPr>
            <w:alias w:val="signatura"/>
            <w:tag w:val="part_f039eb252ade41d0b71243492bb9631b"/>
            <w:id w:val="-724216357"/>
            <w:lock w:val="sdtLocked"/>
          </w:sdtPr>
          <w:sdtEndPr/>
          <w:sdtContent>
            <w:bookmarkStart w:id="0" w:name="_GoBack" w:displacedByCustomXml="prev"/>
            <w:p w14:paraId="4813152C" w14:textId="77777777" w:rsidR="005C722C" w:rsidRDefault="005C722C" w:rsidP="005C722C">
              <w:pPr>
                <w:overflowPunct w:val="0"/>
                <w:textAlignment w:val="baseline"/>
              </w:pPr>
            </w:p>
            <w:p w14:paraId="781D9229" w14:textId="77777777" w:rsidR="005C722C" w:rsidRDefault="005C722C" w:rsidP="005C722C">
              <w:pPr>
                <w:overflowPunct w:val="0"/>
                <w:textAlignment w:val="baseline"/>
              </w:pPr>
            </w:p>
            <w:p w14:paraId="59F3534D" w14:textId="77777777" w:rsidR="005C722C" w:rsidRDefault="005C722C" w:rsidP="005C722C">
              <w:pPr>
                <w:overflowPunct w:val="0"/>
                <w:textAlignment w:val="baseline"/>
              </w:pPr>
            </w:p>
            <w:p w14:paraId="4EB7EC41" w14:textId="5F16F5AE" w:rsidR="00202F4E" w:rsidRDefault="005C722C" w:rsidP="005C722C">
              <w:pPr>
                <w:tabs>
                  <w:tab w:val="left" w:pos="7513"/>
                </w:tabs>
                <w:overflowPunct w:val="0"/>
                <w:textAlignment w:val="baseline"/>
              </w:pPr>
              <w:r>
                <w:rPr>
                  <w:color w:val="000000"/>
                  <w:szCs w:val="24"/>
                </w:rPr>
                <w:t>Žemės ūkio ministras</w:t>
              </w:r>
              <w:r>
                <w:rPr>
                  <w:color w:val="000000"/>
                  <w:szCs w:val="24"/>
                </w:rPr>
                <w:tab/>
              </w:r>
              <w:r>
                <w:rPr>
                  <w:color w:val="000000"/>
                  <w:szCs w:val="24"/>
                </w:rPr>
                <w:t>Andrius Palionis</w:t>
              </w:r>
            </w:p>
            <w:bookmarkEnd w:id="0" w:displacedByCustomXml="next"/>
          </w:sdtContent>
        </w:sdt>
      </w:sdtContent>
    </w:sdt>
    <w:p w14:paraId="0EDBF014" w14:textId="77777777" w:rsidR="005C722C" w:rsidRDefault="005C722C" w:rsidP="005C722C">
      <w:pPr>
        <w:tabs>
          <w:tab w:val="left" w:pos="7513"/>
        </w:tabs>
        <w:overflowPunct w:val="0"/>
        <w:textAlignment w:val="baseline"/>
        <w:rPr>
          <w:rFonts w:eastAsia="Calibri"/>
          <w:szCs w:val="24"/>
        </w:rPr>
      </w:pPr>
    </w:p>
    <w:sectPr w:rsidR="005C722C">
      <w:headerReference w:type="even" r:id="rId52"/>
      <w:headerReference w:type="default" r:id="rId53"/>
      <w:footerReference w:type="even" r:id="rId54"/>
      <w:footerReference w:type="default" r:id="rId55"/>
      <w:headerReference w:type="first" r:id="rId56"/>
      <w:footerReference w:type="first" r:id="rId57"/>
      <w:pgSz w:w="11907" w:h="16840" w:code="9"/>
      <w:pgMar w:top="1134" w:right="567" w:bottom="1134" w:left="1701" w:header="709"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B054F" w14:textId="77777777" w:rsidR="00202F4E" w:rsidRDefault="005C722C">
      <w:pPr>
        <w:overflowPunct w:val="0"/>
        <w:textAlignment w:val="baseline"/>
        <w:rPr>
          <w:lang w:val="en-GB"/>
        </w:rPr>
      </w:pPr>
      <w:r>
        <w:rPr>
          <w:lang w:val="en-GB"/>
        </w:rPr>
        <w:separator/>
      </w:r>
    </w:p>
  </w:endnote>
  <w:endnote w:type="continuationSeparator" w:id="0">
    <w:p w14:paraId="2CCB0BE1" w14:textId="77777777" w:rsidR="00202F4E" w:rsidRDefault="005C722C">
      <w:pPr>
        <w:overflowPunct w:val="0"/>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838F0" w14:textId="77777777" w:rsidR="00202F4E" w:rsidRDefault="00202F4E">
    <w:pPr>
      <w:tabs>
        <w:tab w:val="center" w:pos="4153"/>
        <w:tab w:val="right" w:pos="8306"/>
      </w:tabs>
      <w:overflowPunct w:val="0"/>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6BBEB" w14:textId="77777777" w:rsidR="00202F4E" w:rsidRDefault="00202F4E">
    <w:pPr>
      <w:tabs>
        <w:tab w:val="center" w:pos="4153"/>
        <w:tab w:val="right" w:pos="8306"/>
      </w:tabs>
      <w:overflowPunct w:val="0"/>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4394D" w14:textId="77777777" w:rsidR="00202F4E" w:rsidRDefault="00202F4E">
    <w:pPr>
      <w:tabs>
        <w:tab w:val="center" w:pos="4153"/>
        <w:tab w:val="right" w:pos="8306"/>
      </w:tabs>
      <w:overflowPunct w:val="0"/>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9A6FA" w14:textId="77777777" w:rsidR="00202F4E" w:rsidRDefault="005C722C">
      <w:pPr>
        <w:overflowPunct w:val="0"/>
        <w:textAlignment w:val="baseline"/>
        <w:rPr>
          <w:lang w:val="en-GB"/>
        </w:rPr>
      </w:pPr>
      <w:r>
        <w:rPr>
          <w:lang w:val="en-GB"/>
        </w:rPr>
        <w:separator/>
      </w:r>
    </w:p>
  </w:footnote>
  <w:footnote w:type="continuationSeparator" w:id="0">
    <w:p w14:paraId="4214C2EF" w14:textId="77777777" w:rsidR="00202F4E" w:rsidRDefault="005C722C">
      <w:pPr>
        <w:overflowPunct w:val="0"/>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B2EEF" w14:textId="77777777" w:rsidR="00202F4E" w:rsidRDefault="00202F4E">
    <w:pPr>
      <w:tabs>
        <w:tab w:val="center" w:pos="4153"/>
        <w:tab w:val="right" w:pos="8306"/>
      </w:tabs>
      <w:overflowPunct w:val="0"/>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BCC8D4" w14:textId="4DEF190B" w:rsidR="00202F4E" w:rsidRDefault="005C722C">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5C722C">
      <w:rPr>
        <w:noProof/>
      </w:rPr>
      <w:t>3</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489E2" w14:textId="77777777" w:rsidR="00202F4E" w:rsidRDefault="00202F4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06F"/>
    <w:rsid w:val="0016306F"/>
    <w:rsid w:val="00202F4E"/>
    <w:rsid w:val="005C72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1C5EEA"/>
  <w15:chartTrackingRefBased/>
  <w15:docId w15:val="{274EF794-181E-4DB1-84E7-FA5CCD9CD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919076">
      <w:bodyDiv w:val="1"/>
      <w:marLeft w:val="0"/>
      <w:marRight w:val="0"/>
      <w:marTop w:val="0"/>
      <w:marBottom w:val="0"/>
      <w:divBdr>
        <w:top w:val="none" w:sz="0" w:space="0" w:color="auto"/>
        <w:left w:val="none" w:sz="0" w:space="0" w:color="auto"/>
        <w:bottom w:val="none" w:sz="0" w:space="0" w:color="auto"/>
        <w:right w:val="none" w:sz="0" w:space="0" w:color="auto"/>
      </w:divBdr>
    </w:div>
    <w:div w:id="541748758">
      <w:bodyDiv w:val="1"/>
      <w:marLeft w:val="0"/>
      <w:marRight w:val="0"/>
      <w:marTop w:val="0"/>
      <w:marBottom w:val="0"/>
      <w:divBdr>
        <w:top w:val="none" w:sz="0" w:space="0" w:color="auto"/>
        <w:left w:val="none" w:sz="0" w:space="0" w:color="auto"/>
        <w:bottom w:val="none" w:sz="0" w:space="0" w:color="auto"/>
        <w:right w:val="none" w:sz="0" w:space="0" w:color="auto"/>
      </w:divBdr>
    </w:div>
    <w:div w:id="618341919">
      <w:bodyDiv w:val="1"/>
      <w:marLeft w:val="0"/>
      <w:marRight w:val="0"/>
      <w:marTop w:val="0"/>
      <w:marBottom w:val="0"/>
      <w:divBdr>
        <w:top w:val="none" w:sz="0" w:space="0" w:color="auto"/>
        <w:left w:val="none" w:sz="0" w:space="0" w:color="auto"/>
        <w:bottom w:val="none" w:sz="0" w:space="0" w:color="auto"/>
        <w:right w:val="none" w:sz="0" w:space="0" w:color="auto"/>
      </w:divBdr>
    </w:div>
    <w:div w:id="675958515">
      <w:bodyDiv w:val="1"/>
      <w:marLeft w:val="0"/>
      <w:marRight w:val="0"/>
      <w:marTop w:val="0"/>
      <w:marBottom w:val="0"/>
      <w:divBdr>
        <w:top w:val="none" w:sz="0" w:space="0" w:color="auto"/>
        <w:left w:val="none" w:sz="0" w:space="0" w:color="auto"/>
        <w:bottom w:val="none" w:sz="0" w:space="0" w:color="auto"/>
        <w:right w:val="none" w:sz="0" w:space="0" w:color="auto"/>
      </w:divBdr>
    </w:div>
    <w:div w:id="1161045129">
      <w:bodyDiv w:val="1"/>
      <w:marLeft w:val="0"/>
      <w:marRight w:val="0"/>
      <w:marTop w:val="0"/>
      <w:marBottom w:val="0"/>
      <w:divBdr>
        <w:top w:val="none" w:sz="0" w:space="0" w:color="auto"/>
        <w:left w:val="none" w:sz="0" w:space="0" w:color="auto"/>
        <w:bottom w:val="none" w:sz="0" w:space="0" w:color="auto"/>
        <w:right w:val="none" w:sz="0" w:space="0" w:color="auto"/>
      </w:divBdr>
    </w:div>
    <w:div w:id="1425685327">
      <w:bodyDiv w:val="1"/>
      <w:marLeft w:val="0"/>
      <w:marRight w:val="0"/>
      <w:marTop w:val="0"/>
      <w:marBottom w:val="0"/>
      <w:divBdr>
        <w:top w:val="none" w:sz="0" w:space="0" w:color="auto"/>
        <w:left w:val="none" w:sz="0" w:space="0" w:color="auto"/>
        <w:bottom w:val="none" w:sz="0" w:space="0" w:color="auto"/>
        <w:right w:val="none" w:sz="0" w:space="0" w:color="auto"/>
      </w:divBdr>
    </w:div>
    <w:div w:id="1545677146">
      <w:bodyDiv w:val="1"/>
      <w:marLeft w:val="0"/>
      <w:marRight w:val="0"/>
      <w:marTop w:val="0"/>
      <w:marBottom w:val="0"/>
      <w:divBdr>
        <w:top w:val="none" w:sz="0" w:space="0" w:color="auto"/>
        <w:left w:val="none" w:sz="0" w:space="0" w:color="auto"/>
        <w:bottom w:val="none" w:sz="0" w:space="0" w:color="auto"/>
        <w:right w:val="none" w:sz="0" w:space="0" w:color="auto"/>
      </w:divBdr>
      <w:divsChild>
        <w:div w:id="1146779111">
          <w:marLeft w:val="0"/>
          <w:marRight w:val="0"/>
          <w:marTop w:val="0"/>
          <w:marBottom w:val="0"/>
          <w:divBdr>
            <w:top w:val="none" w:sz="0" w:space="0" w:color="auto"/>
            <w:left w:val="none" w:sz="0" w:space="0" w:color="auto"/>
            <w:bottom w:val="none" w:sz="0" w:space="0" w:color="auto"/>
            <w:right w:val="none" w:sz="0" w:space="0" w:color="auto"/>
          </w:divBdr>
          <w:divsChild>
            <w:div w:id="586964310">
              <w:marLeft w:val="0"/>
              <w:marRight w:val="0"/>
              <w:marTop w:val="0"/>
              <w:marBottom w:val="0"/>
              <w:divBdr>
                <w:top w:val="none" w:sz="0" w:space="0" w:color="auto"/>
                <w:left w:val="none" w:sz="0" w:space="0" w:color="auto"/>
                <w:bottom w:val="none" w:sz="0" w:space="0" w:color="auto"/>
                <w:right w:val="none" w:sz="0" w:space="0" w:color="auto"/>
              </w:divBdr>
              <w:divsChild>
                <w:div w:id="1050149385">
                  <w:marLeft w:val="0"/>
                  <w:marRight w:val="0"/>
                  <w:marTop w:val="0"/>
                  <w:marBottom w:val="0"/>
                  <w:divBdr>
                    <w:top w:val="none" w:sz="0" w:space="0" w:color="auto"/>
                    <w:left w:val="none" w:sz="0" w:space="0" w:color="auto"/>
                    <w:bottom w:val="none" w:sz="0" w:space="0" w:color="auto"/>
                    <w:right w:val="none" w:sz="0" w:space="0" w:color="auto"/>
                  </w:divBdr>
                  <w:divsChild>
                    <w:div w:id="2029484913">
                      <w:marLeft w:val="0"/>
                      <w:marRight w:val="0"/>
                      <w:marTop w:val="0"/>
                      <w:marBottom w:val="0"/>
                      <w:divBdr>
                        <w:top w:val="none" w:sz="0" w:space="0" w:color="auto"/>
                        <w:left w:val="none" w:sz="0" w:space="0" w:color="auto"/>
                        <w:bottom w:val="none" w:sz="0" w:space="0" w:color="auto"/>
                        <w:right w:val="none" w:sz="0" w:space="0" w:color="auto"/>
                      </w:divBdr>
                      <w:divsChild>
                        <w:div w:id="164797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5369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1994R1093&amp;locale=lt" TargetMode="External"/><Relationship Id="rId18" Type="http://schemas.openxmlformats.org/officeDocument/2006/relationships/hyperlink" Target="http://eur-lex.europa.eu/legal-content/LIT/TXT/?uri=CELEX:31996R0847&amp;locale=lt" TargetMode="External"/><Relationship Id="rId26" Type="http://schemas.openxmlformats.org/officeDocument/2006/relationships/hyperlink" Target="http://eur-lex.europa.eu/legal-content/LIT/TXT/?uri=CELEX:32007R0676&amp;locale=lt" TargetMode="External"/><Relationship Id="rId39" Type="http://schemas.openxmlformats.org/officeDocument/2006/relationships/hyperlink" Target="http://eur-lex.europa.eu/legal-content/LIT/TXT/?uri=CELEX:32011R0404&amp;locale=lt" TargetMode="External"/><Relationship Id="rId21" Type="http://schemas.openxmlformats.org/officeDocument/2006/relationships/hyperlink" Target="http://eur-lex.europa.eu/legal-content/LIT/TXT/?uri=CELEX:32005R0768&amp;locale=lt" TargetMode="External"/><Relationship Id="rId34" Type="http://schemas.openxmlformats.org/officeDocument/2006/relationships/hyperlink" Target="http://eur-lex.europa.eu/legal-content/LIT/TXT/?uri=CELEX:32019R1241&amp;locale=lt" TargetMode="External"/><Relationship Id="rId42" Type="http://schemas.openxmlformats.org/officeDocument/2006/relationships/hyperlink" Target="http://eur-lex.europa.eu/legal-content/LIT/TXT/?uri=CELEX:32016R1627&amp;locale=lt" TargetMode="External"/><Relationship Id="rId47" Type="http://schemas.openxmlformats.org/officeDocument/2006/relationships/hyperlink" Target="http://eur-lex.europa.eu/legal-content/LIT/TXT/?uri=CELEX:32019R0833&amp;locale=lt" TargetMode="External"/><Relationship Id="rId50" Type="http://schemas.openxmlformats.org/officeDocument/2006/relationships/hyperlink" Target="http://eur-lex.europa.eu/legal-content/LIT/TXT/?uri=CELEX:32024R2594&amp;locale=lt" TargetMode="External"/><Relationship Id="rId55"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eur-lex.europa.eu/legal-content/LIT/TXT/?uri=CELEX:32004R0601&amp;locale=lt" TargetMode="External"/><Relationship Id="rId17" Type="http://schemas.openxmlformats.org/officeDocument/2006/relationships/hyperlink" Target="http://eur-lex.europa.eu/legal-content/LIT/TXT/?uri=CELEX:32009R1224&amp;locale=lt" TargetMode="External"/><Relationship Id="rId25" Type="http://schemas.openxmlformats.org/officeDocument/2006/relationships/hyperlink" Target="http://eur-lex.europa.eu/legal-content/LIT/TXT/?uri=CELEX:32007R0509&amp;locale=lt" TargetMode="External"/><Relationship Id="rId33" Type="http://schemas.openxmlformats.org/officeDocument/2006/relationships/hyperlink" Target="http://eur-lex.europa.eu/legal-content/LIT/TXT/?uri=CELEX:32024R2594&amp;locale=lt" TargetMode="External"/><Relationship Id="rId38" Type="http://schemas.openxmlformats.org/officeDocument/2006/relationships/hyperlink" Target="http://eur-lex.europa.eu/legal-content/LIT/TXT/?uri=CELEX:31987R1638&amp;locale=lt" TargetMode="External"/><Relationship Id="rId46" Type="http://schemas.openxmlformats.org/officeDocument/2006/relationships/hyperlink" Target="http://eur-lex.europa.eu/legal-content/LIT/TXT/?uri=CELEX:32024R2594&amp;locale=lt"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ur-lex.europa.eu/legal-content/LIT/TXT/?uri=CELEX:32008R1005&amp;locale=lt" TargetMode="External"/><Relationship Id="rId20" Type="http://schemas.openxmlformats.org/officeDocument/2006/relationships/hyperlink" Target="http://eur-lex.europa.eu/legal-content/LIT/TXT/?uri=CELEX:32004R0811&amp;locale=lt" TargetMode="External"/><Relationship Id="rId29" Type="http://schemas.openxmlformats.org/officeDocument/2006/relationships/hyperlink" Target="http://eur-lex.europa.eu/legal-content/LIT/TXT/?uri=CELEX:32008R1342&amp;locale=lt" TargetMode="External"/><Relationship Id="rId41" Type="http://schemas.openxmlformats.org/officeDocument/2006/relationships/hyperlink" Target="http://eur-lex.europa.eu/legal-content/LIT/TXT/?uri=CELEX:32833R2019&amp;locale=lt"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01R1936&amp;locale=lt" TargetMode="External"/><Relationship Id="rId24" Type="http://schemas.openxmlformats.org/officeDocument/2006/relationships/hyperlink" Target="http://eur-lex.europa.eu/legal-content/LIT/TXT/?uri=CELEX:32006R0388&amp;locale=lt" TargetMode="External"/><Relationship Id="rId32" Type="http://schemas.openxmlformats.org/officeDocument/2006/relationships/hyperlink" Target="http://eur-lex.europa.eu/legal-content/LIT/TXT/?uri=CELEX:32006R1966&amp;locale=lt" TargetMode="External"/><Relationship Id="rId37" Type="http://schemas.openxmlformats.org/officeDocument/2006/relationships/hyperlink" Target="http://eur-lex.europa.eu/legal-content/LIT/TXT/?uri=CELEX:31985R1899&amp;locale=lt" TargetMode="External"/><Relationship Id="rId40" Type="http://schemas.openxmlformats.org/officeDocument/2006/relationships/hyperlink" Target="http://eur-lex.europa.eu/legal-content/LIT/TXT/?uri=CELEX:32009R1224&amp;locale=lt" TargetMode="External"/><Relationship Id="rId45" Type="http://schemas.openxmlformats.org/officeDocument/2006/relationships/hyperlink" Target="http://eur-lex.europa.eu/legal-content/LIT/TXT/?uri=CELEX:32019R0833&amp;locale=lt" TargetMode="External"/><Relationship Id="rId53" Type="http://schemas.openxmlformats.org/officeDocument/2006/relationships/header" Target="header2.xm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ur-lex.europa.eu/legal-content/LIT/TXT/?uri=CELEX:32009R1010&amp;locale=lt" TargetMode="External"/><Relationship Id="rId23" Type="http://schemas.openxmlformats.org/officeDocument/2006/relationships/hyperlink" Target="http://eur-lex.europa.eu/legal-content/LIT/TXT/?uri=CELEX:32005R2166&amp;locale=lt" TargetMode="External"/><Relationship Id="rId28" Type="http://schemas.openxmlformats.org/officeDocument/2006/relationships/hyperlink" Target="http://eur-lex.europa.eu/legal-content/LIT/TXT/?uri=CELEX:32008R1300&amp;locale=lt" TargetMode="External"/><Relationship Id="rId36" Type="http://schemas.openxmlformats.org/officeDocument/2006/relationships/hyperlink" Target="http://eur-lex.europa.eu/legal-content/LIT/TXT/?uri=CELEX:32010R1236&amp;locale=lt" TargetMode="External"/><Relationship Id="rId49" Type="http://schemas.openxmlformats.org/officeDocument/2006/relationships/hyperlink" Target="http://eur-lex.europa.eu/legal-content/LIT/TXT/?uri=CELEX:32024R2594&amp;locale=lt" TargetMode="External"/><Relationship Id="rId57" Type="http://schemas.openxmlformats.org/officeDocument/2006/relationships/footer" Target="footer3.xml"/><Relationship Id="rId10" Type="http://schemas.openxmlformats.org/officeDocument/2006/relationships/hyperlink" Target="http://eur-lex.europa.eu/legal-content/LIT/TXT/?uri=CELEX:31993R2847&amp;locale=lt" TargetMode="External"/><Relationship Id="rId19" Type="http://schemas.openxmlformats.org/officeDocument/2006/relationships/hyperlink" Target="http://eur-lex.europa.eu/legal-content/LIT/TXT/?uri=CELEX:32002R2371&amp;locale=lt" TargetMode="External"/><Relationship Id="rId31" Type="http://schemas.openxmlformats.org/officeDocument/2006/relationships/hyperlink" Target="http://eur-lex.europa.eu/legal-content/LIT/TXT/?uri=CELEX:31994R1627&amp;locale=lt" TargetMode="External"/><Relationship Id="rId44" Type="http://schemas.openxmlformats.org/officeDocument/2006/relationships/hyperlink" Target="http://eur-lex.europa.eu/legal-content/LIT/TXT/?uri=CELEX:32007R1386&amp;locale=lt"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r-lex.europa.eu/legal-content/LIT/TXT/?uri=CELEX:32008R1005&amp;locale=lt" TargetMode="External"/><Relationship Id="rId14" Type="http://schemas.openxmlformats.org/officeDocument/2006/relationships/hyperlink" Target="http://eur-lex.europa.eu/legal-content/LIT/TXT/?uri=CELEX:31999R1447&amp;locale=lt" TargetMode="External"/><Relationship Id="rId22" Type="http://schemas.openxmlformats.org/officeDocument/2006/relationships/hyperlink" Target="http://eur-lex.europa.eu/legal-content/LIT/TXT/?uri=CELEX:32005R2115&amp;locale=lt" TargetMode="External"/><Relationship Id="rId27" Type="http://schemas.openxmlformats.org/officeDocument/2006/relationships/hyperlink" Target="http://eur-lex.europa.eu/legal-content/LIT/TXT/?uri=CELEX:32007R1098&amp;locale=lt" TargetMode="External"/><Relationship Id="rId30" Type="http://schemas.openxmlformats.org/officeDocument/2006/relationships/hyperlink" Target="http://eur-lex.europa.eu/legal-content/LIT/TXT/?uri=CELEX:31993R2847&amp;locale=lt" TargetMode="External"/><Relationship Id="rId35" Type="http://schemas.openxmlformats.org/officeDocument/2006/relationships/hyperlink" Target="http://eur-lex.europa.eu/legal-content/LIT/TXT/?uri=CELEX:32009R1224&amp;locale=lt" TargetMode="External"/><Relationship Id="rId43" Type="http://schemas.openxmlformats.org/officeDocument/2006/relationships/hyperlink" Target="http://eur-lex.europa.eu/legal-content/LIT/TXT/?uri=CELEX:32005R2115&amp;locale=lt" TargetMode="External"/><Relationship Id="rId48" Type="http://schemas.openxmlformats.org/officeDocument/2006/relationships/hyperlink" Target="http://eur-lex.europa.eu/legal-content/LIT/TXT/?uri=CELEX:32024R2594&amp;locale=lt" TargetMode="External"/><Relationship Id="rId56" Type="http://schemas.openxmlformats.org/officeDocument/2006/relationships/header" Target="header3.xml"/><Relationship Id="rId8" Type="http://schemas.openxmlformats.org/officeDocument/2006/relationships/image" Target="media/image1.jpeg"/><Relationship Id="rId51" Type="http://schemas.openxmlformats.org/officeDocument/2006/relationships/hyperlink" Target="http://eur-lex.europa.eu/legal-content/LIT/TXT/?uri=CELEX:32024R2594&amp;locale=lt"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6ab8ce5728e4b7c81f614afbacb971e" PartId="9ece36febf9c4974991636ff332b991e">
    <Part Type="punktas" Nr="1" Abbr="1 p." DocPartId="7fca696805754656abf1bb26a7518018" PartId="391296caa30a457385322afed3ef1b40">
      <Part Type="citata" DocPartId="eb58eacc1385475e8672fd02e440cff1" PartId="af676811f45d42608f2c00d71e366809">
        <Part Type="pagrindine" DocPartId="3e17ba70701c4c9093244f6ae34eae62" PartId="6e784997b7f248dfb411735bc31844ba">
          <Part Type="preambule" DocPartId="e24ec7cfd5c9493699bc00de2e569137" PartId="c2c1b649bd1046d8b4192b39bf4a2f84"/>
          <Part Type="pastraipa" DocPartId="b90d77af9fde4f49a28a69b594abcbf1" PartId="5b1c6a0d69e9466192ed82be86dd42ab"/>
        </Part>
      </Part>
    </Part>
    <Part Type="punktas" Nr="2" Abbr="2 p." DocPartId="8987ae0b0aa743be895e7341a551bd2a" PartId="ac16878591ea4078b6940235f7c1ba27">
      <Part Type="papunktis" Nr="2.1" Abbr="2.1 pp." DocPartId="ea6ac00f0b894a509dd06aa409ec6eea" PartId="88554dd0da7a426faf278c5829899f36">
        <Part Type="citata" DocPartId="1f6ee2a09d80448e843cda86e31bda52" PartId="3847ac021ebc45c6979ee83e6e05d365">
          <Part Type="punktas" Nr="2" Abbr="2 p." DocPartId="d7684834b9d345609017d00c24f02618" PartId="c8c2b56099de46aea98215810589bc67"/>
        </Part>
      </Part>
      <Part Type="papunktis" Nr="2.2" Abbr="2.2 pp." DocPartId="22c2ba1a24d44f418a1efacc28879e93" PartId="8143468263b046c5b1f3c2c0cae95cba">
        <Part Type="citata" DocPartId="746e4b919bc44f5dba9d48791d71fbf5" PartId="57d1eeea16c04e899421505ee34ba606">
          <Part Type="punktas" Nr="25-1" Abbr="25-1 p." DocPartId="64963abe7ad640a486d00fd43fbe7237" PartId="316e7ad115f64259b2ffc420377b85e3"/>
        </Part>
      </Part>
      <Part Type="papunktis" Nr="2.3" Abbr="2.3 pp." DocPartId="42102a02842a45ada665979a1c5e4a86" PartId="294f30eb2d324ce0b60eab76c9dbaa06">
        <Part Type="citata" DocPartId="37c5b7c8a05d4167869ebf7473688ad1" PartId="edecc3294f7e415a96b139afa6f923b1">
          <Part Type="punktas" Nr="25-2" Abbr="25-2 p." DocPartId="40722339d9fa4b0c970bc88f36eaa144" PartId="1ffb6255107d4a4fb0119ec7d65adde5"/>
        </Part>
      </Part>
      <Part Type="papunktis" Nr="2.4" Abbr="2.4 pp." DocPartId="186b84f2eccf490e95efe120fa11d8ad" PartId="aedde40339df42259a082e8da0c917cc">
        <Part Type="citata" DocPartId="e2ff90bf61e6402d830c97652822ffa4" PartId="5e048372011d4ad6aff544896af625ae">
          <Part Type="punktas" Nr="26" Abbr="26 p." DocPartId="f180e8cbd1514b8ea4b2eabf4ff3f06e" PartId="c363faa53f0b412186d8c12ca9739ebc"/>
        </Part>
      </Part>
      <Part Type="papunktis" Nr="2.5" Abbr="2.5 pp." DocPartId="fbd6b791d97843c8a8afc358eaac39cc" PartId="ec8153e1095046f695cce3b7d0c27a6d">
        <Part Type="citata" DocPartId="65641a94f5304ae18515331b94c8569b" PartId="374e19edca2a44d2a7fba12ad35b6768">
          <Part Type="punktas" Nr="31" Abbr="31 p." DocPartId="b70db8ceca9a4619826e65d2de2f563d" PartId="8af78cdebf4d4c1aa3151ab74ac98dca"/>
        </Part>
      </Part>
      <Part Type="papunktis" Nr="2.6" Abbr="2.6 pp." DocPartId="d240dae15c9a41c6aba0edd3d88e66ec" PartId="31622070e7f744f583f92084b905f436">
        <Part Type="citata" DocPartId="e199f9f60fd34463b48cb174845ab303" PartId="a00b8fb00d5b40338c8f8ce4bbbbcca9">
          <Part Type="punktas" Nr="31-1" Abbr="31-1 p." DocPartId="4d737728a41a4050801330fa93ad7bf5" PartId="37ec1aa6a5244fb299638a5f318f84bd"/>
        </Part>
      </Part>
      <Part Type="papunktis" Nr="2.7" Abbr="2.7 pp." DocPartId="0021ff9e4bc749b59aecfc6bf99cc379" PartId="a01915197a2147d9851cf283651ac994">
        <Part Type="citata" DocPartId="648ccc7b4dd546149fd4983e362f9c62" PartId="fa6d969ea39e4e94bf0c2a37d91a1c93">
          <Part Type="punktas" Nr="31-2" Abbr="31-2 p." DocPartId="1b9d3490cad34e0ea28d2f8c50321625" PartId="2dc8c42eb9e24045a92f31300a971c09"/>
        </Part>
      </Part>
      <Part Type="papunktis" Nr="2.8" Abbr="2.8 pp." DocPartId="b1ab57a80c6a414e9f19d7bb83dfd657" PartId="f2b5bb706ce244f2b820c7b0b3b279d7">
        <Part Type="citata" DocPartId="997b5b2a7f444e21b05e86fa397b92b3" PartId="3bb74ffd7e2a460ba0396f87b47475ba">
          <Part Type="punktas" Nr="33" Abbr="33 p." DocPartId="faa8220757544bba84f391c046a6388c" PartId="91f4a3524fd449fcaf13f2200c9f14d7"/>
        </Part>
      </Part>
      <Part Type="papunktis" Nr="2.9" Abbr="2.9 pp." DocPartId="4fda5084d226486da179a2a6e4a23341" PartId="e7f99b93693d441ca6f0b9376bbf0bc8">
        <Part Type="citata" DocPartId="20ffafe624a447878abc707c592808f7" PartId="5538f0cff95a4f79902fb252bff4a27b">
          <Part Type="punktas" Nr="45-2" Abbr="45-2 p." DocPartId="5e38354e9aab47abae34e89a4020a007" PartId="b2da04e81dd54cdc8f8cf37fff529671"/>
        </Part>
      </Part>
      <Part Type="papunktis" Nr="2.10" Abbr="2.10 pp." DocPartId="7f71b7666a6f4724bb1cfabbc77aa938" PartId="8ff7c71e04d44c88ba66bfb57a493d10">
        <Part Type="citata" DocPartId="e400df0d637e48078da18dcd9146f0c2" PartId="3a3d58acb617425b8d54ef24c95fb4dc">
          <Part Type="punktas" Nr="45-4" Abbr="45-4 p." DocPartId="b33759eacc884f2193d9bcefec8b447c" PartId="ce7daa7132144a4a897cb8295ede68ec"/>
        </Part>
      </Part>
      <Part Type="papunktis" Nr="2.11" Abbr="2.11 pp." DocPartId="6d84ba6fe6bf45069f4ed1ba6dc92d9c" PartId="f75ceb02160346b3a9c5f5659d16b3d6">
        <Part Type="citata" DocPartId="4e2b3af807e9447bb16f3e3218d1764e" PartId="91f8095238dd40cfb3176b64b7bd60af">
          <Part Type="punktas" Nr="46" Abbr="46 p." DocPartId="a4da96b497a047c689c1587806d9d47e" PartId="5c9c754f39dd4f85a059dd127df4bdd9"/>
        </Part>
      </Part>
      <Part Type="papunktis" Nr="2.12" Abbr="2.12 pp." DocPartId="9c643757ef7541d0b55b8583029cbc88" PartId="4804743cba9247d583c3e9493aafa183">
        <Part Type="citata" DocPartId="965b92f29cab417586608c5dd0651c0b" PartId="ace36465cb1640818931167d58d32bf9">
          <Part Type="punktas" Nr="51" Abbr="51 p." DocPartId="1fc76e8ed27c4c7d94bb629e4675e979" PartId="e011047c3f2f43558b98f01e9cb4ebb4"/>
        </Part>
      </Part>
    </Part>
    <Part Type="punktas" Nr="3" Abbr="3 p." DocPartId="b0cd5b6d199541f98fd327bc2285f161" PartId="12a3408fb15c45049ce8ae17437799b9"/>
    <Part Type="signatura" DocPartId="305a1476557843aa80aa79339f3f1016" PartId="f039eb252ade41d0b71243492bb9631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545C9B-B5BD-410A-BDA6-827E19294EA7}">
  <ds:schemaRefs>
    <ds:schemaRef ds:uri="http://lrs.lt/TAIS/DocParts"/>
  </ds:schemaRefs>
</ds:datastoreItem>
</file>

<file path=customXml/itemProps2.xml><?xml version="1.0" encoding="utf-8"?>
<ds:datastoreItem xmlns:ds="http://schemas.openxmlformats.org/officeDocument/2006/customXml" ds:itemID="{4F10690F-C9B1-4BF7-8F5D-708E8F160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902</Words>
  <Characters>10533</Characters>
  <Application>Microsoft Office Word</Application>
  <DocSecurity>0</DocSecurity>
  <Lines>87</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Evelina Kumparskienė</dc:creator>
  <cp:lastModifiedBy>JŪRĖNIENĖ Jolanta</cp:lastModifiedBy>
  <cp:revision>3</cp:revision>
  <dcterms:created xsi:type="dcterms:W3CDTF">2025-10-22T06:54:00Z</dcterms:created>
  <dcterms:modified xsi:type="dcterms:W3CDTF">2025-10-22T07:00:00Z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9dc3cac8-d7d0-40f9-8781-eb695e816f60</vt:lpwstr>
  </property>
</Properties>
</file>