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CEEE" w14:textId="77777777" w:rsidR="00840960" w:rsidRDefault="0084096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DF9CEEF" w14:textId="77777777" w:rsidR="00840960" w:rsidRDefault="0078508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DF9CF21" wp14:editId="4DF9CF22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CEF0" w14:textId="77777777" w:rsidR="00840960" w:rsidRDefault="00840960">
      <w:pPr>
        <w:jc w:val="center"/>
        <w:rPr>
          <w:caps/>
          <w:sz w:val="12"/>
          <w:szCs w:val="12"/>
        </w:rPr>
      </w:pPr>
    </w:p>
    <w:p w14:paraId="4DF9CEF1" w14:textId="77777777" w:rsidR="00840960" w:rsidRDefault="0078508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4DF9CEF2" w14:textId="77777777" w:rsidR="00840960" w:rsidRDefault="00785084">
      <w:pPr>
        <w:jc w:val="center"/>
        <w:rPr>
          <w:b/>
          <w:caps/>
        </w:rPr>
      </w:pPr>
      <w:r>
        <w:rPr>
          <w:b/>
          <w:caps/>
        </w:rPr>
        <w:t>CIVILINIO PROCESO KODEKSO 3, 163, 165 IR 366 STRAIPSNIŲ PAKEITIMO</w:t>
      </w:r>
    </w:p>
    <w:p w14:paraId="4DF9CEF3" w14:textId="77777777" w:rsidR="00840960" w:rsidRDefault="00785084">
      <w:pPr>
        <w:jc w:val="center"/>
        <w:rPr>
          <w:caps/>
        </w:rPr>
      </w:pPr>
      <w:r>
        <w:rPr>
          <w:b/>
          <w:caps/>
        </w:rPr>
        <w:t>ĮSTATYMAS</w:t>
      </w:r>
    </w:p>
    <w:p w14:paraId="4DF9CEF4" w14:textId="77777777" w:rsidR="00840960" w:rsidRDefault="00840960">
      <w:pPr>
        <w:jc w:val="center"/>
        <w:rPr>
          <w:b/>
          <w:caps/>
        </w:rPr>
      </w:pPr>
    </w:p>
    <w:p w14:paraId="4DF9CEF5" w14:textId="77777777" w:rsidR="00840960" w:rsidRDefault="00785084">
      <w:pPr>
        <w:jc w:val="center"/>
        <w:rPr>
          <w:sz w:val="22"/>
        </w:rPr>
      </w:pPr>
      <w:r>
        <w:rPr>
          <w:sz w:val="22"/>
        </w:rPr>
        <w:t>2015 m. birželio 11 d. Nr. XII-1772</w:t>
      </w:r>
    </w:p>
    <w:p w14:paraId="4DF9CEF6" w14:textId="77777777" w:rsidR="00840960" w:rsidRDefault="00785084">
      <w:pPr>
        <w:jc w:val="center"/>
        <w:rPr>
          <w:sz w:val="22"/>
        </w:rPr>
      </w:pPr>
      <w:r>
        <w:rPr>
          <w:sz w:val="22"/>
        </w:rPr>
        <w:t>Vilnius</w:t>
      </w:r>
    </w:p>
    <w:p w14:paraId="4DF9CEF7" w14:textId="77777777" w:rsidR="00840960" w:rsidRDefault="00840960">
      <w:pPr>
        <w:jc w:val="center"/>
        <w:rPr>
          <w:sz w:val="22"/>
        </w:rPr>
      </w:pPr>
    </w:p>
    <w:p w14:paraId="4DF9CEFA" w14:textId="77777777" w:rsidR="00840960" w:rsidRDefault="0084096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DF9CEFB" w14:textId="77777777" w:rsidR="00840960" w:rsidRDefault="00785084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3 straipsnio pakeitimas</w:t>
      </w:r>
    </w:p>
    <w:p w14:paraId="4DF9CEFC" w14:textId="77777777" w:rsidR="00840960" w:rsidRDefault="007850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 Papildyti 3 straipsnį nauja 6 dalimi:</w:t>
      </w:r>
    </w:p>
    <w:p w14:paraId="4DF9CEFD" w14:textId="77777777" w:rsidR="00840960" w:rsidRDefault="0078508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Teismas, nagrinėdamas bylas, taiko Žmogaus teisių ir pagrindinių laisvių apsaugos konvencijos ar jos protokolų nuostatas ir vadovaujasi Europos </w:t>
      </w:r>
      <w:r>
        <w:rPr>
          <w:szCs w:val="24"/>
          <w:lang w:eastAsia="lt-LT"/>
        </w:rPr>
        <w:t>Žmogaus Teisių Teismo sprendimais. Lietuvos Aukščiausiasis Teismas, kai tai susiję su jo nagrinėjama byla, gali kreiptis</w:t>
      </w:r>
      <w:r>
        <w:rPr>
          <w:bCs/>
          <w:szCs w:val="24"/>
          <w:lang w:eastAsia="lt-LT"/>
        </w:rPr>
        <w:t xml:space="preserve"> į Europos Žmogaus Teisių Teismą su prašymu pateikti konsultacinę išvadą dėl principinių klausimų, susijusių su Žmogaus teisių ir pagrin</w:t>
      </w:r>
      <w:r>
        <w:rPr>
          <w:bCs/>
          <w:szCs w:val="24"/>
          <w:lang w:eastAsia="lt-LT"/>
        </w:rPr>
        <w:t>dinių laisvių apsaugos konvencijoje ar jos protokoluose apibrėžtų teisių ir laisvių aiškinimu ar taikymu.“</w:t>
      </w:r>
    </w:p>
    <w:p w14:paraId="4DF9CEFE" w14:textId="77777777" w:rsidR="00840960" w:rsidRDefault="007850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 Buvusias 3 straipsnio 6, 7, 8 dalis laikyti atitinkamai 7, 8, 9 dalimis.</w:t>
      </w:r>
    </w:p>
    <w:p w14:paraId="4DF9CEFF" w14:textId="77777777" w:rsidR="00840960" w:rsidRDefault="00785084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 w14:paraId="4DF9CF00" w14:textId="77777777" w:rsidR="00840960" w:rsidRDefault="00785084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163 straipsnio pakeitimas</w:t>
      </w:r>
    </w:p>
    <w:p w14:paraId="4DF9CF01" w14:textId="77777777" w:rsidR="00840960" w:rsidRDefault="007850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Papildyti 163 st</w:t>
      </w:r>
      <w:r>
        <w:rPr>
          <w:bCs/>
          <w:szCs w:val="24"/>
          <w:lang w:eastAsia="lt-LT"/>
        </w:rPr>
        <w:t>raipsnį 2 dalimi ir visą straipsnį išdėstyti taip:</w:t>
      </w:r>
    </w:p>
    <w:p w14:paraId="4DF9CF02" w14:textId="77777777" w:rsidR="00840960" w:rsidRDefault="0078508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/>
          <w:bCs/>
          <w:color w:val="000000"/>
          <w:szCs w:val="24"/>
          <w:lang w:eastAsia="lt-LT"/>
        </w:rPr>
        <w:t>163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Privalomas bylos sustabdymas</w:t>
      </w:r>
    </w:p>
    <w:p w14:paraId="4DF9CF03" w14:textId="77777777" w:rsidR="00840960" w:rsidRDefault="0078508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Teismas privalo sustabdyti bylą šiais atvejais:</w:t>
      </w:r>
    </w:p>
    <w:p w14:paraId="4DF9CF04" w14:textId="77777777" w:rsidR="00840960" w:rsidRDefault="0078508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kai miršta fizinis asmuo arba pasibaigia juridinis asmuo, kuris buvo bylos šalis, jeigu atsižvelg</w:t>
      </w:r>
      <w:r>
        <w:rPr>
          <w:szCs w:val="24"/>
          <w:lang w:eastAsia="lt-LT"/>
        </w:rPr>
        <w:t>iant į ginčo teisinius santykius yra leidžiamas teisių perėmimas;</w:t>
      </w:r>
    </w:p>
    <w:p w14:paraId="4DF9CF05" w14:textId="77777777" w:rsidR="00840960" w:rsidRDefault="0078508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) kai šalis netenka veiksnumo;</w:t>
      </w:r>
    </w:p>
    <w:p w14:paraId="4DF9CF06" w14:textId="77777777" w:rsidR="00840960" w:rsidRDefault="0078508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) kai negalima nagrinėti tos bylos tol, kol bus išspręsta kita byla, nagrinėjama civiline, baudžiamąja ar administracine tvarka; </w:t>
      </w:r>
    </w:p>
    <w:p w14:paraId="4DF9CF07" w14:textId="77777777" w:rsidR="00840960" w:rsidRDefault="0078508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) kai nagrinėj</w:t>
      </w:r>
      <w:r>
        <w:rPr>
          <w:szCs w:val="24"/>
          <w:lang w:eastAsia="lt-LT"/>
        </w:rPr>
        <w:t>ant bylą, kurioje atsakovui pareikšti turtiniai reikalavimai, paaiškėja, kad tų pačių turtinių reikalavimų patenkinimas yra susijęs su baudžiamosios bylos nagrinėjimu teisme;</w:t>
      </w:r>
    </w:p>
    <w:p w14:paraId="4DF9CF08" w14:textId="77777777" w:rsidR="00840960" w:rsidRDefault="0078508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) kai iki nutarties skirti nagrinėti bylą, kurioje atsakovui pareikšti </w:t>
      </w:r>
      <w:r>
        <w:rPr>
          <w:szCs w:val="24"/>
          <w:lang w:eastAsia="lt-LT"/>
        </w:rPr>
        <w:t>turtiniai reikalavimai, teismo posėdyje priėmimo paaiškėja, kad jam iškelta bankroto byla;</w:t>
      </w:r>
    </w:p>
    <w:p w14:paraId="4DF9CF09" w14:textId="77777777" w:rsidR="00840960" w:rsidRDefault="0078508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) kai nagrinėjant bylą, kurioje komerciniam bankui pareikšti turtiniai reikalavimai, paaiškėja, kad Lietuvos bankas yra paskyręs komerciniam bankui laikinąjį ad</w:t>
      </w:r>
      <w:r>
        <w:rPr>
          <w:szCs w:val="24"/>
          <w:lang w:eastAsia="lt-LT"/>
        </w:rPr>
        <w:t>ministratorių;</w:t>
      </w:r>
    </w:p>
    <w:p w14:paraId="4DF9CF0A" w14:textId="77777777" w:rsidR="00840960" w:rsidRDefault="0078508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) kai teismas kreipiasi arba kiti teismai jau kreipėsi į Konstitucinį Teismą šio Kodekso 3 straipsnio 3 dalyje nustatyta tvarka ir pagrindais;</w:t>
      </w:r>
    </w:p>
    <w:p w14:paraId="4DF9CF0B" w14:textId="77777777" w:rsidR="00840960" w:rsidRDefault="0078508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) kai teismas kreipiasi arba kiti teismai jau kreipėsi į administracinį teismą šio </w:t>
      </w:r>
      <w:r>
        <w:rPr>
          <w:szCs w:val="24"/>
          <w:lang w:eastAsia="lt-LT"/>
        </w:rPr>
        <w:t>Kodekso 3 straipsnio 4 dalyje nustatyta tvarka ir pagrindais;</w:t>
      </w:r>
    </w:p>
    <w:p w14:paraId="4DF9CF0C" w14:textId="77777777" w:rsidR="00840960" w:rsidRDefault="0078508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) kai teismas kreipiasi į kompetentingą Europos Sąjungos teisminę instituciją šio Kodekso 3 straipsnio 5 dalyje nustatyta tvarka ir pagrindais;</w:t>
      </w:r>
    </w:p>
    <w:p w14:paraId="4DF9CF0D" w14:textId="77777777" w:rsidR="00840960" w:rsidRDefault="0078508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) kitais įstatymų numatytais atvejais.</w:t>
      </w:r>
    </w:p>
    <w:p w14:paraId="4DF9CF0E" w14:textId="77777777" w:rsidR="00840960" w:rsidRDefault="007850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 Lietuvos Aukščiausiasis Teismas sustabdo bylą, kai kreipiasi į Europos Žmogaus Teisių Teismą šio Kodekso 3 straipsnio 6 dalyje nustatyta tvarka ir pagrindais.“</w:t>
      </w:r>
    </w:p>
    <w:p w14:paraId="4DF9CF0F" w14:textId="77777777" w:rsidR="00840960" w:rsidRDefault="00785084">
      <w:pPr>
        <w:spacing w:line="360" w:lineRule="auto"/>
        <w:ind w:firstLine="720"/>
        <w:jc w:val="both"/>
        <w:rPr>
          <w:bCs/>
          <w:szCs w:val="24"/>
          <w:lang w:eastAsia="lt-LT"/>
        </w:rPr>
      </w:pPr>
    </w:p>
    <w:p w14:paraId="4DF9CF10" w14:textId="77777777" w:rsidR="00840960" w:rsidRDefault="007850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 xml:space="preserve">165 straipsnio pakeitimas </w:t>
      </w:r>
    </w:p>
    <w:p w14:paraId="4DF9CF11" w14:textId="77777777" w:rsidR="00840960" w:rsidRDefault="007850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165 straipsnį ir jį iš</w:t>
      </w:r>
      <w:r>
        <w:rPr>
          <w:bCs/>
          <w:szCs w:val="24"/>
          <w:lang w:eastAsia="lt-LT"/>
        </w:rPr>
        <w:t>dėstyti taip:</w:t>
      </w:r>
    </w:p>
    <w:p w14:paraId="4DF9CF12" w14:textId="77777777" w:rsidR="00840960" w:rsidRDefault="00785084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/>
          <w:bCs/>
          <w:szCs w:val="24"/>
          <w:lang w:eastAsia="lt-LT"/>
        </w:rPr>
        <w:t>165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Teismo nutarčių dėl bylos sustabdymo apskundimas</w:t>
      </w:r>
    </w:p>
    <w:p w14:paraId="4DF9CF13" w14:textId="77777777" w:rsidR="00840960" w:rsidRDefault="007850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Dėl teismo nutarties sustabdyti bylą, išskyrus nutartį sustabdyti bylą dėl kreipimosi į kompetentingą Europos Sąjungos teisminę instituciją, Europos Žmogaus Teisių Teismą, </w:t>
      </w:r>
      <w:r>
        <w:rPr>
          <w:bCs/>
          <w:szCs w:val="24"/>
          <w:lang w:eastAsia="lt-LT"/>
        </w:rPr>
        <w:t>Konstitucinį Teismą ar administracinį teismą, gali būti duodamas atskirasis skundas.“</w:t>
      </w:r>
    </w:p>
    <w:p w14:paraId="4DF9CF14" w14:textId="77777777" w:rsidR="00840960" w:rsidRDefault="00785084">
      <w:pPr>
        <w:spacing w:line="360" w:lineRule="auto"/>
        <w:ind w:firstLine="720"/>
        <w:jc w:val="both"/>
        <w:rPr>
          <w:bCs/>
          <w:szCs w:val="24"/>
          <w:lang w:eastAsia="lt-LT"/>
        </w:rPr>
      </w:pPr>
    </w:p>
    <w:p w14:paraId="4DF9CF15" w14:textId="77777777" w:rsidR="00840960" w:rsidRDefault="00785084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4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366 straipsnio pakeitimas</w:t>
      </w:r>
    </w:p>
    <w:p w14:paraId="4DF9CF16" w14:textId="77777777" w:rsidR="00840960" w:rsidRDefault="007850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366 straipsnio 1 dalies 1 punktą ir jį išdėstyti taip:</w:t>
      </w:r>
    </w:p>
    <w:p w14:paraId="4DF9CF17" w14:textId="77777777" w:rsidR="00840960" w:rsidRDefault="00785084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>) kai Europos Žmogaus Teisių Teismas pripažįsta</w:t>
      </w:r>
      <w:r>
        <w:rPr>
          <w:szCs w:val="24"/>
        </w:rPr>
        <w:t>, kad Lietuvos Respublikos teismų sprendimai, nutartys ar nutarimai civilinėse bylose prieštarauja Žmogaus teisių ir pagrindinių laisvių apsaugos konvencijai ir (ar) jos papildomiems protokolams, kurių dalyvė yra Lietuvos Respublika;“.</w:t>
      </w:r>
    </w:p>
    <w:p w14:paraId="4DF9CF18" w14:textId="77777777" w:rsidR="00840960" w:rsidRDefault="00785084">
      <w:pPr>
        <w:spacing w:line="360" w:lineRule="auto"/>
        <w:ind w:firstLine="720"/>
        <w:jc w:val="both"/>
        <w:rPr>
          <w:bCs/>
          <w:szCs w:val="24"/>
          <w:lang w:eastAsia="lt-LT"/>
        </w:rPr>
      </w:pPr>
    </w:p>
    <w:p w14:paraId="4DF9CF19" w14:textId="77777777" w:rsidR="00840960" w:rsidRDefault="00785084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5</w:t>
      </w:r>
      <w:r>
        <w:rPr>
          <w:b/>
          <w:bCs/>
          <w:szCs w:val="24"/>
          <w:lang w:eastAsia="lt-LT"/>
        </w:rPr>
        <w:t xml:space="preserve"> straips</w:t>
      </w:r>
      <w:r>
        <w:rPr>
          <w:b/>
          <w:bCs/>
          <w:szCs w:val="24"/>
          <w:lang w:eastAsia="lt-LT"/>
        </w:rPr>
        <w:t xml:space="preserve">nis. </w:t>
      </w:r>
      <w:r>
        <w:rPr>
          <w:b/>
          <w:bCs/>
          <w:szCs w:val="24"/>
          <w:lang w:eastAsia="lt-LT"/>
        </w:rPr>
        <w:t>Įstatymo įsigaliojimas</w:t>
      </w:r>
    </w:p>
    <w:p w14:paraId="4DF9CF1A" w14:textId="77777777" w:rsidR="00840960" w:rsidRDefault="00785084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Šis įstatymas įsigalioja Žmogaus teisių ir pagrindinių laisvių apsaugos konvencijos protokolo Nr. 16 įsigaliojimo Lietuvos Respublikai dieną.</w:t>
      </w:r>
    </w:p>
    <w:p w14:paraId="4DF9CF1B" w14:textId="77777777" w:rsidR="00840960" w:rsidRDefault="00785084">
      <w:pPr>
        <w:spacing w:line="360" w:lineRule="auto"/>
        <w:ind w:firstLine="720"/>
        <w:jc w:val="both"/>
      </w:pPr>
    </w:p>
    <w:bookmarkStart w:id="0" w:name="_GoBack" w:displacedByCustomXml="prev"/>
    <w:p w14:paraId="4DF9CF1C" w14:textId="77777777" w:rsidR="00840960" w:rsidRDefault="0078508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4DF9CF1D" w14:textId="77777777" w:rsidR="00840960" w:rsidRDefault="00840960">
      <w:pPr>
        <w:spacing w:line="360" w:lineRule="auto"/>
        <w:rPr>
          <w:i/>
          <w:szCs w:val="24"/>
        </w:rPr>
      </w:pPr>
    </w:p>
    <w:p w14:paraId="4DF9CF1E" w14:textId="77777777" w:rsidR="00840960" w:rsidRDefault="00840960">
      <w:pPr>
        <w:spacing w:line="360" w:lineRule="auto"/>
        <w:rPr>
          <w:i/>
          <w:szCs w:val="24"/>
        </w:rPr>
      </w:pPr>
    </w:p>
    <w:p w14:paraId="4DF9CF1F" w14:textId="77777777" w:rsidR="00840960" w:rsidRDefault="00840960">
      <w:pPr>
        <w:spacing w:line="360" w:lineRule="auto"/>
      </w:pPr>
    </w:p>
    <w:p w14:paraId="4DF9CF20" w14:textId="77777777" w:rsidR="00840960" w:rsidRDefault="00785084">
      <w:pPr>
        <w:tabs>
          <w:tab w:val="right" w:pos="9356"/>
        </w:tabs>
      </w:pPr>
      <w:r>
        <w:t xml:space="preserve">Respublikos </w:t>
      </w:r>
      <w:r>
        <w:t>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840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9CF25" w14:textId="77777777" w:rsidR="00840960" w:rsidRDefault="0078508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DF9CF26" w14:textId="77777777" w:rsidR="00840960" w:rsidRDefault="0078508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9CF2B" w14:textId="77777777" w:rsidR="00840960" w:rsidRDefault="0078508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DF9CF2C" w14:textId="77777777" w:rsidR="00840960" w:rsidRDefault="0084096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9CF2D" w14:textId="77777777" w:rsidR="00840960" w:rsidRDefault="0084096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9CF2F" w14:textId="77777777" w:rsidR="00840960" w:rsidRDefault="0084096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9CF23" w14:textId="77777777" w:rsidR="00840960" w:rsidRDefault="0078508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4DF9CF24" w14:textId="77777777" w:rsidR="00840960" w:rsidRDefault="0078508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9CF27" w14:textId="77777777" w:rsidR="00840960" w:rsidRDefault="0078508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DF9CF28" w14:textId="77777777" w:rsidR="00840960" w:rsidRDefault="0084096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9CF29" w14:textId="77777777" w:rsidR="00840960" w:rsidRDefault="0078508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4DF9CF2A" w14:textId="77777777" w:rsidR="00840960" w:rsidRDefault="0084096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9CF2E" w14:textId="77777777" w:rsidR="00840960" w:rsidRDefault="0084096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2C"/>
    <w:rsid w:val="002B472C"/>
    <w:rsid w:val="00785084"/>
    <w:rsid w:val="008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9C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3720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2015-06-16T05:48:00Z</dcterms:created>
  <dc:creator>MANIUŠKIENĖ Violeta</dc:creator>
  <lastModifiedBy>GUMBYTĖ Danguolė</lastModifiedBy>
  <lastPrinted>2015-06-11T08:42:00Z</lastPrinted>
  <dcterms:modified xsi:type="dcterms:W3CDTF">2015-06-16T06:47:00Z</dcterms:modified>
  <revision>3</revision>
</coreProperties>
</file>