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lang w:eastAsia="lt-LT"/>
        </w:rPr>
        <w:alias w:val="pagrindine"/>
        <w:tag w:val="part_a859af0aa0ba4127bfeb8bda01513dff"/>
        <w:id w:val="821229906"/>
        <w:lock w:val="sdtLocked"/>
        <w:placeholder>
          <w:docPart w:val="DefaultPlaceholder_1082065158"/>
        </w:placeholder>
      </w:sdtPr>
      <w:sdtEndPr>
        <w:rPr>
          <w:b w:val="0"/>
          <w:bCs w:val="0"/>
        </w:rPr>
      </w:sdtEndPr>
      <w:sdtContent>
        <w:p w:rsidR="009E39BA" w:rsidRDefault="009E39BA" w:rsidP="009E39BA">
          <w:pPr>
            <w:suppressAutoHyphens/>
            <w:spacing w:before="120" w:after="60"/>
            <w:jc w:val="center"/>
            <w:rPr>
              <w:b/>
              <w:bCs/>
              <w:lang w:eastAsia="lt-LT"/>
            </w:rPr>
          </w:pPr>
          <w:r>
            <w:rPr>
              <w:rFonts w:eastAsia="Andale Sans UI" w:cs="Tahoma"/>
              <w:b/>
              <w:bCs/>
              <w:noProof/>
              <w:szCs w:val="24"/>
              <w:lang w:eastAsia="lt-LT"/>
            </w:rPr>
            <w:drawing>
              <wp:inline distT="0" distB="0" distL="0" distR="0" wp14:anchorId="3CE98044" wp14:editId="64EA81EC">
                <wp:extent cx="523878" cy="619121"/>
                <wp:effectExtent l="0" t="0" r="9522" b="0"/>
                <wp:docPr id="2" name="Pictur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3878" cy="61912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:rsidR="009E39BA" w:rsidRDefault="009E39BA" w:rsidP="009E39BA">
          <w:pPr>
            <w:suppressAutoHyphens/>
            <w:spacing w:before="120" w:after="60"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5F623A" w:rsidRPr="009E39BA" w:rsidRDefault="005F623A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</w:p>
        <w:p w:rsidR="005F623A" w:rsidRPr="009E39BA" w:rsidRDefault="009E39BA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9E39BA">
            <w:rPr>
              <w:b/>
              <w:bCs/>
              <w:szCs w:val="24"/>
              <w:lang w:eastAsia="lt-LT"/>
            </w:rPr>
            <w:t>ĮSAKYMAS</w:t>
          </w:r>
        </w:p>
        <w:p w:rsidR="005F623A" w:rsidRPr="009E39BA" w:rsidRDefault="009E39BA">
          <w:pPr>
            <w:suppressAutoHyphens/>
            <w:jc w:val="center"/>
            <w:rPr>
              <w:b/>
              <w:szCs w:val="24"/>
              <w:lang w:val="de-DE" w:eastAsia="lt-LT"/>
            </w:rPr>
          </w:pPr>
          <w:r w:rsidRPr="009E39BA">
            <w:rPr>
              <w:b/>
              <w:bCs/>
              <w:szCs w:val="24"/>
              <w:lang w:eastAsia="lt-LT"/>
            </w:rPr>
            <w:t xml:space="preserve">DĖL VEIKSMŲ PLANO UPIŲ VIENTISUMUI ATKURTI IR HIDROELEKTRINIŲ NEIGIAMAM POVEIKIUI MAŽINTI PATVIRTINIMO </w:t>
          </w:r>
        </w:p>
        <w:p w:rsidR="005F623A" w:rsidRDefault="005F623A">
          <w:pPr>
            <w:suppressAutoHyphens/>
            <w:jc w:val="center"/>
            <w:rPr>
              <w:b/>
              <w:lang w:eastAsia="lt-LT"/>
            </w:rPr>
          </w:pPr>
        </w:p>
        <w:p w:rsidR="005F623A" w:rsidRDefault="009E39B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lapkričio 12 </w:t>
          </w:r>
          <w:r>
            <w:rPr>
              <w:lang w:eastAsia="lt-LT"/>
            </w:rPr>
            <w:t xml:space="preserve">d. Nr. </w:t>
          </w:r>
          <w:r w:rsidRPr="009E39BA">
            <w:rPr>
              <w:lang w:eastAsia="lt-LT"/>
            </w:rPr>
            <w:t>D1-664</w:t>
          </w:r>
        </w:p>
        <w:p w:rsidR="005F623A" w:rsidRDefault="009E39B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F623A" w:rsidRDefault="005F623A">
          <w:pPr>
            <w:suppressAutoHyphens/>
            <w:jc w:val="center"/>
            <w:rPr>
              <w:lang w:eastAsia="lt-LT"/>
            </w:rPr>
          </w:pPr>
        </w:p>
        <w:p w:rsidR="009E39BA" w:rsidRDefault="009E39BA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e6c6ce1a012f48c3b2f437540c432612"/>
            <w:id w:val="456461172"/>
            <w:lock w:val="sdtLocked"/>
          </w:sdtPr>
          <w:sdtEndPr/>
          <w:sdtContent>
            <w:p w:rsidR="005F623A" w:rsidRDefault="009E39BA">
              <w:pPr>
                <w:suppressAutoHyphens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Įgyvendindamas </w:t>
              </w:r>
              <w:r>
                <w:rPr>
                  <w:lang w:eastAsia="lt-LT"/>
                </w:rPr>
                <w:t>Aštuonioliktosios Lietuvos Respublikos Vyriausybės programos nuostatų įgyvendinimo plano, patvirtinto Lietuvos Respublikos Vyriausybės 2021 m. kovo 10 d. nutarimu Nr. 155 „Dėl Aštuonioliktosios Lietuvos Respublikos Vyriausybės programos nuostatų įgyvendini</w:t>
              </w:r>
              <w:r>
                <w:rPr>
                  <w:lang w:eastAsia="lt-LT"/>
                </w:rPr>
                <w:t>mo plano patvirtinimo“, 6.4.19 veiksmą:</w:t>
              </w:r>
            </w:p>
          </w:sdtContent>
        </w:sdt>
        <w:sdt>
          <w:sdtPr>
            <w:alias w:val="1 p."/>
            <w:tag w:val="part_0e7c4f53a49147789d450872bb5e69c7"/>
            <w:id w:val="940194505"/>
            <w:lock w:val="sdtLocked"/>
          </w:sdtPr>
          <w:sdtEndPr/>
          <w:sdtContent>
            <w:p w:rsidR="005F623A" w:rsidRDefault="009E39BA">
              <w:pPr>
                <w:spacing w:line="276" w:lineRule="auto"/>
                <w:ind w:firstLine="851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e7c4f53a49147789d450872bb5e69c7"/>
                  <w:id w:val="-122992413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>T v i r t i n u Veiksmų planą upių vientisumui atkurti ir hidroelektrinių neigiamam poveikiui mažinti (pridedama).</w:t>
              </w:r>
            </w:p>
          </w:sdtContent>
        </w:sdt>
        <w:sdt>
          <w:sdtPr>
            <w:alias w:val="2 p."/>
            <w:tag w:val="part_bcd45e6e90b6405e8f8f43574a7659af"/>
            <w:id w:val="-900598815"/>
            <w:lock w:val="sdtLocked"/>
          </w:sdtPr>
          <w:sdtEndPr/>
          <w:sdtContent>
            <w:p w:rsidR="005F623A" w:rsidRDefault="009E39BA">
              <w:pPr>
                <w:spacing w:line="276" w:lineRule="auto"/>
                <w:ind w:firstLine="851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cd45e6e90b6405e8f8f43574a7659af"/>
                  <w:id w:val="204826532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>P a v e d u Aplinkos ministerijos Strateginių pokyčių grupei ir Taršos prevencijos poli</w:t>
              </w:r>
              <w:r>
                <w:rPr>
                  <w:lang w:eastAsia="lt-LT"/>
                </w:rPr>
                <w:t>tikos grupei pagal kompetenciją koordinuoti įsakymo vykdymą.</w:t>
              </w:r>
            </w:p>
            <w:p w:rsidR="005F623A" w:rsidRDefault="005F623A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  <w:p w:rsidR="005F623A" w:rsidRDefault="009E39BA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</w:sdtContent>
        </w:sdt>
        <w:sdt>
          <w:sdtPr>
            <w:rPr>
              <w:lang w:eastAsia="lt-LT"/>
            </w:rPr>
            <w:alias w:val="signatura"/>
            <w:tag w:val="part_5b665757aefa44ecb53ffd78f0b906ee"/>
            <w:id w:val="-1300377197"/>
            <w:lock w:val="sdtLocked"/>
            <w:placeholder>
              <w:docPart w:val="DefaultPlaceholder_1082065158"/>
            </w:placeholder>
          </w:sdtPr>
          <w:sdtContent>
            <w:p w:rsidR="009E39BA" w:rsidRDefault="009E39BA" w:rsidP="009E39BA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Simonas Gentvilas</w:t>
              </w:r>
            </w:p>
          </w:sdtContent>
        </w:sdt>
      </w:sdtContent>
    </w:sdt>
    <w:sdt>
      <w:sdtPr>
        <w:alias w:val="patvirtinta"/>
        <w:tag w:val="part_115a0dba3f2c483da79d1cb47946c762"/>
        <w:id w:val="1711142940"/>
        <w:lock w:val="sdtLocked"/>
      </w:sdtPr>
      <w:sdtEndPr/>
      <w:sdtContent>
        <w:p w:rsidR="009E39BA" w:rsidRDefault="009E39BA" w:rsidP="009E39BA">
          <w:pPr>
            <w:suppressLineNumbers/>
            <w:suppressAutoHyphens/>
            <w:sectPr w:rsidR="009E39BA" w:rsidSect="009E39BA">
              <w:headerReference w:type="default" r:id="rId13"/>
              <w:footnotePr>
                <w:pos w:val="beneathText"/>
              </w:footnotePr>
              <w:pgSz w:w="11905" w:h="16837"/>
              <w:pgMar w:top="1134" w:right="567" w:bottom="1134" w:left="1701" w:header="794" w:footer="919" w:gutter="0"/>
              <w:cols w:space="1296"/>
              <w:formProt w:val="0"/>
              <w:docGrid w:linePitch="360"/>
            </w:sectPr>
          </w:pPr>
        </w:p>
        <w:p w:rsidR="005F623A" w:rsidRDefault="009E39BA" w:rsidP="009E39BA">
          <w:pPr>
            <w:suppressLineNumbers/>
            <w:suppressAutoHyphens/>
            <w:ind w:firstLine="10065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lastRenderedPageBreak/>
            <w:t>PATVIRTINTA</w:t>
          </w:r>
        </w:p>
        <w:p w:rsidR="005F623A" w:rsidRDefault="009E39BA" w:rsidP="009E39BA">
          <w:pPr>
            <w:ind w:firstLine="10065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Lietuvos Respublikos aplinkos ministro </w:t>
          </w:r>
        </w:p>
        <w:p w:rsidR="005F623A" w:rsidRDefault="009E39BA" w:rsidP="009E39BA">
          <w:pPr>
            <w:ind w:firstLine="10065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2021 m. </w:t>
          </w:r>
          <w:r>
            <w:rPr>
              <w:lang w:eastAsia="lt-LT"/>
            </w:rPr>
            <w:t xml:space="preserve">lapkričio 12 d. </w:t>
          </w:r>
          <w:r>
            <w:rPr>
              <w:lang w:eastAsia="lt-LT"/>
            </w:rPr>
            <w:t xml:space="preserve">Nr. </w:t>
          </w:r>
          <w:r w:rsidRPr="009E39BA">
            <w:rPr>
              <w:lang w:eastAsia="lt-LT"/>
            </w:rPr>
            <w:t>D1-664</w:t>
          </w:r>
        </w:p>
        <w:p w:rsidR="005F623A" w:rsidRDefault="005F623A">
          <w:pPr>
            <w:jc w:val="center"/>
            <w:rPr>
              <w:lang w:eastAsia="lt-LT"/>
            </w:rPr>
          </w:pPr>
        </w:p>
        <w:p w:rsidR="005F623A" w:rsidRDefault="009E39BA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115a0dba3f2c483da79d1cb47946c762"/>
              <w:id w:val="-1794893741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VEIKSMŲ PLANAS UPIŲ VIENTISUMUI ATKURTI IR HIDROELEKTRINIŲ NEIGIAMAM POVEIKIUI MAŽINTI</w:t>
              </w:r>
            </w:sdtContent>
          </w:sdt>
        </w:p>
        <w:p w:rsidR="005F623A" w:rsidRDefault="005F623A"/>
        <w:tbl>
          <w:tblPr>
            <w:tblW w:w="14721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93"/>
            <w:gridCol w:w="7350"/>
            <w:gridCol w:w="2126"/>
            <w:gridCol w:w="163"/>
            <w:gridCol w:w="2247"/>
            <w:gridCol w:w="1842"/>
          </w:tblGrid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suppressAutoHyphens/>
                  <w:rPr>
                    <w:sz w:val="10"/>
                    <w:szCs w:val="10"/>
                    <w:lang w:eastAsia="lt-LT"/>
                  </w:rPr>
                </w:pPr>
              </w:p>
              <w:p w:rsidR="005F623A" w:rsidRDefault="009E39BA">
                <w:pPr>
                  <w:suppressAutoHyphens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Eil.Nr.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center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Priemonės pavadinimas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center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Atsakingi vykdytojai</w:t>
                </w:r>
              </w:p>
            </w:tc>
            <w:tc>
              <w:tcPr>
                <w:tcW w:w="2410" w:type="dxa"/>
                <w:gridSpan w:val="2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center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Dalyvaujančios institucijos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center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Įvykdymo laikotarpis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  <w:lang w:val="en-GB"/>
                  </w:rPr>
                </w:pPr>
                <w:r>
                  <w:rPr>
                    <w:b/>
                    <w:bCs/>
                    <w:szCs w:val="22"/>
                    <w:lang w:val="en-GB"/>
                  </w:rPr>
                  <w:t>1.</w:t>
                </w:r>
              </w:p>
            </w:tc>
            <w:tc>
              <w:tcPr>
                <w:tcW w:w="13728" w:type="dxa"/>
                <w:gridSpan w:val="5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 xml:space="preserve">Tikslas: Siekti kuo mažesnio hidroelektrinių </w:t>
                </w:r>
                <w:r>
                  <w:rPr>
                    <w:b/>
                    <w:bCs/>
                    <w:szCs w:val="22"/>
                  </w:rPr>
                  <w:t>neigiamo poveikio vandens telkiniams ir biologinei įvairovei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color w:val="4F81BD"/>
                    <w:szCs w:val="22"/>
                    <w:lang w:val="en-GB"/>
                  </w:rPr>
                </w:pPr>
                <w:r>
                  <w:rPr>
                    <w:b/>
                    <w:bCs/>
                    <w:szCs w:val="22"/>
                    <w:lang w:val="en-GB"/>
                  </w:rPr>
                  <w:t>1.1.</w:t>
                </w:r>
              </w:p>
            </w:tc>
            <w:tc>
              <w:tcPr>
                <w:tcW w:w="13728" w:type="dxa"/>
                <w:gridSpan w:val="5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color w:val="4F81BD"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Uždavinys: Atnaujinti teisės aktus pagal pasikeitusias aplinkos sąlygas ir mokslo pažangą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1.1.1.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Parengti ir patvirtinti Lietuvos Respublikos vandens įstatymo pakeitimo projektą </w:t>
                </w:r>
                <w:r>
                  <w:rPr>
                    <w:color w:val="000000"/>
                    <w:szCs w:val="24"/>
                  </w:rPr>
                  <w:t>siekiant sudaryti sąlygas upių vientisumui atkurti, pasiekti gerą vandens telkinių būklę, numatyti kad visos hidroelektrinės privalo turėti vandens naudojimo leidimus.</w:t>
                </w:r>
              </w:p>
            </w:tc>
            <w:tc>
              <w:tcPr>
                <w:tcW w:w="2289" w:type="dxa"/>
                <w:gridSpan w:val="2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</w:rPr>
                  <w:t>Aplinkos ministerijos Taršos prevencijos politikos grupė (toliau – AM TPPG)</w:t>
                </w:r>
              </w:p>
            </w:tc>
            <w:tc>
              <w:tcPr>
                <w:tcW w:w="2247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color w:val="000000"/>
                    <w:szCs w:val="22"/>
                  </w:rPr>
                  <w:t xml:space="preserve">Aplinkos </w:t>
                </w:r>
                <w:r>
                  <w:rPr>
                    <w:color w:val="000000"/>
                    <w:szCs w:val="22"/>
                  </w:rPr>
                  <w:t>ministerijos Strateginių pokyčių grupė (toliau – AM SPG), Energetikos ministerija (toliau – EM)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2021 m. IV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1.1.2. 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Parengti ir patvirtinti teisės aktus, kuriuose bus įtvirtintos elektros gamybos leidimų sustabdymo ir panaikinimo nuostatos dėl aplinkosauginių reikalavimų nesilaikymo.  </w:t>
                </w:r>
              </w:p>
            </w:tc>
            <w:tc>
              <w:tcPr>
                <w:tcW w:w="2289" w:type="dxa"/>
                <w:gridSpan w:val="2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AM TPPG </w:t>
                </w:r>
              </w:p>
            </w:tc>
            <w:tc>
              <w:tcPr>
                <w:tcW w:w="2247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szCs w:val="22"/>
                  </w:rPr>
                  <w:t>EM, Valstybinė energetikos reguliavimo taryba (toliau – VERT)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2023 m. IV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1.1.3.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Numatyti finansavimą ir parengti  ekologinio nuotėkio skaičiavimo metodiką, parengti ir patvirtinti Lietuvos Respublikos aplinkos ministro 2005 m. liepos 29 d. įsakymo Nr. D1-382 „Dėl Gamtosauginio vandens debito apskaičiavimo tvarkos aprašo patvirtinimo“ </w:t>
                </w:r>
                <w:r>
                  <w:rPr>
                    <w:szCs w:val="24"/>
                  </w:rPr>
                  <w:t>pakeitimo projektą gamtosauginio debito skaičiavimui, pritaikant ekologinio nuotėkio skaičiavimo koncepciją.</w:t>
                </w:r>
              </w:p>
            </w:tc>
            <w:tc>
              <w:tcPr>
                <w:tcW w:w="2289" w:type="dxa"/>
                <w:gridSpan w:val="2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Lietuvos hidrometeorologijos tarnyba (toliau – LHMT), AM TPPG</w:t>
                </w:r>
              </w:p>
            </w:tc>
            <w:tc>
              <w:tcPr>
                <w:tcW w:w="2247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spacing w:line="27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Aplinkos apsaugos agentūra (toliau – AAA)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spacing w:line="276" w:lineRule="auto"/>
                  <w:rPr>
                    <w:szCs w:val="22"/>
                    <w:highlight w:val="lightGray"/>
                  </w:rPr>
                </w:pPr>
                <w:r>
                  <w:rPr>
                    <w:szCs w:val="22"/>
                  </w:rPr>
                  <w:t xml:space="preserve">2023 m. IV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>.</w:t>
                </w:r>
              </w:p>
            </w:tc>
          </w:tr>
        </w:tbl>
        <w:p w:rsidR="005F623A" w:rsidRDefault="005F623A">
          <w:pPr>
            <w:rPr>
              <w:sz w:val="10"/>
              <w:szCs w:val="10"/>
            </w:rPr>
          </w:pPr>
        </w:p>
        <w:p w:rsidR="005F623A" w:rsidRDefault="005F623A">
          <w:pPr>
            <w:suppressAutoHyphens/>
            <w:rPr>
              <w:lang w:eastAsia="lt-LT"/>
            </w:rPr>
            <w:sectPr w:rsidR="005F623A">
              <w:footnotePr>
                <w:pos w:val="beneathText"/>
              </w:footnotePr>
              <w:pgSz w:w="16837" w:h="11905" w:orient="landscape"/>
              <w:pgMar w:top="1134" w:right="567" w:bottom="1134" w:left="1701" w:header="794" w:footer="919" w:gutter="0"/>
              <w:cols w:space="1296"/>
              <w:formProt w:val="0"/>
              <w:docGrid w:linePitch="360"/>
            </w:sectPr>
          </w:pPr>
        </w:p>
        <w:p w:rsidR="005F623A" w:rsidRDefault="005F623A">
          <w:pPr>
            <w:rPr>
              <w:sz w:val="10"/>
              <w:szCs w:val="10"/>
            </w:rPr>
          </w:pPr>
        </w:p>
        <w:tbl>
          <w:tblPr>
            <w:tblW w:w="14721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93"/>
            <w:gridCol w:w="7350"/>
            <w:gridCol w:w="2126"/>
            <w:gridCol w:w="2410"/>
            <w:gridCol w:w="1842"/>
          </w:tblGrid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1.1.4. 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</w:rPr>
                  <w:t xml:space="preserve">Parengti ir patvirtinti Lietuvos Respublikos aplinkos ministro 2003 m. lapkričio 17 d. įsakymo Nr. 565 „Dėl Statybos techninio reglamento STR 2.02.03:2003 Žuvų pralaidos. Pagrindinės nuostatos“ patvirtinimo“ pakeitimo projektą, įvertinus 2020 m. </w:t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>Aplinkos ministerijos įgyvendinto projekto „Tinkamų sąlygų žuvims migruoti per kliūtis sudarymo galimybių studijos parengimas“ vykdytojų pasiūlymus dėl STR 2.02.03:2003 Žuvų pralaidos pakeitimų. 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  <w:shd w:val="clear" w:color="auto" w:fill="FFFFFF"/>
                  </w:rPr>
                  <w:t>Aplinkos ministerijos Statybos ir teritorijų planavimo poli</w:t>
                </w: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tikos grupė (toliau </w:t>
                </w:r>
                <w:r>
                  <w:rPr>
                    <w:color w:val="000000"/>
                    <w:szCs w:val="22"/>
                  </w:rPr>
                  <w:t>–</w:t>
                </w: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 AM STPPG) 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Aplinkos ministerijos Gamtos apsaugos politikos grupė (toliau </w:t>
                </w:r>
                <w:r>
                  <w:rPr>
                    <w:color w:val="000000"/>
                    <w:szCs w:val="22"/>
                  </w:rPr>
                  <w:t>–</w:t>
                </w: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 AM GAPG), AM TPPG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2023 m. I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 xml:space="preserve">. 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1.1.5.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textAlignment w:val="baseline"/>
                  <w:rPr>
                    <w:color w:val="000000"/>
                    <w:szCs w:val="24"/>
                    <w:lang w:eastAsia="en-GB"/>
                  </w:rPr>
                </w:pPr>
                <w:r>
                  <w:rPr>
                    <w:color w:val="000000"/>
                    <w:szCs w:val="24"/>
                    <w:lang w:eastAsia="en-GB"/>
                  </w:rPr>
                  <w:t xml:space="preserve">Parengti ir patvirtinti Lietuvos Respublikos aplinkos ministro 2006 m. birželio 23 d. įsakymo Nr. D1-313 „Dėl </w:t>
                </w:r>
                <w:r>
                  <w:rPr>
                    <w:color w:val="000000"/>
                    <w:szCs w:val="24"/>
                    <w:lang w:eastAsia="en-GB"/>
                  </w:rPr>
                  <w:t>Lietuvos aplinkos apsaugos normatyvinio dokumento LAND 81-2006 „Vandens debito matavimo </w:t>
                </w:r>
                <w:proofErr w:type="spellStart"/>
                <w:r>
                  <w:rPr>
                    <w:color w:val="000000"/>
                    <w:szCs w:val="24"/>
                    <w:lang w:eastAsia="en-GB"/>
                  </w:rPr>
                  <w:t>hidrometriniais</w:t>
                </w:r>
                <w:proofErr w:type="spellEnd"/>
                <w:r>
                  <w:rPr>
                    <w:color w:val="000000"/>
                    <w:szCs w:val="24"/>
                    <w:lang w:eastAsia="en-GB"/>
                  </w:rPr>
                  <w:t> suktukais ir plūdėmis metodika“ patvirtinimo“ pakeitimo projektą norint aiškiau reglamentuoti vandens debito matavimus. 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AM TPPG 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color w:val="000000"/>
                    <w:szCs w:val="22"/>
                    <w:shd w:val="clear" w:color="auto" w:fill="FFFFFF"/>
                  </w:rPr>
                  <w:t>AAA, Aplinkos minist</w:t>
                </w: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erijos Klimato kaitos grupė (toliau </w:t>
                </w:r>
                <w:r>
                  <w:rPr>
                    <w:color w:val="000000"/>
                    <w:szCs w:val="22"/>
                  </w:rPr>
                  <w:t>–</w:t>
                </w:r>
                <w:r>
                  <w:rPr>
                    <w:color w:val="000000"/>
                    <w:szCs w:val="22"/>
                    <w:shd w:val="clear" w:color="auto" w:fill="FFFFFF"/>
                  </w:rPr>
                  <w:t xml:space="preserve"> AM KPG), LHMT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2022 m. III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 xml:space="preserve">. 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1.1.6.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en-GB"/>
                  </w:rPr>
                  <w:t>Nustatyti hidrologinės sausros kriterijų, parengti metodiką jam skaičiuoti, parengti ir patvirtinti Lietuvos Respublikos aplinkos ministro 2011 m. lapkričio 11 d. įsakymo Nr.</w:t>
                </w:r>
                <w:r>
                  <w:rPr>
                    <w:szCs w:val="24"/>
                    <w:lang w:eastAsia="en-GB"/>
                  </w:rPr>
                  <w:t xml:space="preserve"> D1-870 „Dėl Stichinių, katastrofinių meteorologinių ir hidrologinių reiškinių rodiklių patvirtinimo“ pakeitimo projektą įtraukiant hidrologinės sausros kriterijų. 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  <w:shd w:val="clear" w:color="auto" w:fill="FFFFFF"/>
                  </w:rPr>
                  <w:t>AM KPG, AM TPPG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color w:val="000000"/>
                    <w:szCs w:val="22"/>
                    <w:shd w:val="clear" w:color="auto" w:fill="FFFFFF"/>
                  </w:rPr>
                  <w:t>AAA, LHMT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2022 m. II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1.1.7.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textAlignment w:val="baseline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 xml:space="preserve">Kelių statybos taisykles papildyti upių vientisumą užtikrinančiais ir žuvims palankiais vandens pralaidų konstrukciniais sprendimais.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shd w:val="clear" w:color="auto" w:fill="FFFFFF"/>
                  </w:rPr>
                </w:pPr>
                <w:r>
                  <w:rPr>
                    <w:szCs w:val="22"/>
                  </w:rPr>
                  <w:t xml:space="preserve">Susisiekimo ministerija 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2022 m. III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1.1.8.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textAlignment w:val="baseline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Parengti ir patvirtinti Lietuvos Respublikos žemės ūkio ministro</w:t>
                </w:r>
                <w:r>
                  <w:rPr>
                    <w:szCs w:val="24"/>
                    <w:lang w:eastAsia="en-GB"/>
                  </w:rPr>
                  <w:t xml:space="preserve"> 2005 m. rugsėjo 15 d. įsakymo Nr. 3D-437 „Dėl migruojančių žuvų rūšių </w:t>
                </w:r>
                <w:proofErr w:type="spellStart"/>
                <w:r>
                  <w:rPr>
                    <w:szCs w:val="24"/>
                    <w:lang w:eastAsia="en-GB"/>
                  </w:rPr>
                  <w:t>stebėsenos</w:t>
                </w:r>
                <w:proofErr w:type="spellEnd"/>
                <w:r>
                  <w:rPr>
                    <w:szCs w:val="24"/>
                    <w:lang w:eastAsia="en-GB"/>
                  </w:rPr>
                  <w:t xml:space="preserve"> metodikos patvirtinimo“ pakeitimo projektą pritaikant pasaulinės pažangos ir naujas žinias, įvertinus 2020 m. Aplinkos ministerijos įgyvendinto projekto „Tinkamų sąlygų žuvim</w:t>
                </w:r>
                <w:r>
                  <w:rPr>
                    <w:szCs w:val="24"/>
                    <w:lang w:eastAsia="en-GB"/>
                  </w:rPr>
                  <w:t>s migruoti per kliūtis sudarymo galimybių studijos parengimas“ vykdytojų pasiūlymus.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Žemės ūkio ministerija (toliau – ŽŪM)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color w:val="000000"/>
                    <w:szCs w:val="22"/>
                    <w:lang w:val="en-GB"/>
                  </w:rPr>
                  <w:t>AM GAPG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2022 m. III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1.1.9.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textAlignment w:val="baseline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Parengti ir patvirtinti aplinkos ministro 2017 m. sausio 6 d. įsakymo Nr. D1-27 „Dėl Vidaus va</w:t>
                </w:r>
                <w:r>
                  <w:rPr>
                    <w:szCs w:val="24"/>
                    <w:lang w:eastAsia="en-GB"/>
                  </w:rPr>
                  <w:t>ndenyse padarytos žalos žuvų ištekliams apskaičiavimo tvarkos aprašo patvirtinimo“ pakeitimo projektą pateikiant metodiką apskaičiuoti žuvų ištekliams hidroelektrinių daromą žalą.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GAPG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AM SPG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2021 IV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 xml:space="preserve">. 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  <w:lang w:val="en-GB"/>
                  </w:rPr>
                </w:pPr>
                <w:r>
                  <w:rPr>
                    <w:b/>
                    <w:bCs/>
                    <w:szCs w:val="22"/>
                    <w:lang w:val="en-GB"/>
                  </w:rPr>
                  <w:lastRenderedPageBreak/>
                  <w:t>1.2.</w:t>
                </w:r>
              </w:p>
            </w:tc>
            <w:tc>
              <w:tcPr>
                <w:tcW w:w="13728" w:type="dxa"/>
                <w:gridSpan w:val="4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lastRenderedPageBreak/>
                  <w:t xml:space="preserve">Uždavinys: užtikrinti efektyvią </w:t>
                </w:r>
                <w:r>
                  <w:rPr>
                    <w:b/>
                    <w:bCs/>
                    <w:szCs w:val="22"/>
                  </w:rPr>
                  <w:t>hidroelektrinių aplinkos apsaugos valstybinę kontrolę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1.2.1.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Vykdyti mokymus ir praktinius užsiėmimus Aplinkos apsaugos departamento darbuotojams ir inspektoriams apie aplinkosauginius reikalavimus hidroelektrinėms, vandens lygio stebėjimus ir vandens debito matavimus.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AAD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AAA,</w:t>
                </w:r>
                <w:r>
                  <w:rPr>
                    <w:szCs w:val="22"/>
                  </w:rPr>
                  <w:t xml:space="preserve"> Aplinkos ministerijos Aplinkos apsaugos politikos įgyvendinimo koordinavimo grupė, AM SPG, LHMT, VERT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1F497D"/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2022 m. IV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 xml:space="preserve">. 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1.2.2.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Sudaryti AAD ir VERT bendradarbiavimo sutartį dėl efektyvesnės hidroelektrinių kontrolės.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AAD, VERT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2021 IV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  <w:lang w:val="en-GB"/>
                  </w:rPr>
                </w:pPr>
                <w:r>
                  <w:rPr>
                    <w:b/>
                    <w:bCs/>
                    <w:szCs w:val="22"/>
                    <w:lang w:val="en-GB"/>
                  </w:rPr>
                  <w:t>2.</w:t>
                </w:r>
              </w:p>
            </w:tc>
            <w:tc>
              <w:tcPr>
                <w:tcW w:w="13728" w:type="dxa"/>
                <w:gridSpan w:val="4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Tikslas: padėti savivaldybėms sprendžiant įsisenėjusias valstybinių užtvankų ir tvenkinių problemas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  <w:lang w:val="en-GB"/>
                  </w:rPr>
                </w:pPr>
                <w:r>
                  <w:rPr>
                    <w:b/>
                    <w:bCs/>
                    <w:szCs w:val="22"/>
                    <w:lang w:val="en-GB"/>
                  </w:rPr>
                  <w:t>2.1.</w:t>
                </w:r>
              </w:p>
            </w:tc>
            <w:tc>
              <w:tcPr>
                <w:tcW w:w="13728" w:type="dxa"/>
                <w:gridSpan w:val="4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Uždavinys: ieškoti finansinių priemonių avarinės būklės ir nenaudojamų užtvankų šalinimui, bešeimininkio turto inventorizavimui ir perėmimui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2.1.1.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Skatinti savivaldybes vykdyti hidrotechninių statinių pripažinimo bešeimininkiais procedūras.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SPG, AM TPPG, savivaldybės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2021 m. IV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2.1.2.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bCs/>
                    <w:szCs w:val="22"/>
                  </w:rPr>
                  <w:t>Sukurti finansinės paramos modelį, padėsiantį savivaldybėms šalinti  ekonominės naudos neturinčias, nenaudojamas ar avarinės būklės valstybei priklausančias užtvankas.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SPG, AM TPPG, savivaldybės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szCs w:val="22"/>
                  </w:rPr>
                  <w:t>ŽŪM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</w:rPr>
                </w:pPr>
                <w:r>
                  <w:rPr>
                    <w:color w:val="000000"/>
                    <w:szCs w:val="22"/>
                  </w:rPr>
                  <w:t xml:space="preserve">2022 IV </w:t>
                </w:r>
                <w:proofErr w:type="spellStart"/>
                <w:r>
                  <w:rPr>
                    <w:color w:val="000000"/>
                    <w:szCs w:val="22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</w:rPr>
                  <w:t>.</w:t>
                </w:r>
              </w:p>
            </w:tc>
          </w:tr>
          <w:tr w:rsidR="005F623A" w:rsidTr="009E39BA">
            <w:trPr>
              <w:trHeight w:val="945"/>
            </w:trPr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2.1.3.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  <w:highlight w:val="yellow"/>
                  </w:rPr>
                </w:pPr>
                <w:r>
                  <w:rPr>
                    <w:szCs w:val="22"/>
                  </w:rPr>
                  <w:t xml:space="preserve">Vykdant viešąsias konsultacijas su savivaldybėmis, sudaryti užtvankų pripažinimo bešeimininkėmis, nurašymo ir likvidavimo procesų aprašus, ieškoti sprendimų, kaip efektyviau valdyti procesus, susijusius su užtvankomis.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SPG, savivaldybės, Lietuvos savi</w:t>
                </w:r>
                <w:r>
                  <w:rPr>
                    <w:szCs w:val="22"/>
                  </w:rPr>
                  <w:t>valdybių asociacija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color w:val="000000"/>
                    <w:szCs w:val="22"/>
                    <w:lang w:val="en-GB"/>
                  </w:rPr>
                  <w:t xml:space="preserve">2022 II </w:t>
                </w:r>
                <w:proofErr w:type="spellStart"/>
                <w:r>
                  <w:rPr>
                    <w:color w:val="000000"/>
                    <w:szCs w:val="22"/>
                    <w:lang w:val="en-GB"/>
                  </w:rPr>
                  <w:t>ketv</w:t>
                </w:r>
                <w:proofErr w:type="spellEnd"/>
                <w:r>
                  <w:rPr>
                    <w:color w:val="000000"/>
                    <w:szCs w:val="22"/>
                    <w:lang w:val="en-GB"/>
                  </w:rPr>
                  <w:t>.</w:t>
                </w:r>
              </w:p>
            </w:tc>
          </w:tr>
          <w:tr w:rsidR="005F623A" w:rsidTr="009E39BA">
            <w:trPr>
              <w:trHeight w:val="945"/>
            </w:trPr>
            <w:tc>
              <w:tcPr>
                <w:tcW w:w="993" w:type="dxa"/>
              </w:tcPr>
              <w:p w:rsidR="005F623A" w:rsidRDefault="009E39BA">
                <w:pPr>
                  <w:suppressAutoHyphens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2.1.4.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Parengti savivaldybių administracijoms skirtą esamo proceso aprašą dėl iš rinkos pasitraukiančių hidroelektrinių savininkų, kurie naudoja valstybei nuosavybės teise priklausančias užtvankas, tolesnio užtvankų e</w:t>
                </w:r>
                <w:r>
                  <w:rPr>
                    <w:color w:val="000000"/>
                    <w:szCs w:val="24"/>
                  </w:rPr>
                  <w:t xml:space="preserve">ksploatavimo.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  <w:lang w:val="en-GB"/>
                  </w:rPr>
                  <w:t>AM SPG, AM TPPG</w:t>
                </w:r>
              </w:p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4"/>
                  </w:rPr>
                </w:pP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color w:val="000000"/>
                    <w:szCs w:val="22"/>
                    <w:lang w:val="en-GB"/>
                  </w:rPr>
                </w:pPr>
                <w:r>
                  <w:rPr>
                    <w:szCs w:val="22"/>
                  </w:rPr>
                  <w:t>EM, ŽŪM, savivaldybės</w:t>
                </w:r>
              </w:p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4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2022 m. III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>.</w:t>
                </w:r>
              </w:p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color w:val="000000"/>
                    <w:szCs w:val="24"/>
                    <w:lang w:val="en-GB"/>
                  </w:rPr>
                </w:pP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3.</w:t>
                </w:r>
              </w:p>
            </w:tc>
            <w:tc>
              <w:tcPr>
                <w:tcW w:w="13728" w:type="dxa"/>
                <w:gridSpan w:val="4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Tikslas: Užtikrinti upių vientisumo atkūrimo įgyvendinimo efektyvumą, tęstinumą, koordinavimą ir teisinį pagrindą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Cs/>
                    <w:szCs w:val="22"/>
                    <w:lang w:val="en-GB"/>
                  </w:rPr>
                </w:pPr>
                <w:r>
                  <w:rPr>
                    <w:bCs/>
                    <w:szCs w:val="22"/>
                    <w:lang w:val="en-GB"/>
                  </w:rPr>
                  <w:t>3.1.</w:t>
                </w:r>
              </w:p>
            </w:tc>
            <w:tc>
              <w:tcPr>
                <w:tcW w:w="13728" w:type="dxa"/>
                <w:gridSpan w:val="4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2"/>
                  </w:rPr>
                  <w:t>Uždavinys: Sukurti teisinį ir institucinį modelį</w:t>
                </w:r>
                <w:r>
                  <w:rPr>
                    <w:b/>
                    <w:bCs/>
                    <w:szCs w:val="22"/>
                  </w:rPr>
                  <w:t xml:space="preserve"> upių vientisumo atkūrimo projektams įgyvendinti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3.1.1.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Sudaryti </w:t>
                </w:r>
                <w:proofErr w:type="spellStart"/>
                <w:r>
                  <w:rPr>
                    <w:szCs w:val="22"/>
                  </w:rPr>
                  <w:t>tarpinstitucinę</w:t>
                </w:r>
                <w:proofErr w:type="spellEnd"/>
                <w:r>
                  <w:rPr>
                    <w:szCs w:val="22"/>
                  </w:rPr>
                  <w:t xml:space="preserve"> užtvankų įvertinimo ekologiniu ir </w:t>
                </w:r>
                <w:proofErr w:type="spellStart"/>
                <w:r>
                  <w:rPr>
                    <w:szCs w:val="22"/>
                  </w:rPr>
                  <w:t>socioekonominiu</w:t>
                </w:r>
                <w:proofErr w:type="spellEnd"/>
                <w:r>
                  <w:rPr>
                    <w:szCs w:val="22"/>
                  </w:rPr>
                  <w:t xml:space="preserve"> požiūriu studijos priežiūros grupę. </w:t>
                </w:r>
              </w:p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jc w:val="both"/>
                  <w:rPr>
                    <w:color w:val="000000"/>
                    <w:szCs w:val="22"/>
                    <w:bdr w:val="none" w:sz="0" w:space="0" w:color="auto" w:frame="1"/>
                  </w:rPr>
                </w:pP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SPG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2021 m. IV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3.1.2.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Įgyvendinant Europos Komisijos finansuojamą projektą (angl. </w:t>
                </w:r>
                <w:r>
                  <w:rPr>
                    <w:i/>
                    <w:iCs/>
                    <w:szCs w:val="22"/>
                  </w:rPr>
                  <w:t xml:space="preserve">„LIFE </w:t>
                </w:r>
                <w:proofErr w:type="spellStart"/>
                <w:r>
                  <w:rPr>
                    <w:i/>
                    <w:iCs/>
                    <w:szCs w:val="22"/>
                  </w:rPr>
                  <w:t>Integrated</w:t>
                </w:r>
                <w:proofErr w:type="spellEnd"/>
                <w:r>
                  <w:rPr>
                    <w:i/>
                    <w:iCs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Cs w:val="22"/>
                  </w:rPr>
                  <w:t>projects</w:t>
                </w:r>
                <w:proofErr w:type="spellEnd"/>
                <w:r>
                  <w:rPr>
                    <w:i/>
                    <w:iCs/>
                    <w:szCs w:val="22"/>
                  </w:rPr>
                  <w:t xml:space="preserve"> – </w:t>
                </w:r>
                <w:proofErr w:type="spellStart"/>
                <w:r>
                  <w:rPr>
                    <w:i/>
                    <w:iCs/>
                    <w:szCs w:val="22"/>
                  </w:rPr>
                  <w:t>Environment</w:t>
                </w:r>
                <w:proofErr w:type="spellEnd"/>
                <w:r>
                  <w:rPr>
                    <w:i/>
                    <w:iCs/>
                    <w:szCs w:val="22"/>
                  </w:rPr>
                  <w:t>”</w:t>
                </w:r>
                <w:r>
                  <w:rPr>
                    <w:szCs w:val="22"/>
                  </w:rPr>
                  <w:t xml:space="preserve">) sudaryti ir patvirtinti upių vientisumo atkūrimo ekspertų komitetą.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AM TPPG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 xml:space="preserve">2024 III </w:t>
                </w:r>
                <w:proofErr w:type="spellStart"/>
                <w:r>
                  <w:rPr>
                    <w:szCs w:val="22"/>
                    <w:lang w:val="en-GB"/>
                  </w:rPr>
                  <w:t>ketv</w:t>
                </w:r>
                <w:proofErr w:type="spellEnd"/>
                <w:r>
                  <w:rPr>
                    <w:szCs w:val="22"/>
                    <w:lang w:val="en-GB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3.1.3.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Sukurti </w:t>
                </w:r>
                <w:proofErr w:type="spellStart"/>
                <w:r>
                  <w:rPr>
                    <w:szCs w:val="22"/>
                  </w:rPr>
                  <w:t>tarpinstitucinį</w:t>
                </w:r>
                <w:proofErr w:type="spellEnd"/>
                <w:r>
                  <w:rPr>
                    <w:szCs w:val="22"/>
                  </w:rPr>
                  <w:t xml:space="preserve"> upių vientisumo atkūrimo procesų modelį ir aprašą, siekiant įgyvendinti planuojamus upių vientisumo atkūrimo projektus.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</w:rPr>
                  <w:t>AM SPG, AM TPPG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AAA, Aplinkos projektų valdymo agentūra, Žuvininkystės tarnyba, ŽŪM, Valstybinė saugomų </w:t>
                </w:r>
                <w:r>
                  <w:rPr>
                    <w:szCs w:val="22"/>
                  </w:rPr>
                  <w:t>teritorijų tarnyba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 xml:space="preserve">2022 II </w:t>
                </w:r>
                <w:proofErr w:type="spellStart"/>
                <w:r>
                  <w:rPr>
                    <w:szCs w:val="22"/>
                    <w:lang w:val="en-GB"/>
                  </w:rPr>
                  <w:t>ketv</w:t>
                </w:r>
                <w:proofErr w:type="spellEnd"/>
                <w:r>
                  <w:rPr>
                    <w:szCs w:val="22"/>
                    <w:lang w:val="en-GB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3.1.4.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color w:val="4F81BD"/>
                    <w:szCs w:val="22"/>
                  </w:rPr>
                </w:pPr>
                <w:r>
                  <w:rPr>
                    <w:szCs w:val="22"/>
                  </w:rPr>
                  <w:t xml:space="preserve">Įgyvendinant Europos Komisijos finansuojamą projektą (angl. </w:t>
                </w:r>
                <w:r>
                  <w:rPr>
                    <w:i/>
                    <w:iCs/>
                    <w:szCs w:val="22"/>
                  </w:rPr>
                  <w:t xml:space="preserve">„LIFE </w:t>
                </w:r>
                <w:proofErr w:type="spellStart"/>
                <w:r>
                  <w:rPr>
                    <w:i/>
                    <w:iCs/>
                    <w:szCs w:val="22"/>
                  </w:rPr>
                  <w:t>Integrated</w:t>
                </w:r>
                <w:proofErr w:type="spellEnd"/>
                <w:r>
                  <w:rPr>
                    <w:i/>
                    <w:iCs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Cs w:val="22"/>
                  </w:rPr>
                  <w:t>projects</w:t>
                </w:r>
                <w:proofErr w:type="spellEnd"/>
                <w:r>
                  <w:rPr>
                    <w:i/>
                    <w:iCs/>
                    <w:szCs w:val="22"/>
                  </w:rPr>
                  <w:t xml:space="preserve"> – </w:t>
                </w:r>
                <w:proofErr w:type="spellStart"/>
                <w:r>
                  <w:rPr>
                    <w:i/>
                    <w:iCs/>
                    <w:szCs w:val="22"/>
                  </w:rPr>
                  <w:t>Environment</w:t>
                </w:r>
                <w:proofErr w:type="spellEnd"/>
                <w:r>
                  <w:rPr>
                    <w:i/>
                    <w:iCs/>
                    <w:szCs w:val="22"/>
                  </w:rPr>
                  <w:t>“</w:t>
                </w:r>
                <w:r>
                  <w:rPr>
                    <w:szCs w:val="22"/>
                  </w:rPr>
                  <w:t>), sukurti pajėgumus upių vientisumo atkūrimo projektų įgyvendinimui aplinkos ministro ir (ar) žemės ūkio minist</w:t>
                </w:r>
                <w:r>
                  <w:rPr>
                    <w:szCs w:val="22"/>
                  </w:rPr>
                  <w:t>ro įgaliotoje institucijoje.</w:t>
                </w:r>
                <w:r>
                  <w:rPr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GAPG, AM SPG, AM TPPG, ŽŪM, Žuvininkystės tarnyba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2024 m. IV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>.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3.1.5.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Parengti rekomendacinį dokumentą upių vientisumo atkūrimo projektų įgyvendinimo koordinatoriams.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>AM SPG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ŽŪM</w:t>
                </w: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2022 m. III </w:t>
                </w:r>
                <w:proofErr w:type="spellStart"/>
                <w:r>
                  <w:rPr>
                    <w:szCs w:val="22"/>
                  </w:rPr>
                  <w:t>ketv</w:t>
                </w:r>
                <w:proofErr w:type="spellEnd"/>
                <w:r>
                  <w:rPr>
                    <w:szCs w:val="22"/>
                  </w:rPr>
                  <w:t xml:space="preserve">. </w:t>
                </w:r>
              </w:p>
            </w:tc>
          </w:tr>
          <w:tr w:rsidR="005F623A" w:rsidTr="009E39BA">
            <w:tc>
              <w:tcPr>
                <w:tcW w:w="993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>3.1.6.</w:t>
                </w:r>
              </w:p>
            </w:tc>
            <w:tc>
              <w:tcPr>
                <w:tcW w:w="735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Parengti ir patvirtinti žuvų migracijai trukdančių kliūčių sąrašą. </w:t>
                </w:r>
              </w:p>
            </w:tc>
            <w:tc>
              <w:tcPr>
                <w:tcW w:w="2126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</w:rPr>
                  <w:t>AM GAPG, AM SPG, AM TPPG</w:t>
                </w:r>
              </w:p>
            </w:tc>
            <w:tc>
              <w:tcPr>
                <w:tcW w:w="2410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5F623A">
                <w:pPr>
                  <w:suppressAutoHyphens/>
                  <w:rPr>
                    <w:szCs w:val="22"/>
                    <w:lang w:val="en-GB"/>
                  </w:rPr>
                </w:pPr>
              </w:p>
            </w:tc>
            <w:tc>
              <w:tcPr>
                <w:tcW w:w="1842" w:type="dxa"/>
              </w:tcPr>
              <w:p w:rsidR="005F623A" w:rsidRDefault="005F623A">
                <w:pPr>
                  <w:rPr>
                    <w:sz w:val="10"/>
                    <w:szCs w:val="10"/>
                  </w:rPr>
                </w:pPr>
              </w:p>
              <w:p w:rsidR="005F623A" w:rsidRDefault="009E39BA">
                <w:pPr>
                  <w:suppressAutoHyphens/>
                  <w:rPr>
                    <w:szCs w:val="22"/>
                    <w:lang w:val="en-GB"/>
                  </w:rPr>
                </w:pPr>
                <w:r>
                  <w:rPr>
                    <w:szCs w:val="22"/>
                    <w:lang w:val="en-GB"/>
                  </w:rPr>
                  <w:t xml:space="preserve">2022 IV </w:t>
                </w:r>
                <w:proofErr w:type="spellStart"/>
                <w:r>
                  <w:rPr>
                    <w:szCs w:val="22"/>
                    <w:lang w:val="en-GB"/>
                  </w:rPr>
                  <w:t>ketv</w:t>
                </w:r>
                <w:proofErr w:type="spellEnd"/>
                <w:r>
                  <w:rPr>
                    <w:szCs w:val="22"/>
                    <w:lang w:val="en-GB"/>
                  </w:rPr>
                  <w:t>.</w:t>
                </w:r>
              </w:p>
            </w:tc>
          </w:tr>
        </w:tbl>
        <w:p w:rsidR="005F623A" w:rsidRDefault="009E39BA">
          <w:pPr>
            <w:rPr>
              <w:lang w:val="en-GB" w:eastAsia="lt-LT"/>
            </w:rPr>
          </w:pPr>
        </w:p>
        <w:bookmarkStart w:id="0" w:name="_GoBack" w:displacedByCustomXml="next"/>
        <w:bookmarkEnd w:id="0" w:displacedByCustomXml="next"/>
      </w:sdtContent>
    </w:sdt>
    <w:sectPr w:rsidR="005F623A">
      <w:headerReference w:type="default" r:id="rId14"/>
      <w:footnotePr>
        <w:pos w:val="beneathText"/>
      </w:footnotePr>
      <w:pgSz w:w="16837" w:h="11905" w:orient="landscape"/>
      <w:pgMar w:top="1134" w:right="567" w:bottom="1134" w:left="1701" w:header="794" w:footer="919" w:gutter="0"/>
      <w:pgNumType w:start="2"/>
      <w:cols w:space="1296"/>
      <w:formProt w:val="0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>
  <w15:commentEx w15:done="0" w15:paraId="5A2909B0"/>
  <w15:commentEx w15:done="0" w15:paraId="038C8D7E"/>
  <w15:commentEx w15:done="0" w15:paraId="02B31D35"/>
  <w15:commentEx w15:done="0" w15:paraId="3EF82BC7" w15:paraIdParent="5A2909B0"/>
  <w15:commentEx w15:done="0" w15:paraId="720B9BC9" w15:paraIdParent="038C8D7E"/>
  <w15:commentEx w15:done="0" w15:paraId="5D590EF2" w15:paraIdParent="02B31D35"/>
  <w15:commentEx w15:done="0" w15:paraId="2EE3EC2B"/>
  <w15:commentEx w15:done="0" w15:paraId="6E2698F0"/>
  <w15:commentEx w15:paraId="47788425"/>
  <w15:commentEx w15:paraId="1765AC1E" w15:paraIdParent="47788425"/>
</w15:commentsEx>
</file>

<file path=word/commentsIds.xml><?xml version="1.0" encoding="utf-8"?>
<w16cid:commentsIds xmlns:w16cid="http://schemas.microsoft.com/office/word/2016/wordml/cid" xmlns:mc="http://schemas.openxmlformats.org/markup-compatibility/2006" mc:Ignorable="w16cid">
  <w16cid:commentId w16cid:paraId="2DCE87CC" w16cid:durableId="55A6D325"/>
  <w16cid:commentId w16cid:paraId="5A2909B0" w16cid:durableId="65C51BB6"/>
  <w16cid:commentId w16cid:paraId="038C8D7E" w16cid:durableId="5E7E79EC"/>
  <w16cid:commentId w16cid:paraId="02B31D35" w16cid:durableId="0B09DC10"/>
  <w16cid:commentId w16cid:paraId="3EF82BC7" w16cid:durableId="2E3AB964"/>
  <w16cid:commentId w16cid:paraId="720B9BC9" w16cid:durableId="312A29D1"/>
  <w16cid:commentId w16cid:paraId="5D590EF2" w16cid:durableId="658FC912"/>
  <w16cid:commentId w16cid:paraId="2EE3EC2B" w16cid:durableId="0F18E968"/>
  <w16cid:commentId w16cid:paraId="6E2698F0" w16cid:durableId="77486B90"/>
  <w16cid:commentId w16cid:paraId="47788425" w16cid:durableId="52002D27"/>
  <w16cid:commentId w16cid:paraId="1765AC1E" w16cid:durableId="1CB0CEB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23A" w:rsidRDefault="009E39BA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F623A" w:rsidRDefault="009E39B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ndale Sans UI">
    <w:altName w:val="Century Gothic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23A" w:rsidRDefault="009E39BA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F623A" w:rsidRDefault="009E39B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23A" w:rsidRDefault="005F623A">
    <w:pPr>
      <w:tabs>
        <w:tab w:val="center" w:pos="4153"/>
        <w:tab w:val="right" w:pos="9100"/>
      </w:tabs>
      <w:suppressAutoHyphens/>
      <w:jc w:val="center"/>
      <w:rPr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23A" w:rsidRDefault="009E39BA">
    <w:pPr>
      <w:tabs>
        <w:tab w:val="center" w:pos="4153"/>
        <w:tab w:val="right" w:pos="9100"/>
      </w:tabs>
      <w:suppressAutoHyphens/>
      <w:jc w:val="center"/>
      <w:rPr>
        <w:spacing w:val="10"/>
        <w:sz w:val="20"/>
        <w:lang w:eastAsia="lt-LT"/>
      </w:rPr>
    </w:pPr>
    <w:r>
      <w:rPr>
        <w:spacing w:val="10"/>
        <w:sz w:val="20"/>
        <w:lang w:eastAsia="lt-LT"/>
      </w:rPr>
      <w:fldChar w:fldCharType="begin"/>
    </w:r>
    <w:r>
      <w:rPr>
        <w:spacing w:val="10"/>
        <w:sz w:val="20"/>
        <w:lang w:eastAsia="lt-LT"/>
      </w:rPr>
      <w:instrText xml:space="preserve"> PAGE   \* MERGEFORMAT </w:instrText>
    </w:r>
    <w:r>
      <w:rPr>
        <w:spacing w:val="10"/>
        <w:sz w:val="20"/>
        <w:lang w:eastAsia="lt-LT"/>
      </w:rPr>
      <w:fldChar w:fldCharType="separate"/>
    </w:r>
    <w:r>
      <w:rPr>
        <w:noProof/>
        <w:spacing w:val="10"/>
        <w:sz w:val="20"/>
        <w:lang w:eastAsia="lt-LT"/>
      </w:rPr>
      <w:t>4</w:t>
    </w:r>
    <w:r>
      <w:rPr>
        <w:spacing w:val="10"/>
        <w:sz w:val="20"/>
        <w:lang w:eastAsia="lt-LT"/>
      </w:rPr>
      <w:fldChar w:fldCharType="end"/>
    </w:r>
  </w:p>
</w:hdr>
</file>

<file path=word/people.xml><?xml version="1.0" encoding="utf-8"?>
<w15:people xmlns:w15="http://schemas.microsoft.com/office/word/2012/wordml" xmlns:mc="http://schemas.openxmlformats.org/markup-compatibility/2006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5057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877"/>
    <w:rsid w:val="005F623A"/>
    <w:rsid w:val="009E39BA"/>
    <w:rsid w:val="00A0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9E39B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E39BA"/>
  </w:style>
  <w:style w:type="paragraph" w:styleId="Porat">
    <w:name w:val="footer"/>
    <w:basedOn w:val="prastasis"/>
    <w:link w:val="PoratDiagrama"/>
    <w:rsid w:val="009E39B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E39BA"/>
  </w:style>
  <w:style w:type="character" w:styleId="Vietosrezervavimoenklotekstas">
    <w:name w:val="Placeholder Text"/>
    <w:basedOn w:val="Numatytasispastraiposriftas"/>
    <w:rsid w:val="009E39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9E39B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E39BA"/>
  </w:style>
  <w:style w:type="paragraph" w:styleId="Porat">
    <w:name w:val="footer"/>
    <w:basedOn w:val="prastasis"/>
    <w:link w:val="PoratDiagrama"/>
    <w:rsid w:val="009E39B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E39BA"/>
  </w:style>
  <w:style w:type="character" w:styleId="Vietosrezervavimoenklotekstas">
    <w:name w:val="Placeholder Text"/>
    <w:basedOn w:val="Numatytasispastraiposriftas"/>
    <w:rsid w:val="009E39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28014b178eac4358" Type="http://schemas.microsoft.com/office/2016/09/relationships/commentsIds" Target="commentsIds.xml"/><Relationship Id="Rf724bf10d9a144b7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ae987786d66e4d36" Type="http://schemas.microsoft.com/office/2011/relationships/commentsExtended" Target="commentsExtended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CD6F53A-E297-4566-8A60-7B0A1DA7FE27}"/>
      </w:docPartPr>
      <w:docPartBody>
        <w:p w:rsidR="00000000" w:rsidRDefault="002937FA">
          <w:r w:rsidRPr="008E040C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ndale Sans UI">
    <w:altName w:val="Century Gothic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7FA"/>
    <w:rsid w:val="0029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37F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37F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Jonė Leščinskaitė</DisplayName>
        <AccountId>1032</AccountId>
        <AccountType/>
      </UserInfo>
    </SharedWithUsers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62668663a31b497fae183fc826c2ef53" PartId="a859af0aa0ba4127bfeb8bda01513dff">
    <Part Type="preambule" DocPartId="832ac48da94d43a7a817cca977c89e33" PartId="e6c6ce1a012f48c3b2f437540c432612"/>
    <Part Type="punktas" Nr="1" Abbr="1 p." DocPartId="b5b1902f92a140f19f8faeeaa7408831" PartId="0e7c4f53a49147789d450872bb5e69c7"/>
    <Part Type="punktas" Nr="2" Abbr="2 p." DocPartId="57105b08960c4d6d971fd0ffb2e7ef81" PartId="bcd45e6e90b6405e8f8f43574a7659af"/>
    <Part Type="signatura" DocPartId="15f8faf3e04643989755df2375697416" PartId="5b665757aefa44ecb53ffd78f0b906ee"/>
  </Part>
  <Part Type="patvirtinta" Title="VEIKSMŲ PLANAS UPIŲ VIENTISUMUI ATKURTI IR HIDROELEKTRINIŲ NEIGIAMAM POVEIKIUI MAŽINTI" DocPartId="a1c390819d764b779349099d71a63711" PartId="115a0dba3f2c483da79d1cb47946c762"/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433FB-BEC0-40FD-BD00-FC95BD30D0CB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19cf09c5-daa1-4028-a0ff-74a0be4ec5cc"/>
    <ds:schemaRef ds:uri="f5aad5d0-9c26-490e-8743-a6c7ceabd50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2418217-1174-4A46-8B68-BF15CCA93E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34F128-B753-432E-B0FA-4E2C43EC6A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184E48-0EA1-4C17-87D5-904EDC8AD18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0137ED3-565A-4F5C-A20B-9FA5CA9CC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5312</Words>
  <Characters>3028</Characters>
  <Application>Microsoft Office Word</Application>
  <DocSecurity>0</DocSecurity>
  <Lines>25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8324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2021-11-12T16:43:00Z</dcterms:created>
  <dcterms:modified xsi:type="dcterms:W3CDTF">2021-11-12T17:06:00Z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Order">
    <vt:r8>311600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