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HelveticaLT" w:hAnsi="HelveticaLT"/>
          <w:sz w:val="20"/>
          <w:lang w:val="en-GB"/>
        </w:rPr>
        <w:alias w:val="pagrindine"/>
        <w:tag w:val="part_e1e76a9ee704460f80eeb72762a2504c"/>
        <w:id w:val="-2125150609"/>
        <w:lock w:val="sdtLocked"/>
        <w:placeholder>
          <w:docPart w:val="DefaultPlaceholder_-1854013440"/>
        </w:placeholder>
      </w:sdtPr>
      <w:sdtEndPr>
        <w:rPr>
          <w:rFonts w:ascii="Times New Roman" w:hAnsi="Times New Roman"/>
          <w:sz w:val="24"/>
          <w:lang w:val="lt-LT"/>
        </w:rPr>
      </w:sdtEndPr>
      <w:sdtContent>
        <w:p w:rsidR="000162DB" w:rsidRDefault="000162DB">
          <w:pPr>
            <w:tabs>
              <w:tab w:val="center" w:pos="4819"/>
              <w:tab w:val="right" w:pos="9071"/>
            </w:tabs>
            <w:overflowPunct w:val="0"/>
            <w:jc w:val="center"/>
            <w:textAlignment w:val="baseline"/>
            <w:rPr>
              <w:rFonts w:ascii="HelveticaLT" w:hAnsi="HelveticaLT"/>
              <w:sz w:val="20"/>
              <w:lang w:val="en-GB"/>
            </w:rPr>
          </w:pPr>
        </w:p>
        <w:p w:rsidR="000162DB" w:rsidRDefault="002F74AA">
          <w:pPr>
            <w:jc w:val="center"/>
            <w:rPr>
              <w:b/>
              <w:bCs/>
              <w:szCs w:val="24"/>
            </w:rPr>
          </w:pPr>
          <w:r>
            <w:rPr>
              <w:b/>
              <w:bCs/>
              <w:noProof/>
              <w:szCs w:val="24"/>
              <w:lang w:eastAsia="lt-LT"/>
            </w:rPr>
            <w:drawing>
              <wp:inline distT="0" distB="0" distL="0" distR="0" wp14:anchorId="1D7FCA0C" wp14:editId="4A76E189">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0162DB" w:rsidRDefault="000162DB">
          <w:pPr>
            <w:rPr>
              <w:sz w:val="2"/>
              <w:szCs w:val="2"/>
            </w:rPr>
          </w:pPr>
        </w:p>
        <w:p w:rsidR="000162DB" w:rsidRDefault="000162DB">
          <w:pPr>
            <w:ind w:firstLine="29"/>
            <w:jc w:val="center"/>
            <w:rPr>
              <w:b/>
              <w:bCs/>
              <w:szCs w:val="24"/>
            </w:rPr>
          </w:pPr>
        </w:p>
        <w:p w:rsidR="000162DB" w:rsidRDefault="000162DB">
          <w:pPr>
            <w:rPr>
              <w:sz w:val="2"/>
              <w:szCs w:val="2"/>
            </w:rPr>
          </w:pPr>
        </w:p>
        <w:p w:rsidR="000162DB" w:rsidRDefault="002F74AA">
          <w:pPr>
            <w:jc w:val="center"/>
            <w:rPr>
              <w:sz w:val="28"/>
              <w:szCs w:val="24"/>
            </w:rPr>
          </w:pPr>
          <w:r>
            <w:rPr>
              <w:b/>
              <w:bCs/>
              <w:sz w:val="28"/>
              <w:szCs w:val="24"/>
            </w:rPr>
            <w:t>LIETUVOS RESPUBLIKOS ŠVIETIMO, MOKSLO IR SPORTO MINISTRAS</w:t>
          </w:r>
        </w:p>
        <w:p w:rsidR="000162DB" w:rsidRDefault="000162DB">
          <w:pPr>
            <w:rPr>
              <w:sz w:val="2"/>
              <w:szCs w:val="2"/>
            </w:rPr>
          </w:pPr>
        </w:p>
        <w:p w:rsidR="000162DB" w:rsidRDefault="000162DB">
          <w:pPr>
            <w:overflowPunct w:val="0"/>
            <w:jc w:val="center"/>
            <w:textAlignment w:val="baseline"/>
          </w:pPr>
        </w:p>
        <w:p w:rsidR="000162DB" w:rsidRDefault="000162DB">
          <w:pPr>
            <w:rPr>
              <w:sz w:val="2"/>
              <w:szCs w:val="2"/>
            </w:rPr>
          </w:pPr>
        </w:p>
        <w:p w:rsidR="000162DB" w:rsidRDefault="002F74AA">
          <w:pPr>
            <w:overflowPunct w:val="0"/>
            <w:jc w:val="center"/>
            <w:textAlignment w:val="baseline"/>
            <w:rPr>
              <w:b/>
              <w:bCs/>
            </w:rPr>
          </w:pPr>
          <w:r>
            <w:rPr>
              <w:b/>
              <w:bCs/>
            </w:rPr>
            <w:t>ĮSAKYMAS</w:t>
          </w:r>
        </w:p>
        <w:p w:rsidR="000162DB" w:rsidRDefault="000162DB">
          <w:pPr>
            <w:rPr>
              <w:sz w:val="2"/>
              <w:szCs w:val="2"/>
            </w:rPr>
          </w:pPr>
        </w:p>
        <w:p w:rsidR="002F74AA" w:rsidRDefault="002F74AA">
          <w:pPr>
            <w:overflowPunct w:val="0"/>
            <w:jc w:val="center"/>
            <w:textAlignment w:val="baseline"/>
            <w:rPr>
              <w:b/>
              <w:bCs/>
              <w:caps/>
            </w:rPr>
          </w:pPr>
          <w:r>
            <w:rPr>
              <w:b/>
              <w:bCs/>
            </w:rPr>
            <w:t xml:space="preserve">DĖL </w:t>
          </w:r>
          <w:r>
            <w:rPr>
              <w:b/>
              <w:bCs/>
              <w:caps/>
            </w:rPr>
            <w:t xml:space="preserve">ŠVIETIMO, MOKSLO IR SPORTO MINISTRO 2022 M. GEGUŽĖS </w:t>
          </w:r>
        </w:p>
        <w:p w:rsidR="002F74AA" w:rsidRDefault="002F74AA">
          <w:pPr>
            <w:rPr>
              <w:sz w:val="2"/>
              <w:szCs w:val="2"/>
            </w:rPr>
          </w:pPr>
        </w:p>
        <w:p w:rsidR="002F74AA" w:rsidRDefault="002F74AA">
          <w:pPr>
            <w:overflowPunct w:val="0"/>
            <w:jc w:val="center"/>
            <w:textAlignment w:val="baseline"/>
            <w:rPr>
              <w:b/>
              <w:bCs/>
              <w:caps/>
            </w:rPr>
          </w:pPr>
          <w:r>
            <w:rPr>
              <w:b/>
              <w:bCs/>
              <w:caps/>
            </w:rPr>
            <w:t>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rsidR="000162DB" w:rsidRDefault="000162DB">
          <w:pPr>
            <w:overflowPunct w:val="0"/>
            <w:jc w:val="center"/>
            <w:textAlignment w:val="baseline"/>
          </w:pPr>
        </w:p>
        <w:p w:rsidR="000162DB" w:rsidRDefault="000162DB">
          <w:pPr>
            <w:rPr>
              <w:sz w:val="2"/>
              <w:szCs w:val="2"/>
            </w:rPr>
          </w:pPr>
        </w:p>
        <w:p w:rsidR="002F74AA" w:rsidRDefault="002F74AA" w:rsidP="002F74AA">
          <w:pPr>
            <w:keepNext/>
            <w:tabs>
              <w:tab w:val="left" w:pos="5035"/>
            </w:tabs>
            <w:overflowPunct w:val="0"/>
            <w:jc w:val="center"/>
            <w:textAlignment w:val="baseline"/>
            <w:outlineLvl w:val="2"/>
          </w:pPr>
          <w:r>
            <w:t>2024 m. gegužės 7 d. Nr. V-510</w:t>
          </w:r>
        </w:p>
        <w:p w:rsidR="002F74AA" w:rsidRDefault="002F74AA" w:rsidP="002F74AA">
          <w:pPr>
            <w:overflowPunct w:val="0"/>
            <w:ind w:left="108"/>
            <w:jc w:val="center"/>
            <w:textAlignment w:val="baseline"/>
            <w:rPr>
              <w:szCs w:val="24"/>
            </w:rPr>
          </w:pPr>
          <w:smartTag w:uri="urn:schemas-tilde-lv/tildestengine" w:element="firmas">
            <w:r>
              <w:rPr>
                <w:szCs w:val="24"/>
              </w:rPr>
              <w:t>Vilnius</w:t>
            </w:r>
          </w:smartTag>
        </w:p>
        <w:p w:rsidR="000162DB" w:rsidRDefault="000162DB">
          <w:pPr>
            <w:overflowPunct w:val="0"/>
            <w:textAlignment w:val="baseline"/>
            <w:rPr>
              <w:szCs w:val="24"/>
            </w:rPr>
          </w:pPr>
        </w:p>
        <w:p w:rsidR="000162DB" w:rsidRDefault="000162DB">
          <w:pPr>
            <w:rPr>
              <w:sz w:val="2"/>
              <w:szCs w:val="2"/>
            </w:rPr>
          </w:pPr>
        </w:p>
        <w:sdt>
          <w:sdtPr>
            <w:rPr>
              <w:szCs w:val="24"/>
            </w:rPr>
            <w:alias w:val="preambule"/>
            <w:tag w:val="part_2c42d46942794878990442913b21254d"/>
            <w:id w:val="-1791435038"/>
            <w:lock w:val="sdtLocked"/>
            <w:placeholder>
              <w:docPart w:val="DefaultPlaceholder_-1854013440"/>
            </w:placeholder>
          </w:sdtPr>
          <w:sdtEndPr>
            <w:rPr>
              <w:sz w:val="2"/>
              <w:szCs w:val="2"/>
            </w:rPr>
          </w:sdtEndPr>
          <w:sdtContent>
            <w:p w:rsidR="000162DB" w:rsidRDefault="002F74AA">
              <w:pPr>
                <w:overflowPunct w:val="0"/>
                <w:ind w:firstLine="851"/>
                <w:jc w:val="both"/>
                <w:textAlignment w:val="baseline"/>
                <w:rPr>
                  <w:szCs w:val="24"/>
                </w:rPr>
              </w:pPr>
              <w:r>
                <w:rPr>
                  <w:szCs w:val="24"/>
                </w:rPr>
                <w:t>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95 ir 96 punktais,</w:t>
              </w:r>
            </w:p>
            <w:p w:rsidR="000162DB" w:rsidRDefault="00BC1314">
              <w:pPr>
                <w:rPr>
                  <w:sz w:val="2"/>
                  <w:szCs w:val="2"/>
                </w:rPr>
              </w:pPr>
            </w:p>
          </w:sdtContent>
        </w:sdt>
        <w:sdt>
          <w:sdtPr>
            <w:rPr>
              <w:szCs w:val="24"/>
            </w:rPr>
            <w:alias w:val="pastraipa"/>
            <w:tag w:val="part_e40ec58a58eb4b169609d53f98d2269f"/>
            <w:id w:val="661585441"/>
            <w:lock w:val="sdtLocked"/>
            <w:placeholder>
              <w:docPart w:val="DefaultPlaceholder_-1854013440"/>
            </w:placeholder>
          </w:sdtPr>
          <w:sdtEndPr>
            <w:rPr>
              <w:sz w:val="2"/>
              <w:szCs w:val="2"/>
            </w:rPr>
          </w:sdtEndPr>
          <w:sdtContent>
            <w:p w:rsidR="000162DB" w:rsidRDefault="002F74AA">
              <w:pPr>
                <w:overflowPunct w:val="0"/>
                <w:ind w:firstLine="851"/>
                <w:jc w:val="both"/>
                <w:textAlignment w:val="baseline"/>
                <w:rPr>
                  <w:szCs w:val="24"/>
                </w:rPr>
              </w:pPr>
              <w:r>
                <w:rPr>
                  <w:szCs w:val="24"/>
                </w:rPr>
                <w:t>p a k e i č i u 2021–2030 m. plėtros programos valdytojos Lietuvos Respublikos švietimo, mokslo ir sporto ministerijos švietimo plėtros programos pažangos priemonės Nr. 12-003-03-01-04 „Užtikrinti visiems prieinamą ankstyvąjį ugdymą“ aprašo, patvirtinto Lietuvos Respublikos švietimo, mokslo ir sporto ministro 2022 m. gegužės 31 d. įsakymu Nr. V-878 „Dėl 2021–2030 m. plėtros programos valdytojos Lietuvos Respublikos švietimo, mokslo ir sporto ministerijos švietimo plėtros programos pažangos priemonės Nr. 12-003-03-01-04 „Užtikrinti visiems prieinamą ankstyvąjį ugdymą“ aprašo patvirtinimo“, 3 priedą:</w:t>
              </w:r>
            </w:p>
            <w:p w:rsidR="000162DB" w:rsidRDefault="00BC1314">
              <w:pPr>
                <w:rPr>
                  <w:sz w:val="2"/>
                  <w:szCs w:val="2"/>
                </w:rPr>
              </w:pPr>
            </w:p>
          </w:sdtContent>
        </w:sdt>
        <w:sdt>
          <w:sdtPr>
            <w:alias w:val="1 p."/>
            <w:tag w:val="part_e09f054518a6457aaeeb1eb2c75bb5d6"/>
            <w:id w:val="2118018494"/>
            <w:lock w:val="sdtLocked"/>
            <w:placeholder>
              <w:docPart w:val="DefaultPlaceholder_-1854013440"/>
            </w:placeholder>
          </w:sdtPr>
          <w:sdtEndPr>
            <w:rPr>
              <w:sz w:val="2"/>
              <w:szCs w:val="2"/>
            </w:rPr>
          </w:sdtEndPr>
          <w:sdtContent>
            <w:p w:rsidR="000162DB" w:rsidRDefault="00BC1314">
              <w:pPr>
                <w:tabs>
                  <w:tab w:val="left" w:pos="1134"/>
                </w:tabs>
                <w:overflowPunct w:val="0"/>
                <w:ind w:left="851"/>
                <w:jc w:val="both"/>
                <w:textAlignment w:val="baseline"/>
                <w:rPr>
                  <w:szCs w:val="24"/>
                </w:rPr>
              </w:pPr>
              <w:sdt>
                <w:sdtPr>
                  <w:alias w:val="Numeris"/>
                  <w:tag w:val="nr_e09f054518a6457aaeeb1eb2c75bb5d6"/>
                  <w:id w:val="1120035669"/>
                  <w:lock w:val="sdtLocked"/>
                </w:sdtPr>
                <w:sdtEndPr/>
                <w:sdtContent>
                  <w:r w:rsidR="002F74AA">
                    <w:rPr>
                      <w:szCs w:val="24"/>
                    </w:rPr>
                    <w:t>1</w:t>
                  </w:r>
                </w:sdtContent>
              </w:sdt>
              <w:r w:rsidR="002F74AA">
                <w:rPr>
                  <w:szCs w:val="24"/>
                </w:rPr>
                <w:t>.</w:t>
              </w:r>
              <w:r w:rsidR="002F74AA">
                <w:rPr>
                  <w:szCs w:val="24"/>
                </w:rPr>
                <w:tab/>
                <w:t>Pakeičiu 2 punktą ir jį išdėstau taip:</w:t>
              </w:r>
            </w:p>
            <w:p w:rsidR="000162DB" w:rsidRDefault="000162DB">
              <w:pPr>
                <w:rPr>
                  <w:sz w:val="2"/>
                  <w:szCs w:val="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06"/>
              </w:tblGrid>
              <w:tr w:rsidR="000162DB">
                <w:tc>
                  <w:tcPr>
                    <w:tcW w:w="9606" w:type="dxa"/>
                  </w:tcPr>
                  <w:p w:rsidR="000162DB" w:rsidRDefault="002F74AA">
                    <w:pPr>
                      <w:overflowPunct w:val="0"/>
                      <w:jc w:val="both"/>
                      <w:textAlignment w:val="baseline"/>
                      <w:rPr>
                        <w:b/>
                        <w:szCs w:val="24"/>
                      </w:rPr>
                    </w:pPr>
                    <w:r>
                      <w:rPr>
                        <w:bCs/>
                        <w:szCs w:val="24"/>
                      </w:rPr>
                      <w:t>„</w:t>
                    </w:r>
                    <w:r>
                      <w:rPr>
                        <w:b/>
                        <w:szCs w:val="24"/>
                      </w:rPr>
                      <w:t>2. Reikalavimai projektams, pareiškėjams ir partneriams</w:t>
                    </w:r>
                  </w:p>
                </w:tc>
              </w:tr>
              <w:tr w:rsidR="000162DB">
                <w:tc>
                  <w:tcPr>
                    <w:tcW w:w="9606" w:type="dxa"/>
                  </w:tcPr>
                  <w:p w:rsidR="000162DB" w:rsidRDefault="002F74AA">
                    <w:pPr>
                      <w:overflowPunct w:val="0"/>
                      <w:jc w:val="both"/>
                      <w:textAlignment w:val="baseline"/>
                      <w:rPr>
                        <w:szCs w:val="24"/>
                      </w:rPr>
                    </w:pPr>
                    <w:r>
                      <w:rPr>
                        <w:szCs w:val="24"/>
                      </w:rPr>
                      <w:t>2.1. Pagal Aprašą remiamos veiklos:</w:t>
                    </w:r>
                  </w:p>
                  <w:p w:rsidR="000162DB" w:rsidRDefault="000162DB">
                    <w:pPr>
                      <w:rPr>
                        <w:sz w:val="2"/>
                        <w:szCs w:val="2"/>
                      </w:rPr>
                    </w:pPr>
                  </w:p>
                  <w:p w:rsidR="000162DB" w:rsidRDefault="002F74AA">
                    <w:pPr>
                      <w:overflowPunct w:val="0"/>
                      <w:jc w:val="both"/>
                      <w:textAlignment w:val="baseline"/>
                      <w:rPr>
                        <w:szCs w:val="24"/>
                      </w:rPr>
                    </w:pPr>
                    <w:r>
                      <w:rPr>
                        <w:szCs w:val="24"/>
                      </w:rPr>
                      <w:t xml:space="preserve">2.1.1. sukurti įstaigų, vykdančių ikimokyklinio ugdymo programas, stiprinimo paketą, apimantį mokymąsi vieniems iš kitų (angl. </w:t>
                    </w:r>
                    <w:proofErr w:type="spellStart"/>
                    <w:r>
                      <w:rPr>
                        <w:i/>
                        <w:iCs/>
                        <w:szCs w:val="24"/>
                      </w:rPr>
                      <w:t>peer-learning</w:t>
                    </w:r>
                    <w:proofErr w:type="spellEnd"/>
                    <w:r>
                      <w:rPr>
                        <w:szCs w:val="24"/>
                      </w:rPr>
                      <w:t>), ikimokyklinio ugdymo mokytojų kompetencijų atnaujinimą ir stiprinimą, aprūpinimą moderniomis darbo vietomis. Aprūpinimas moderniomis darbo vietomis taikomas tik viešiesiems juridiniams asmenims;</w:t>
                    </w:r>
                  </w:p>
                  <w:p w:rsidR="000162DB" w:rsidRDefault="000162DB">
                    <w:pPr>
                      <w:rPr>
                        <w:sz w:val="2"/>
                        <w:szCs w:val="2"/>
                      </w:rPr>
                    </w:pPr>
                  </w:p>
                  <w:p w:rsidR="000162DB" w:rsidRDefault="002F74AA">
                    <w:pPr>
                      <w:overflowPunct w:val="0"/>
                      <w:jc w:val="both"/>
                      <w:textAlignment w:val="baseline"/>
                      <w:rPr>
                        <w:szCs w:val="24"/>
                      </w:rPr>
                    </w:pPr>
                    <w:r>
                      <w:rPr>
                        <w:szCs w:val="24"/>
                      </w:rPr>
                      <w:t>2.1.2. ikimokyklinio ugdymo mokytojų kompetencijų atnaujinimas ir stiprinimas, aprūpinimas moderniomis darbo vietomis. Aprūpinimas moderniomis darbo vietomis taikomas tik viešiesiems juridiniams asmenims.</w:t>
                    </w:r>
                  </w:p>
                  <w:p w:rsidR="000162DB" w:rsidRDefault="000162DB">
                    <w:pPr>
                      <w:rPr>
                        <w:sz w:val="2"/>
                        <w:szCs w:val="2"/>
                      </w:rPr>
                    </w:pPr>
                  </w:p>
                  <w:p w:rsidR="000162DB" w:rsidRDefault="002F74AA">
                    <w:pPr>
                      <w:overflowPunct w:val="0"/>
                      <w:jc w:val="both"/>
                      <w:textAlignment w:val="baseline"/>
                      <w:rPr>
                        <w:szCs w:val="24"/>
                      </w:rPr>
                    </w:pPr>
                    <w:r>
                      <w:rPr>
                        <w:szCs w:val="24"/>
                      </w:rPr>
                      <w:t>2.2. Galimas pareiškėjas – VšĮ Europos socialinio fondo agentūra.</w:t>
                    </w:r>
                  </w:p>
                  <w:p w:rsidR="000162DB" w:rsidRDefault="000162DB">
                    <w:pPr>
                      <w:rPr>
                        <w:sz w:val="2"/>
                        <w:szCs w:val="2"/>
                      </w:rPr>
                    </w:pPr>
                  </w:p>
                  <w:p w:rsidR="000162DB" w:rsidRDefault="002F74AA">
                    <w:pPr>
                      <w:overflowPunct w:val="0"/>
                      <w:jc w:val="both"/>
                      <w:textAlignment w:val="baseline"/>
                      <w:rPr>
                        <w:szCs w:val="24"/>
                      </w:rPr>
                    </w:pPr>
                    <w:r>
                      <w:rPr>
                        <w:szCs w:val="24"/>
                      </w:rPr>
                      <w:t>2.3. Galimi partneriai: savivaldybės, mokyklos (mokyklų konsorciumai); juridiniai asmenys, veikiantys švietimo srityje.</w:t>
                    </w:r>
                  </w:p>
                  <w:p w:rsidR="000162DB" w:rsidRDefault="000162DB">
                    <w:pPr>
                      <w:rPr>
                        <w:sz w:val="2"/>
                        <w:szCs w:val="2"/>
                      </w:rPr>
                    </w:pPr>
                  </w:p>
                  <w:p w:rsidR="000162DB" w:rsidRDefault="002F74AA">
                    <w:pPr>
                      <w:overflowPunct w:val="0"/>
                      <w:jc w:val="both"/>
                      <w:textAlignment w:val="baseline"/>
                      <w:rPr>
                        <w:szCs w:val="24"/>
                      </w:rPr>
                    </w:pPr>
                    <w:r>
                      <w:rPr>
                        <w:szCs w:val="24"/>
                      </w:rPr>
                      <w:t xml:space="preserve">2.4. </w:t>
                    </w:r>
                    <w:r>
                      <w:rPr>
                        <w:iCs/>
                        <w:szCs w:val="24"/>
                      </w:rPr>
                      <w:t>Projektai atrenkami planavimo būdu.</w:t>
                    </w:r>
                  </w:p>
                  <w:p w:rsidR="000162DB" w:rsidRDefault="000162DB">
                    <w:pPr>
                      <w:rPr>
                        <w:sz w:val="2"/>
                        <w:szCs w:val="2"/>
                      </w:rPr>
                    </w:pPr>
                  </w:p>
                  <w:p w:rsidR="000162DB" w:rsidRDefault="002F74AA">
                    <w:pPr>
                      <w:overflowPunct w:val="0"/>
                      <w:jc w:val="both"/>
                      <w:textAlignment w:val="baseline"/>
                      <w:rPr>
                        <w:szCs w:val="24"/>
                      </w:rPr>
                    </w:pPr>
                    <w:r>
                      <w:rPr>
                        <w:szCs w:val="24"/>
                      </w:rPr>
                      <w:t xml:space="preserve">2.5. Pagal Aprašą teikiamo finansavimo forma – dotacija. </w:t>
                    </w:r>
                  </w:p>
                  <w:p w:rsidR="000162DB" w:rsidRDefault="000162DB">
                    <w:pPr>
                      <w:rPr>
                        <w:sz w:val="2"/>
                        <w:szCs w:val="2"/>
                      </w:rPr>
                    </w:pPr>
                  </w:p>
                  <w:p w:rsidR="000162DB" w:rsidRDefault="002F74AA">
                    <w:pPr>
                      <w:overflowPunct w:val="0"/>
                      <w:jc w:val="both"/>
                      <w:textAlignment w:val="baseline"/>
                      <w:rPr>
                        <w:szCs w:val="24"/>
                      </w:rPr>
                    </w:pPr>
                    <w:r>
                      <w:rPr>
                        <w:szCs w:val="24"/>
                      </w:rPr>
                      <w:lastRenderedPageBreak/>
                      <w:t>2.6. Pagal Aprašą numatoma veiklas įgyvendinti 2 etapais ir skelbti 2 kvietimus teikti projekto įgyvendinimo planą (toliau – PĮP). Numatoma 2.1.1 veiklą įgyvendinti pirmu etapu, 2.1.2 veiklą įgyvendinti antru etapu.</w:t>
                    </w:r>
                  </w:p>
                  <w:p w:rsidR="000162DB" w:rsidRDefault="000162DB">
                    <w:pPr>
                      <w:rPr>
                        <w:sz w:val="2"/>
                        <w:szCs w:val="2"/>
                      </w:rPr>
                    </w:pPr>
                  </w:p>
                  <w:p w:rsidR="000162DB" w:rsidRDefault="002F74AA">
                    <w:pPr>
                      <w:overflowPunct w:val="0"/>
                      <w:jc w:val="both"/>
                      <w:textAlignment w:val="baseline"/>
                      <w:rPr>
                        <w:szCs w:val="24"/>
                      </w:rPr>
                    </w:pPr>
                    <w:r>
                      <w:rPr>
                        <w:szCs w:val="24"/>
                      </w:rPr>
                      <w:t xml:space="preserve">2.7. Pagal Aprašą projektams įgyvendinti skiriama iki 6 000 000 </w:t>
                    </w:r>
                    <w:proofErr w:type="spellStart"/>
                    <w:r>
                      <w:rPr>
                        <w:szCs w:val="24"/>
                      </w:rPr>
                      <w:t>Eur</w:t>
                    </w:r>
                    <w:proofErr w:type="spellEnd"/>
                    <w:r>
                      <w:rPr>
                        <w:szCs w:val="24"/>
                      </w:rPr>
                      <w:t xml:space="preserve"> (šešių milijonų eurų), iš kurių: iki 5 100 000 </w:t>
                    </w:r>
                    <w:proofErr w:type="spellStart"/>
                    <w:r>
                      <w:rPr>
                        <w:szCs w:val="24"/>
                      </w:rPr>
                      <w:t>Eur</w:t>
                    </w:r>
                    <w:proofErr w:type="spellEnd"/>
                    <w:r>
                      <w:rPr>
                        <w:szCs w:val="24"/>
                      </w:rPr>
                      <w:t xml:space="preserve"> (penkių milijonų šimto tūkstančių eurų) Europos Sąjungos fondų lėšų ir iki 900 000 </w:t>
                    </w:r>
                    <w:proofErr w:type="spellStart"/>
                    <w:r>
                      <w:rPr>
                        <w:szCs w:val="24"/>
                      </w:rPr>
                      <w:t>Eur</w:t>
                    </w:r>
                    <w:proofErr w:type="spellEnd"/>
                    <w:r>
                      <w:rPr>
                        <w:szCs w:val="24"/>
                      </w:rPr>
                      <w:t xml:space="preserve"> (devynių šimtų tūkstančių eurų) Europos Sąjungos fondų bendrojo finansavimo lėšų. Pirmo kvietimo projektui įgyvendinti skiriama iki 1 000 000 </w:t>
                    </w:r>
                    <w:proofErr w:type="spellStart"/>
                    <w:r>
                      <w:rPr>
                        <w:szCs w:val="24"/>
                      </w:rPr>
                      <w:t>Eur</w:t>
                    </w:r>
                    <w:proofErr w:type="spellEnd"/>
                    <w:r>
                      <w:rPr>
                        <w:szCs w:val="24"/>
                      </w:rPr>
                      <w:t xml:space="preserve"> (vieno milijono eurų), iš kurių: iki 850 000 </w:t>
                    </w:r>
                    <w:proofErr w:type="spellStart"/>
                    <w:r>
                      <w:rPr>
                        <w:szCs w:val="24"/>
                      </w:rPr>
                      <w:t>Eur</w:t>
                    </w:r>
                    <w:proofErr w:type="spellEnd"/>
                    <w:r>
                      <w:rPr>
                        <w:szCs w:val="24"/>
                      </w:rPr>
                      <w:t xml:space="preserve"> (aštuonių šimtų penkiasdešimt tūkstančių eurų) Europos Sąjungos fondų lėšų ir iki 150 000 </w:t>
                    </w:r>
                    <w:proofErr w:type="spellStart"/>
                    <w:r>
                      <w:rPr>
                        <w:szCs w:val="24"/>
                      </w:rPr>
                      <w:t>Eur</w:t>
                    </w:r>
                    <w:proofErr w:type="spellEnd"/>
                    <w:r>
                      <w:rPr>
                        <w:szCs w:val="24"/>
                      </w:rPr>
                      <w:t xml:space="preserve"> (vieno šimto penkiasdešimt tūkstančių eurų) Europos Sąjungos fondų bendrojo finansavimo lėšų. Antrojo kvietimo projektui įgyvendinti skiriama iki 5 000 000 </w:t>
                    </w:r>
                    <w:proofErr w:type="spellStart"/>
                    <w:r>
                      <w:rPr>
                        <w:szCs w:val="24"/>
                      </w:rPr>
                      <w:t>Eur</w:t>
                    </w:r>
                    <w:proofErr w:type="spellEnd"/>
                    <w:r>
                      <w:rPr>
                        <w:szCs w:val="24"/>
                      </w:rPr>
                      <w:t xml:space="preserve"> (penkių milijonų eurų) iš kurių: iki 4 250 000 </w:t>
                    </w:r>
                    <w:proofErr w:type="spellStart"/>
                    <w:r>
                      <w:rPr>
                        <w:szCs w:val="24"/>
                      </w:rPr>
                      <w:t>Eur</w:t>
                    </w:r>
                    <w:proofErr w:type="spellEnd"/>
                    <w:r>
                      <w:rPr>
                        <w:szCs w:val="24"/>
                      </w:rPr>
                      <w:t xml:space="preserve"> (keturių milijonų dviejų šimtų penkiasdešimt tūkstančių eurų) Europos Sąjungos fondų lėšų ir iki 750 000Eur (septynių šimtų penkiasdešimt tūkstančių eurų) Europos Sąjungos fondų bendrojo finansavimo lėšų. </w:t>
                    </w:r>
                    <w:r>
                      <w:rPr>
                        <w:bCs/>
                        <w:szCs w:val="24"/>
                      </w:rPr>
                      <w:t>Jei pirmojo kvietimo metu būtų panaudotos ne visos pirmajam kvietimui skirtos lėšos, jos automatiškai persikelia į antrąjį kvietimą.</w:t>
                    </w:r>
                  </w:p>
                  <w:p w:rsidR="000162DB" w:rsidRDefault="000162DB">
                    <w:pPr>
                      <w:rPr>
                        <w:sz w:val="2"/>
                        <w:szCs w:val="2"/>
                      </w:rPr>
                    </w:pPr>
                  </w:p>
                  <w:p w:rsidR="000162DB" w:rsidRDefault="002F74AA">
                    <w:pPr>
                      <w:overflowPunct w:val="0"/>
                      <w:jc w:val="both"/>
                      <w:textAlignment w:val="baseline"/>
                      <w:rPr>
                        <w:szCs w:val="24"/>
                      </w:rPr>
                    </w:pPr>
                    <w:r>
                      <w:rPr>
                        <w:szCs w:val="24"/>
                      </w:rPr>
                      <w:t>2.8. Projektuose siekiama stebėsenos rodiklių:</w:t>
                    </w:r>
                  </w:p>
                  <w:p w:rsidR="000162DB" w:rsidRDefault="000162DB">
                    <w:pPr>
                      <w:rPr>
                        <w:sz w:val="2"/>
                        <w:szCs w:val="2"/>
                      </w:rPr>
                    </w:pPr>
                  </w:p>
                  <w:p w:rsidR="000162DB" w:rsidRDefault="000162DB">
                    <w:pPr>
                      <w:overflowPunct w:val="0"/>
                      <w:ind w:firstLine="1253"/>
                      <w:jc w:val="both"/>
                      <w:textAlignment w:val="baseline"/>
                      <w:rPr>
                        <w:szCs w:val="24"/>
                      </w:rPr>
                    </w:pPr>
                  </w:p>
                  <w:p w:rsidR="000162DB" w:rsidRDefault="000162DB">
                    <w:pPr>
                      <w:rPr>
                        <w:sz w:val="2"/>
                        <w:szCs w:val="2"/>
                      </w:rPr>
                    </w:pPr>
                  </w:p>
                  <w:tbl>
                    <w:tblPr>
                      <w:tblW w:w="8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9"/>
                      <w:gridCol w:w="2410"/>
                      <w:gridCol w:w="2126"/>
                      <w:gridCol w:w="1701"/>
                    </w:tblGrid>
                    <w:tr w:rsidR="000162DB">
                      <w:trPr>
                        <w:trHeight w:val="405"/>
                      </w:trPr>
                      <w:tc>
                        <w:tcPr>
                          <w:tcW w:w="8946" w:type="dxa"/>
                          <w:gridSpan w:val="4"/>
                          <w:shd w:val="clear" w:color="auto" w:fill="auto"/>
                          <w:vAlign w:val="center"/>
                        </w:tcPr>
                        <w:p w:rsidR="000162DB" w:rsidRDefault="002F74AA">
                          <w:pPr>
                            <w:overflowPunct w:val="0"/>
                            <w:jc w:val="center"/>
                            <w:textAlignment w:val="baseline"/>
                            <w:rPr>
                              <w:szCs w:val="24"/>
                            </w:rPr>
                          </w:pPr>
                          <w:r>
                            <w:rPr>
                              <w:b/>
                              <w:bCs/>
                              <w:szCs w:val="24"/>
                            </w:rPr>
                            <w:t>1 kvietimo siekiami rodikliai</w:t>
                          </w:r>
                        </w:p>
                      </w:tc>
                    </w:tr>
                    <w:tr w:rsidR="000162DB">
                      <w:trPr>
                        <w:trHeight w:val="405"/>
                      </w:trPr>
                      <w:tc>
                        <w:tcPr>
                          <w:tcW w:w="2709" w:type="dxa"/>
                          <w:shd w:val="clear" w:color="auto" w:fill="auto"/>
                          <w:vAlign w:val="center"/>
                        </w:tcPr>
                        <w:p w:rsidR="000162DB" w:rsidRDefault="002F74AA">
                          <w:pPr>
                            <w:overflowPunct w:val="0"/>
                            <w:jc w:val="center"/>
                            <w:textAlignment w:val="baseline"/>
                            <w:rPr>
                              <w:szCs w:val="24"/>
                            </w:rPr>
                          </w:pPr>
                          <w:r>
                            <w:rPr>
                              <w:szCs w:val="24"/>
                            </w:rPr>
                            <w:t>Rodiklio pavadinimas</w:t>
                          </w:r>
                        </w:p>
                      </w:tc>
                      <w:tc>
                        <w:tcPr>
                          <w:tcW w:w="2410" w:type="dxa"/>
                          <w:shd w:val="clear" w:color="auto" w:fill="auto"/>
                          <w:vAlign w:val="center"/>
                        </w:tcPr>
                        <w:p w:rsidR="000162DB" w:rsidRDefault="002F74AA">
                          <w:pPr>
                            <w:overflowPunct w:val="0"/>
                            <w:jc w:val="center"/>
                            <w:textAlignment w:val="baseline"/>
                            <w:rPr>
                              <w:szCs w:val="24"/>
                            </w:rPr>
                          </w:pPr>
                          <w:r>
                            <w:rPr>
                              <w:szCs w:val="24"/>
                            </w:rPr>
                            <w:t>Rodiklio kodas</w:t>
                          </w:r>
                        </w:p>
                      </w:tc>
                      <w:tc>
                        <w:tcPr>
                          <w:tcW w:w="2126" w:type="dxa"/>
                          <w:shd w:val="clear" w:color="auto" w:fill="auto"/>
                          <w:vAlign w:val="center"/>
                        </w:tcPr>
                        <w:p w:rsidR="000162DB" w:rsidRDefault="002F74AA">
                          <w:pPr>
                            <w:overflowPunct w:val="0"/>
                            <w:jc w:val="center"/>
                            <w:textAlignment w:val="baseline"/>
                            <w:rPr>
                              <w:szCs w:val="24"/>
                            </w:rPr>
                          </w:pPr>
                          <w:r>
                            <w:rPr>
                              <w:szCs w:val="24"/>
                            </w:rPr>
                            <w:t>Matavimo vienetai</w:t>
                          </w:r>
                        </w:p>
                      </w:tc>
                      <w:tc>
                        <w:tcPr>
                          <w:tcW w:w="1701" w:type="dxa"/>
                          <w:shd w:val="clear" w:color="auto" w:fill="auto"/>
                          <w:vAlign w:val="center"/>
                        </w:tcPr>
                        <w:p w:rsidR="000162DB" w:rsidRDefault="002F74AA">
                          <w:pPr>
                            <w:overflowPunct w:val="0"/>
                            <w:jc w:val="center"/>
                            <w:textAlignment w:val="baseline"/>
                            <w:rPr>
                              <w:szCs w:val="24"/>
                            </w:rPr>
                          </w:pPr>
                          <w:r>
                            <w:rPr>
                              <w:szCs w:val="24"/>
                            </w:rPr>
                            <w:t xml:space="preserve">Siektina reikšmė </w:t>
                          </w:r>
                        </w:p>
                      </w:tc>
                    </w:tr>
                    <w:tr w:rsidR="000162DB">
                      <w:trPr>
                        <w:trHeight w:val="416"/>
                      </w:trPr>
                      <w:tc>
                        <w:tcPr>
                          <w:tcW w:w="2709" w:type="dxa"/>
                          <w:vAlign w:val="center"/>
                        </w:tcPr>
                        <w:p w:rsidR="000162DB" w:rsidRDefault="002F74AA">
                          <w:pPr>
                            <w:overflowPunct w:val="0"/>
                            <w:jc w:val="center"/>
                            <w:textAlignment w:val="baseline"/>
                            <w:rPr>
                              <w:szCs w:val="24"/>
                            </w:rPr>
                          </w:pPr>
                          <w:r>
                            <w:rPr>
                              <w:szCs w:val="24"/>
                            </w:rPr>
                            <w:t>Asmenų, kurie dalyvavę mokymuose įgijo kompetenciją, dalis</w:t>
                          </w:r>
                        </w:p>
                      </w:tc>
                      <w:tc>
                        <w:tcPr>
                          <w:tcW w:w="2410" w:type="dxa"/>
                          <w:shd w:val="clear" w:color="auto" w:fill="auto"/>
                          <w:vAlign w:val="center"/>
                        </w:tcPr>
                        <w:p w:rsidR="000162DB" w:rsidRDefault="002F74AA">
                          <w:pPr>
                            <w:overflowPunct w:val="0"/>
                            <w:jc w:val="center"/>
                            <w:textAlignment w:val="baseline"/>
                            <w:rPr>
                              <w:szCs w:val="24"/>
                            </w:rPr>
                          </w:pPr>
                          <w:r>
                            <w:rPr>
                              <w:szCs w:val="24"/>
                            </w:rPr>
                            <w:t>R-12-003-03-01-04-09</w:t>
                          </w:r>
                        </w:p>
                        <w:p w:rsidR="000162DB" w:rsidRDefault="002F74AA">
                          <w:pPr>
                            <w:overflowPunct w:val="0"/>
                            <w:jc w:val="center"/>
                            <w:textAlignment w:val="baseline"/>
                            <w:rPr>
                              <w:szCs w:val="24"/>
                            </w:rPr>
                          </w:pPr>
                          <w:r>
                            <w:rPr>
                              <w:color w:val="000000"/>
                              <w:szCs w:val="24"/>
                              <w:lang w:eastAsia="lt-LT"/>
                            </w:rPr>
                            <w:t>R.S.2.3512</w:t>
                          </w:r>
                        </w:p>
                      </w:tc>
                      <w:tc>
                        <w:tcPr>
                          <w:tcW w:w="2126" w:type="dxa"/>
                          <w:vAlign w:val="center"/>
                        </w:tcPr>
                        <w:p w:rsidR="000162DB" w:rsidRDefault="002F74AA">
                          <w:pPr>
                            <w:overflowPunct w:val="0"/>
                            <w:jc w:val="center"/>
                            <w:textAlignment w:val="baseline"/>
                            <w:rPr>
                              <w:szCs w:val="24"/>
                            </w:rPr>
                          </w:pPr>
                          <w:r>
                            <w:rPr>
                              <w:szCs w:val="24"/>
                            </w:rPr>
                            <w:t>Procentas</w:t>
                          </w:r>
                        </w:p>
                      </w:tc>
                      <w:tc>
                        <w:tcPr>
                          <w:tcW w:w="1701" w:type="dxa"/>
                          <w:vAlign w:val="center"/>
                        </w:tcPr>
                        <w:p w:rsidR="000162DB" w:rsidRDefault="002F74AA">
                          <w:pPr>
                            <w:overflowPunct w:val="0"/>
                            <w:jc w:val="center"/>
                            <w:textAlignment w:val="baseline"/>
                            <w:rPr>
                              <w:szCs w:val="24"/>
                            </w:rPr>
                          </w:pPr>
                          <w:r>
                            <w:rPr>
                              <w:szCs w:val="24"/>
                            </w:rPr>
                            <w:t>80</w:t>
                          </w:r>
                        </w:p>
                      </w:tc>
                    </w:tr>
                    <w:tr w:rsidR="000162DB">
                      <w:trPr>
                        <w:trHeight w:val="416"/>
                      </w:trPr>
                      <w:tc>
                        <w:tcPr>
                          <w:tcW w:w="2709" w:type="dxa"/>
                          <w:vAlign w:val="center"/>
                        </w:tcPr>
                        <w:p w:rsidR="000162DB" w:rsidRDefault="002F74AA">
                          <w:pPr>
                            <w:overflowPunct w:val="0"/>
                            <w:jc w:val="center"/>
                            <w:textAlignment w:val="baseline"/>
                            <w:rPr>
                              <w:szCs w:val="24"/>
                            </w:rPr>
                          </w:pPr>
                          <w:r>
                            <w:rPr>
                              <w:szCs w:val="24"/>
                            </w:rPr>
                            <w:t>Asmenys, turintys tretinį (ISCED 5–8 kodai) išsilavinimą</w:t>
                          </w:r>
                        </w:p>
                      </w:tc>
                      <w:tc>
                        <w:tcPr>
                          <w:tcW w:w="2410" w:type="dxa"/>
                          <w:shd w:val="clear" w:color="auto" w:fill="auto"/>
                          <w:vAlign w:val="center"/>
                        </w:tcPr>
                        <w:p w:rsidR="000162DB" w:rsidRDefault="002F74AA">
                          <w:pPr>
                            <w:overflowPunct w:val="0"/>
                            <w:jc w:val="center"/>
                            <w:textAlignment w:val="baseline"/>
                            <w:rPr>
                              <w:szCs w:val="24"/>
                            </w:rPr>
                          </w:pPr>
                          <w:r>
                            <w:rPr>
                              <w:szCs w:val="24"/>
                            </w:rPr>
                            <w:t>P-12-003-03-01-04-06</w:t>
                          </w:r>
                        </w:p>
                        <w:p w:rsidR="000162DB" w:rsidRDefault="002F74AA">
                          <w:pPr>
                            <w:overflowPunct w:val="0"/>
                            <w:jc w:val="center"/>
                            <w:textAlignment w:val="baseline"/>
                            <w:rPr>
                              <w:szCs w:val="24"/>
                            </w:rPr>
                          </w:pPr>
                          <w:r>
                            <w:rPr>
                              <w:color w:val="000000"/>
                              <w:szCs w:val="24"/>
                              <w:lang w:eastAsia="lt-LT"/>
                            </w:rPr>
                            <w:t>P.B.2.0511</w:t>
                          </w:r>
                        </w:p>
                      </w:tc>
                      <w:tc>
                        <w:tcPr>
                          <w:tcW w:w="2126" w:type="dxa"/>
                          <w:vAlign w:val="center"/>
                        </w:tcPr>
                        <w:p w:rsidR="000162DB" w:rsidRDefault="002F74AA">
                          <w:pPr>
                            <w:overflowPunct w:val="0"/>
                            <w:jc w:val="center"/>
                            <w:textAlignment w:val="baseline"/>
                            <w:rPr>
                              <w:szCs w:val="24"/>
                            </w:rPr>
                          </w:pPr>
                          <w:r>
                            <w:rPr>
                              <w:szCs w:val="24"/>
                            </w:rPr>
                            <w:t>Asmenys</w:t>
                          </w:r>
                        </w:p>
                      </w:tc>
                      <w:tc>
                        <w:tcPr>
                          <w:tcW w:w="1701" w:type="dxa"/>
                          <w:vAlign w:val="center"/>
                        </w:tcPr>
                        <w:p w:rsidR="000162DB" w:rsidRDefault="002F74AA">
                          <w:pPr>
                            <w:overflowPunct w:val="0"/>
                            <w:jc w:val="center"/>
                            <w:textAlignment w:val="baseline"/>
                            <w:rPr>
                              <w:szCs w:val="24"/>
                            </w:rPr>
                          </w:pPr>
                          <w:r>
                            <w:rPr>
                              <w:szCs w:val="24"/>
                            </w:rPr>
                            <w:t>15</w:t>
                          </w:r>
                        </w:p>
                      </w:tc>
                    </w:tr>
                  </w:tbl>
                  <w:p w:rsidR="000162DB" w:rsidRDefault="000162DB">
                    <w:pPr>
                      <w:overflowPunct w:val="0"/>
                      <w:ind w:firstLine="1253"/>
                      <w:textAlignment w:val="baseline"/>
                      <w:rPr>
                        <w:szCs w:val="24"/>
                      </w:rPr>
                    </w:pPr>
                  </w:p>
                  <w:p w:rsidR="000162DB" w:rsidRDefault="000162DB">
                    <w:pPr>
                      <w:rPr>
                        <w:sz w:val="2"/>
                        <w:szCs w:val="2"/>
                      </w:rPr>
                    </w:pPr>
                  </w:p>
                  <w:tbl>
                    <w:tblPr>
                      <w:tblW w:w="8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9"/>
                      <w:gridCol w:w="2410"/>
                      <w:gridCol w:w="2126"/>
                      <w:gridCol w:w="1701"/>
                    </w:tblGrid>
                    <w:tr w:rsidR="000162DB">
                      <w:trPr>
                        <w:trHeight w:val="405"/>
                      </w:trPr>
                      <w:tc>
                        <w:tcPr>
                          <w:tcW w:w="8946" w:type="dxa"/>
                          <w:gridSpan w:val="4"/>
                          <w:shd w:val="clear" w:color="auto" w:fill="auto"/>
                          <w:vAlign w:val="center"/>
                        </w:tcPr>
                        <w:p w:rsidR="000162DB" w:rsidRDefault="002F74AA">
                          <w:pPr>
                            <w:overflowPunct w:val="0"/>
                            <w:jc w:val="center"/>
                            <w:textAlignment w:val="baseline"/>
                            <w:rPr>
                              <w:szCs w:val="24"/>
                            </w:rPr>
                          </w:pPr>
                          <w:r>
                            <w:rPr>
                              <w:b/>
                              <w:bCs/>
                              <w:szCs w:val="24"/>
                            </w:rPr>
                            <w:t>2 kvietimo siekiami rodikliai</w:t>
                          </w:r>
                        </w:p>
                      </w:tc>
                    </w:tr>
                    <w:tr w:rsidR="000162DB">
                      <w:trPr>
                        <w:trHeight w:val="405"/>
                      </w:trPr>
                      <w:tc>
                        <w:tcPr>
                          <w:tcW w:w="2709" w:type="dxa"/>
                          <w:shd w:val="clear" w:color="auto" w:fill="auto"/>
                          <w:vAlign w:val="center"/>
                        </w:tcPr>
                        <w:p w:rsidR="000162DB" w:rsidRDefault="002F74AA">
                          <w:pPr>
                            <w:overflowPunct w:val="0"/>
                            <w:jc w:val="center"/>
                            <w:textAlignment w:val="baseline"/>
                            <w:rPr>
                              <w:szCs w:val="24"/>
                            </w:rPr>
                          </w:pPr>
                          <w:r>
                            <w:rPr>
                              <w:szCs w:val="24"/>
                            </w:rPr>
                            <w:t>Rodiklio pavadinimas</w:t>
                          </w:r>
                        </w:p>
                      </w:tc>
                      <w:tc>
                        <w:tcPr>
                          <w:tcW w:w="2410" w:type="dxa"/>
                          <w:shd w:val="clear" w:color="auto" w:fill="auto"/>
                          <w:vAlign w:val="center"/>
                        </w:tcPr>
                        <w:p w:rsidR="000162DB" w:rsidRDefault="002F74AA">
                          <w:pPr>
                            <w:overflowPunct w:val="0"/>
                            <w:jc w:val="center"/>
                            <w:textAlignment w:val="baseline"/>
                            <w:rPr>
                              <w:szCs w:val="24"/>
                            </w:rPr>
                          </w:pPr>
                          <w:r>
                            <w:rPr>
                              <w:szCs w:val="24"/>
                            </w:rPr>
                            <w:t>Rodiklio kodas</w:t>
                          </w:r>
                        </w:p>
                      </w:tc>
                      <w:tc>
                        <w:tcPr>
                          <w:tcW w:w="2126" w:type="dxa"/>
                          <w:shd w:val="clear" w:color="auto" w:fill="auto"/>
                          <w:vAlign w:val="center"/>
                        </w:tcPr>
                        <w:p w:rsidR="000162DB" w:rsidRDefault="002F74AA">
                          <w:pPr>
                            <w:overflowPunct w:val="0"/>
                            <w:jc w:val="center"/>
                            <w:textAlignment w:val="baseline"/>
                            <w:rPr>
                              <w:szCs w:val="24"/>
                            </w:rPr>
                          </w:pPr>
                          <w:r>
                            <w:rPr>
                              <w:szCs w:val="24"/>
                            </w:rPr>
                            <w:t>Matavimo vienetai</w:t>
                          </w:r>
                        </w:p>
                      </w:tc>
                      <w:tc>
                        <w:tcPr>
                          <w:tcW w:w="1701" w:type="dxa"/>
                          <w:shd w:val="clear" w:color="auto" w:fill="auto"/>
                          <w:vAlign w:val="center"/>
                        </w:tcPr>
                        <w:p w:rsidR="000162DB" w:rsidRDefault="002F74AA">
                          <w:pPr>
                            <w:overflowPunct w:val="0"/>
                            <w:jc w:val="center"/>
                            <w:textAlignment w:val="baseline"/>
                            <w:rPr>
                              <w:szCs w:val="24"/>
                            </w:rPr>
                          </w:pPr>
                          <w:r>
                            <w:rPr>
                              <w:szCs w:val="24"/>
                            </w:rPr>
                            <w:t xml:space="preserve">Siektina reikšmė </w:t>
                          </w:r>
                        </w:p>
                      </w:tc>
                    </w:tr>
                    <w:tr w:rsidR="000162DB">
                      <w:trPr>
                        <w:trHeight w:val="405"/>
                      </w:trPr>
                      <w:tc>
                        <w:tcPr>
                          <w:tcW w:w="2709" w:type="dxa"/>
                          <w:shd w:val="clear" w:color="auto" w:fill="auto"/>
                          <w:vAlign w:val="center"/>
                        </w:tcPr>
                        <w:p w:rsidR="000162DB" w:rsidRDefault="002F74AA">
                          <w:pPr>
                            <w:overflowPunct w:val="0"/>
                            <w:jc w:val="center"/>
                            <w:textAlignment w:val="baseline"/>
                            <w:rPr>
                              <w:szCs w:val="24"/>
                            </w:rPr>
                          </w:pPr>
                          <w:r>
                            <w:rPr>
                              <w:szCs w:val="24"/>
                            </w:rPr>
                            <w:t>Asmenų, kurie dalyvavę mokymuose įgijo kompetenciją, dalis</w:t>
                          </w:r>
                        </w:p>
                      </w:tc>
                      <w:tc>
                        <w:tcPr>
                          <w:tcW w:w="2410" w:type="dxa"/>
                          <w:shd w:val="clear" w:color="auto" w:fill="auto"/>
                          <w:vAlign w:val="center"/>
                        </w:tcPr>
                        <w:p w:rsidR="000162DB" w:rsidRDefault="002F74AA">
                          <w:pPr>
                            <w:overflowPunct w:val="0"/>
                            <w:jc w:val="center"/>
                            <w:textAlignment w:val="baseline"/>
                            <w:rPr>
                              <w:szCs w:val="24"/>
                            </w:rPr>
                          </w:pPr>
                          <w:r>
                            <w:rPr>
                              <w:szCs w:val="24"/>
                            </w:rPr>
                            <w:t>R-12-003-03-01-04-09</w:t>
                          </w:r>
                        </w:p>
                        <w:p w:rsidR="000162DB" w:rsidRDefault="002F74AA">
                          <w:pPr>
                            <w:overflowPunct w:val="0"/>
                            <w:jc w:val="center"/>
                            <w:textAlignment w:val="baseline"/>
                            <w:rPr>
                              <w:szCs w:val="24"/>
                            </w:rPr>
                          </w:pPr>
                          <w:r>
                            <w:rPr>
                              <w:color w:val="000000"/>
                              <w:szCs w:val="24"/>
                              <w:lang w:eastAsia="lt-LT"/>
                            </w:rPr>
                            <w:t>R.S.2.3512</w:t>
                          </w:r>
                        </w:p>
                      </w:tc>
                      <w:tc>
                        <w:tcPr>
                          <w:tcW w:w="2126" w:type="dxa"/>
                          <w:shd w:val="clear" w:color="auto" w:fill="auto"/>
                          <w:vAlign w:val="center"/>
                        </w:tcPr>
                        <w:p w:rsidR="000162DB" w:rsidRDefault="002F74AA">
                          <w:pPr>
                            <w:overflowPunct w:val="0"/>
                            <w:jc w:val="center"/>
                            <w:textAlignment w:val="baseline"/>
                            <w:rPr>
                              <w:szCs w:val="24"/>
                            </w:rPr>
                          </w:pPr>
                          <w:r>
                            <w:rPr>
                              <w:szCs w:val="24"/>
                            </w:rPr>
                            <w:t>Procentas</w:t>
                          </w:r>
                        </w:p>
                      </w:tc>
                      <w:tc>
                        <w:tcPr>
                          <w:tcW w:w="1701" w:type="dxa"/>
                          <w:shd w:val="clear" w:color="auto" w:fill="auto"/>
                          <w:vAlign w:val="center"/>
                        </w:tcPr>
                        <w:p w:rsidR="000162DB" w:rsidRDefault="002F74AA">
                          <w:pPr>
                            <w:overflowPunct w:val="0"/>
                            <w:jc w:val="center"/>
                            <w:textAlignment w:val="baseline"/>
                            <w:rPr>
                              <w:szCs w:val="24"/>
                            </w:rPr>
                          </w:pPr>
                          <w:r>
                            <w:rPr>
                              <w:szCs w:val="24"/>
                            </w:rPr>
                            <w:t>80</w:t>
                          </w:r>
                        </w:p>
                      </w:tc>
                    </w:tr>
                    <w:tr w:rsidR="000162DB">
                      <w:trPr>
                        <w:trHeight w:val="416"/>
                      </w:trPr>
                      <w:tc>
                        <w:tcPr>
                          <w:tcW w:w="2709" w:type="dxa"/>
                          <w:vAlign w:val="center"/>
                        </w:tcPr>
                        <w:p w:rsidR="000162DB" w:rsidRDefault="002F74AA">
                          <w:pPr>
                            <w:overflowPunct w:val="0"/>
                            <w:jc w:val="center"/>
                            <w:textAlignment w:val="baseline"/>
                            <w:rPr>
                              <w:szCs w:val="24"/>
                            </w:rPr>
                          </w:pPr>
                          <w:r>
                            <w:rPr>
                              <w:szCs w:val="24"/>
                            </w:rPr>
                            <w:t>Asmenys, turintys tretinį (ISCED 5–8 kodai) išsilavinimą</w:t>
                          </w:r>
                        </w:p>
                      </w:tc>
                      <w:tc>
                        <w:tcPr>
                          <w:tcW w:w="2410" w:type="dxa"/>
                          <w:shd w:val="clear" w:color="auto" w:fill="auto"/>
                          <w:vAlign w:val="center"/>
                        </w:tcPr>
                        <w:p w:rsidR="000162DB" w:rsidRDefault="002F74AA">
                          <w:pPr>
                            <w:overflowPunct w:val="0"/>
                            <w:jc w:val="center"/>
                            <w:textAlignment w:val="baseline"/>
                            <w:rPr>
                              <w:szCs w:val="24"/>
                            </w:rPr>
                          </w:pPr>
                          <w:r>
                            <w:rPr>
                              <w:szCs w:val="24"/>
                            </w:rPr>
                            <w:t>P-12-003-03-01-04-06</w:t>
                          </w:r>
                        </w:p>
                        <w:p w:rsidR="000162DB" w:rsidRDefault="002F74AA">
                          <w:pPr>
                            <w:overflowPunct w:val="0"/>
                            <w:jc w:val="center"/>
                            <w:textAlignment w:val="baseline"/>
                            <w:rPr>
                              <w:szCs w:val="24"/>
                            </w:rPr>
                          </w:pPr>
                          <w:r>
                            <w:rPr>
                              <w:color w:val="000000"/>
                              <w:szCs w:val="24"/>
                              <w:lang w:eastAsia="lt-LT"/>
                            </w:rPr>
                            <w:t>P.B.2.0511</w:t>
                          </w:r>
                        </w:p>
                      </w:tc>
                      <w:tc>
                        <w:tcPr>
                          <w:tcW w:w="2126" w:type="dxa"/>
                          <w:vAlign w:val="center"/>
                        </w:tcPr>
                        <w:p w:rsidR="000162DB" w:rsidRDefault="002F74AA">
                          <w:pPr>
                            <w:overflowPunct w:val="0"/>
                            <w:jc w:val="center"/>
                            <w:textAlignment w:val="baseline"/>
                            <w:rPr>
                              <w:szCs w:val="24"/>
                            </w:rPr>
                          </w:pPr>
                          <w:r>
                            <w:rPr>
                              <w:szCs w:val="24"/>
                            </w:rPr>
                            <w:t>Asmenys</w:t>
                          </w:r>
                        </w:p>
                      </w:tc>
                      <w:tc>
                        <w:tcPr>
                          <w:tcW w:w="1701" w:type="dxa"/>
                          <w:vAlign w:val="center"/>
                        </w:tcPr>
                        <w:p w:rsidR="000162DB" w:rsidRDefault="002F74AA">
                          <w:pPr>
                            <w:overflowPunct w:val="0"/>
                            <w:jc w:val="center"/>
                            <w:textAlignment w:val="baseline"/>
                            <w:rPr>
                              <w:szCs w:val="24"/>
                            </w:rPr>
                          </w:pPr>
                          <w:r>
                            <w:rPr>
                              <w:szCs w:val="24"/>
                            </w:rPr>
                            <w:t>1 355</w:t>
                          </w:r>
                        </w:p>
                      </w:tc>
                    </w:tr>
                  </w:tbl>
                  <w:p w:rsidR="000162DB" w:rsidRDefault="000162DB">
                    <w:pPr>
                      <w:overflowPunct w:val="0"/>
                      <w:ind w:firstLine="1253"/>
                      <w:textAlignment w:val="baseline"/>
                      <w:rPr>
                        <w:szCs w:val="24"/>
                      </w:rPr>
                    </w:pPr>
                  </w:p>
                  <w:p w:rsidR="000162DB" w:rsidRDefault="000162DB">
                    <w:pPr>
                      <w:rPr>
                        <w:sz w:val="2"/>
                        <w:szCs w:val="2"/>
                      </w:rPr>
                    </w:pPr>
                  </w:p>
                  <w:p w:rsidR="000162DB" w:rsidRDefault="002F74AA">
                    <w:pPr>
                      <w:overflowPunct w:val="0"/>
                      <w:jc w:val="both"/>
                      <w:textAlignment w:val="baseline"/>
                      <w:rPr>
                        <w:szCs w:val="24"/>
                      </w:rPr>
                    </w:pPr>
                    <w:r>
                      <w:rPr>
                        <w:szCs w:val="24"/>
                      </w:rPr>
                      <w:t xml:space="preserve">2.9. </w:t>
                    </w:r>
                    <w:r>
                      <w:rPr>
                        <w:iCs/>
                        <w:szCs w:val="24"/>
                      </w:rPr>
                      <w:t xml:space="preserve">Pagal Aprašą įgyvendinamos projektų veiklos priskiriamos vienam iš regionų, nepriklausomai nuo to, kurio regiono tikslinei grupei skirta projektų veikla. Įgyvendinant Aprašo 2.1.1  ir  2.1.2  papunkčiuose nurodytas </w:t>
                    </w:r>
                    <w:proofErr w:type="spellStart"/>
                    <w:r>
                      <w:rPr>
                        <w:iCs/>
                        <w:szCs w:val="24"/>
                      </w:rPr>
                      <w:t>poveikles</w:t>
                    </w:r>
                    <w:proofErr w:type="spellEnd"/>
                    <w:r>
                      <w:rPr>
                        <w:iCs/>
                        <w:szCs w:val="24"/>
                      </w:rPr>
                      <w:t>, jose gali dalyvauti tikslinės grupės asmenys iš visos Lietuvos.</w:t>
                    </w:r>
                  </w:p>
                  <w:p w:rsidR="000162DB" w:rsidRDefault="000162DB">
                    <w:pPr>
                      <w:rPr>
                        <w:sz w:val="2"/>
                        <w:szCs w:val="2"/>
                      </w:rPr>
                    </w:pPr>
                  </w:p>
                  <w:p w:rsidR="000162DB" w:rsidRDefault="002F74AA">
                    <w:pPr>
                      <w:overflowPunct w:val="0"/>
                      <w:jc w:val="both"/>
                      <w:textAlignment w:val="baseline"/>
                      <w:rPr>
                        <w:szCs w:val="24"/>
                      </w:rPr>
                    </w:pPr>
                    <w:r>
                      <w:rPr>
                        <w:szCs w:val="24"/>
                      </w:rPr>
                      <w:t xml:space="preserve">2.10. </w:t>
                    </w:r>
                    <w:r>
                      <w:rPr>
                        <w:iCs/>
                        <w:szCs w:val="24"/>
                      </w:rPr>
                      <w:t xml:space="preserve">Taikant Reglamento (ES) 63 straipsnio 3 dalies nuostatą dėl ESF+ projektų, tinkama tikslinė grupė ar jos dalis ir </w:t>
                    </w:r>
                    <w:r>
                      <w:rPr>
                        <w:szCs w:val="24"/>
                      </w:rPr>
                      <w:t>su veiksmais susijusios išlaidos,</w:t>
                    </w:r>
                    <w:r>
                      <w:rPr>
                        <w:iCs/>
                        <w:szCs w:val="24"/>
                      </w:rPr>
                      <w:t xml:space="preserve"> esant pagrįstam poreikiui, gali būti priskiriamos vienam iš regionų, neatsižvelgiant į tai, kuriame regione asmenys gyvena ar dirba, su sąlyga, kad veiksmas padeda siekti konkrečių programos tikslų.</w:t>
                    </w:r>
                  </w:p>
                  <w:p w:rsidR="000162DB" w:rsidRDefault="000162DB">
                    <w:pPr>
                      <w:rPr>
                        <w:sz w:val="2"/>
                        <w:szCs w:val="2"/>
                      </w:rPr>
                    </w:pPr>
                  </w:p>
                  <w:p w:rsidR="000162DB" w:rsidRDefault="002F74AA">
                    <w:pPr>
                      <w:overflowPunct w:val="0"/>
                      <w:jc w:val="both"/>
                      <w:textAlignment w:val="baseline"/>
                      <w:rPr>
                        <w:iCs/>
                        <w:szCs w:val="24"/>
                      </w:rPr>
                    </w:pPr>
                    <w:r>
                      <w:rPr>
                        <w:szCs w:val="24"/>
                      </w:rPr>
                      <w:t xml:space="preserve">2.11. </w:t>
                    </w:r>
                    <w:r>
                      <w:rPr>
                        <w:iCs/>
                        <w:szCs w:val="24"/>
                      </w:rPr>
                      <w:t xml:space="preserve">Projektai gali būti įgyvendinami Sostinės regione ir Vidurio ir vakarų Lietuvos regione. Prireikus dalis veiklų gali būti įgyvendinamos Europos Sąjungos, Europos ekonominės erdvės šalių ir Jungtinės Didžiosios Britanijos ir Šiaurės Airijos Karalystės teritorijoje. </w:t>
                    </w:r>
                  </w:p>
                  <w:p w:rsidR="000162DB" w:rsidRDefault="000162DB">
                    <w:pPr>
                      <w:rPr>
                        <w:sz w:val="2"/>
                        <w:szCs w:val="2"/>
                      </w:rPr>
                    </w:pPr>
                  </w:p>
                  <w:p w:rsidR="000162DB" w:rsidRDefault="002F74AA">
                    <w:pPr>
                      <w:overflowPunct w:val="0"/>
                      <w:jc w:val="both"/>
                      <w:textAlignment w:val="baseline"/>
                      <w:rPr>
                        <w:szCs w:val="24"/>
                      </w:rPr>
                    </w:pPr>
                    <w:r>
                      <w:rPr>
                        <w:szCs w:val="24"/>
                      </w:rPr>
                      <w:t>2.12. Projektai turi atitikti projektų bendruosius atrankos kriterijus, nustatytus Strateginio valdymo metodikos 36 punkte ir PAFT 2 priede.</w:t>
                    </w:r>
                  </w:p>
                  <w:p w:rsidR="000162DB" w:rsidRDefault="000162DB">
                    <w:pPr>
                      <w:rPr>
                        <w:sz w:val="2"/>
                        <w:szCs w:val="2"/>
                      </w:rPr>
                    </w:pPr>
                  </w:p>
                  <w:p w:rsidR="000162DB" w:rsidRDefault="002F74AA">
                    <w:pPr>
                      <w:overflowPunct w:val="0"/>
                      <w:jc w:val="both"/>
                      <w:textAlignment w:val="baseline"/>
                      <w:rPr>
                        <w:szCs w:val="24"/>
                      </w:rPr>
                    </w:pPr>
                    <w:r>
                      <w:rPr>
                        <w:szCs w:val="24"/>
                      </w:rPr>
                      <w:lastRenderedPageBreak/>
                      <w:t>2.13. Projektų veiklos turi būti įgyvendintos per 36 mėnesius nuo projekto sutarties įsigaliojimo. Pirmojo kvietimo projekto veiklos turi būti įgyvendintos per 12 mėn. Antrojo kvietimo projekto veiklos turi būti įgyvendintos per 24 mėn. Prireikus projekto veiklos gali būti pratęstos pagrįstam laikotarpiui, bet ne vėliau kaip iki 2029 m. rugpjūčio 31 d.</w:t>
                    </w:r>
                  </w:p>
                  <w:p w:rsidR="000162DB" w:rsidRDefault="000162DB">
                    <w:pPr>
                      <w:rPr>
                        <w:sz w:val="2"/>
                        <w:szCs w:val="2"/>
                      </w:rPr>
                    </w:pPr>
                  </w:p>
                  <w:p w:rsidR="000162DB" w:rsidRDefault="002F74AA">
                    <w:pPr>
                      <w:overflowPunct w:val="0"/>
                      <w:jc w:val="both"/>
                      <w:textAlignment w:val="baseline"/>
                      <w:rPr>
                        <w:b/>
                        <w:bCs/>
                        <w:szCs w:val="24"/>
                      </w:rPr>
                    </w:pPr>
                    <w:r>
                      <w:rPr>
                        <w:szCs w:val="24"/>
                      </w:rPr>
                      <w:t>2.14. Projektų matomumo ir informavimo apie projektą veiksmai atliekami vadovaujantis PAFT VIII skyriaus pirmojo skirsnio nuostatomis.</w:t>
                    </w:r>
                  </w:p>
                  <w:p w:rsidR="000162DB" w:rsidRDefault="000162DB">
                    <w:pPr>
                      <w:rPr>
                        <w:sz w:val="2"/>
                        <w:szCs w:val="2"/>
                      </w:rPr>
                    </w:pPr>
                  </w:p>
                  <w:p w:rsidR="000162DB" w:rsidRDefault="002F74AA">
                    <w:pPr>
                      <w:overflowPunct w:val="0"/>
                      <w:jc w:val="both"/>
                      <w:textAlignment w:val="baseline"/>
                      <w:rPr>
                        <w:szCs w:val="24"/>
                      </w:rPr>
                    </w:pPr>
                    <w:r>
                      <w:rPr>
                        <w:szCs w:val="24"/>
                      </w:rPr>
                      <w:t xml:space="preserve">2.15. Kartu su PĮP turi būti pateikta: </w:t>
                    </w:r>
                  </w:p>
                  <w:p w:rsidR="000162DB" w:rsidRDefault="000162DB">
                    <w:pPr>
                      <w:rPr>
                        <w:sz w:val="2"/>
                        <w:szCs w:val="2"/>
                      </w:rPr>
                    </w:pPr>
                  </w:p>
                  <w:p w:rsidR="000162DB" w:rsidRDefault="002F74AA">
                    <w:pPr>
                      <w:overflowPunct w:val="0"/>
                      <w:jc w:val="both"/>
                      <w:textAlignment w:val="baseline"/>
                      <w:rPr>
                        <w:szCs w:val="24"/>
                      </w:rPr>
                    </w:pPr>
                    <w:r>
                      <w:rPr>
                        <w:szCs w:val="24"/>
                      </w:rPr>
                      <w:t xml:space="preserve">2.15.1. partnerių deklaracijos pagal PAFT 1 priedo 1 priedą; </w:t>
                    </w:r>
                  </w:p>
                  <w:p w:rsidR="000162DB" w:rsidRDefault="000162DB">
                    <w:pPr>
                      <w:rPr>
                        <w:sz w:val="2"/>
                        <w:szCs w:val="2"/>
                      </w:rPr>
                    </w:pPr>
                  </w:p>
                  <w:p w:rsidR="000162DB" w:rsidRDefault="002F74AA">
                    <w:pPr>
                      <w:overflowPunct w:val="0"/>
                      <w:jc w:val="both"/>
                      <w:textAlignment w:val="baseline"/>
                      <w:rPr>
                        <w:szCs w:val="24"/>
                      </w:rPr>
                    </w:pPr>
                    <w:r>
                      <w:rPr>
                        <w:szCs w:val="24"/>
                      </w:rPr>
                      <w:t>2.15.2. informacija apie projektų biudžeto paskirstymą pagal pareiškėjus ir partnerius pagal PAFT 1 priedo 2 priedą;</w:t>
                    </w:r>
                  </w:p>
                  <w:p w:rsidR="000162DB" w:rsidRDefault="000162DB">
                    <w:pPr>
                      <w:rPr>
                        <w:sz w:val="2"/>
                        <w:szCs w:val="2"/>
                      </w:rPr>
                    </w:pPr>
                  </w:p>
                  <w:p w:rsidR="000162DB" w:rsidRDefault="002F74AA">
                    <w:pPr>
                      <w:overflowPunct w:val="0"/>
                      <w:jc w:val="both"/>
                      <w:textAlignment w:val="baseline"/>
                      <w:rPr>
                        <w:szCs w:val="24"/>
                      </w:rPr>
                    </w:pPr>
                    <w:r>
                      <w:rPr>
                        <w:szCs w:val="24"/>
                      </w:rPr>
                      <w:t>2.15.3. dokumentai, pagrindžiantys projektų išlaidų pagrįstumą (sudarytos sutartys, komerciniai siūlymai, nuorodos į rinkoje esančias kainas), išlaidų skaičiavimai;</w:t>
                    </w:r>
                  </w:p>
                  <w:p w:rsidR="000162DB" w:rsidRDefault="000162DB">
                    <w:pPr>
                      <w:rPr>
                        <w:sz w:val="2"/>
                        <w:szCs w:val="2"/>
                      </w:rPr>
                    </w:pPr>
                  </w:p>
                  <w:p w:rsidR="000162DB" w:rsidRDefault="002F74AA">
                    <w:pPr>
                      <w:overflowPunct w:val="0"/>
                      <w:jc w:val="both"/>
                      <w:textAlignment w:val="baseline"/>
                      <w:rPr>
                        <w:szCs w:val="24"/>
                      </w:rPr>
                    </w:pPr>
                    <w:r>
                      <w:rPr>
                        <w:szCs w:val="24"/>
                      </w:rPr>
                      <w:t>2.15.4. projektų atitiktį bendriesiems projektų atrankos kriterijams, nurodytiems PAFT 2 priede, patvirtinantys dokumentai.</w:t>
                    </w:r>
                    <w:r>
                      <w:rPr>
                        <w:szCs w:val="24"/>
                      </w:rPr>
                      <w:br w:type="column"/>
                      <w:t>“</w:t>
                    </w:r>
                  </w:p>
                </w:tc>
              </w:tr>
            </w:tbl>
            <w:p w:rsidR="000162DB" w:rsidRDefault="000162DB">
              <w:pPr>
                <w:overflowPunct w:val="0"/>
                <w:ind w:firstLine="1253"/>
                <w:jc w:val="both"/>
                <w:textAlignment w:val="baseline"/>
                <w:rPr>
                  <w:szCs w:val="24"/>
                </w:rPr>
              </w:pPr>
            </w:p>
            <w:p w:rsidR="000162DB" w:rsidRDefault="00BC1314">
              <w:pPr>
                <w:rPr>
                  <w:sz w:val="2"/>
                  <w:szCs w:val="2"/>
                </w:rPr>
              </w:pPr>
            </w:p>
          </w:sdtContent>
        </w:sdt>
        <w:sdt>
          <w:sdtPr>
            <w:alias w:val="2 p."/>
            <w:tag w:val="part_43a96add83864a048125ee08c98a32e4"/>
            <w:id w:val="471880036"/>
            <w:lock w:val="sdtLocked"/>
            <w:placeholder>
              <w:docPart w:val="DefaultPlaceholder_-1854013440"/>
            </w:placeholder>
          </w:sdtPr>
          <w:sdtEndPr>
            <w:rPr>
              <w:sz w:val="2"/>
              <w:szCs w:val="2"/>
            </w:rPr>
          </w:sdtEndPr>
          <w:sdtContent>
            <w:p w:rsidR="000162DB" w:rsidRDefault="00BC1314">
              <w:pPr>
                <w:tabs>
                  <w:tab w:val="left" w:pos="1134"/>
                </w:tabs>
                <w:overflowPunct w:val="0"/>
                <w:ind w:left="851"/>
                <w:jc w:val="both"/>
                <w:textAlignment w:val="baseline"/>
                <w:rPr>
                  <w:szCs w:val="24"/>
                </w:rPr>
              </w:pPr>
              <w:sdt>
                <w:sdtPr>
                  <w:alias w:val="Numeris"/>
                  <w:tag w:val="nr_43a96add83864a048125ee08c98a32e4"/>
                  <w:id w:val="583882661"/>
                  <w:lock w:val="sdtLocked"/>
                </w:sdtPr>
                <w:sdtEndPr/>
                <w:sdtContent>
                  <w:r w:rsidR="002F74AA">
                    <w:rPr>
                      <w:szCs w:val="24"/>
                    </w:rPr>
                    <w:t>2</w:t>
                  </w:r>
                </w:sdtContent>
              </w:sdt>
              <w:r w:rsidR="002F74AA">
                <w:rPr>
                  <w:szCs w:val="24"/>
                </w:rPr>
                <w:t>.</w:t>
              </w:r>
              <w:r w:rsidR="002F74AA">
                <w:rPr>
                  <w:szCs w:val="24"/>
                </w:rPr>
                <w:tab/>
                <w:t>Pakeičiu 4 punktą ir jį išdėstau taip:</w:t>
              </w:r>
            </w:p>
            <w:p w:rsidR="000162DB" w:rsidRDefault="000162DB">
              <w:pPr>
                <w:rPr>
                  <w:sz w:val="2"/>
                  <w:szCs w:val="2"/>
                </w:rPr>
              </w:pPr>
            </w:p>
            <w:tbl>
              <w:tblPr>
                <w:tblW w:w="9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3"/>
              </w:tblGrid>
              <w:tr w:rsidR="000162DB">
                <w:trPr>
                  <w:trHeight w:val="285"/>
                </w:trPr>
                <w:tc>
                  <w:tcPr>
                    <w:tcW w:w="9633" w:type="dxa"/>
                  </w:tcPr>
                  <w:p w:rsidR="000162DB" w:rsidRDefault="002F74AA">
                    <w:pPr>
                      <w:overflowPunct w:val="0"/>
                      <w:jc w:val="both"/>
                      <w:textAlignment w:val="baseline"/>
                      <w:rPr>
                        <w:b/>
                        <w:szCs w:val="24"/>
                      </w:rPr>
                    </w:pPr>
                    <w:r>
                      <w:rPr>
                        <w:bCs/>
                        <w:szCs w:val="24"/>
                      </w:rPr>
                      <w:t>„</w:t>
                    </w:r>
                    <w:r>
                      <w:rPr>
                        <w:b/>
                        <w:szCs w:val="24"/>
                      </w:rPr>
                      <w:t>4. Projekto tikslinės grupės</w:t>
                    </w:r>
                  </w:p>
                </w:tc>
              </w:tr>
              <w:tr w:rsidR="000162DB">
                <w:trPr>
                  <w:trHeight w:val="285"/>
                </w:trPr>
                <w:tc>
                  <w:tcPr>
                    <w:tcW w:w="9633" w:type="dxa"/>
                  </w:tcPr>
                  <w:p w:rsidR="000162DB" w:rsidRDefault="002F74AA">
                    <w:pPr>
                      <w:overflowPunct w:val="0"/>
                      <w:jc w:val="both"/>
                      <w:textAlignment w:val="baseline"/>
                      <w:rPr>
                        <w:szCs w:val="24"/>
                      </w:rPr>
                    </w:pPr>
                    <w:r>
                      <w:rPr>
                        <w:szCs w:val="24"/>
                      </w:rPr>
                      <w:t>Galima projektų tikslinė grupė – pedagogai, švietimo pagalbos specialistai, ikimokyklinio ir priešmokyklinio ugdymo programas įgyvendinančių įstaigų vadovai, viešojo administravimo institucijų specialistai.“</w:t>
                    </w:r>
                  </w:p>
                </w:tc>
              </w:tr>
            </w:tbl>
            <w:p w:rsidR="000162DB" w:rsidRDefault="000162DB">
              <w:pPr>
                <w:overflowPunct w:val="0"/>
                <w:ind w:firstLine="1253"/>
                <w:jc w:val="both"/>
                <w:textAlignment w:val="baseline"/>
                <w:rPr>
                  <w:szCs w:val="24"/>
                </w:rPr>
              </w:pPr>
            </w:p>
            <w:p w:rsidR="000162DB" w:rsidRDefault="00BC1314">
              <w:pPr>
                <w:rPr>
                  <w:sz w:val="2"/>
                  <w:szCs w:val="2"/>
                </w:rPr>
              </w:pPr>
            </w:p>
          </w:sdtContent>
        </w:sdt>
        <w:sdt>
          <w:sdtPr>
            <w:alias w:val="3 p."/>
            <w:tag w:val="part_bef95f5ad02f47cfbbbf33b309bbb7a4"/>
            <w:id w:val="-1577582271"/>
            <w:lock w:val="sdtLocked"/>
            <w:placeholder>
              <w:docPart w:val="DefaultPlaceholder_-1854013440"/>
            </w:placeholder>
          </w:sdtPr>
          <w:sdtEndPr>
            <w:rPr>
              <w:sz w:val="2"/>
              <w:szCs w:val="2"/>
            </w:rPr>
          </w:sdtEndPr>
          <w:sdtContent>
            <w:p w:rsidR="000162DB" w:rsidRDefault="00BC1314">
              <w:pPr>
                <w:tabs>
                  <w:tab w:val="left" w:pos="1134"/>
                </w:tabs>
                <w:overflowPunct w:val="0"/>
                <w:ind w:left="720" w:firstLine="131"/>
                <w:jc w:val="both"/>
                <w:textAlignment w:val="baseline"/>
                <w:rPr>
                  <w:szCs w:val="24"/>
                </w:rPr>
              </w:pPr>
              <w:sdt>
                <w:sdtPr>
                  <w:alias w:val="Numeris"/>
                  <w:tag w:val="nr_bef95f5ad02f47cfbbbf33b309bbb7a4"/>
                  <w:id w:val="860318286"/>
                  <w:lock w:val="sdtLocked"/>
                </w:sdtPr>
                <w:sdtEndPr/>
                <w:sdtContent>
                  <w:r w:rsidR="002F74AA">
                    <w:rPr>
                      <w:szCs w:val="24"/>
                    </w:rPr>
                    <w:t>3</w:t>
                  </w:r>
                </w:sdtContent>
              </w:sdt>
              <w:r w:rsidR="002F74AA">
                <w:rPr>
                  <w:szCs w:val="24"/>
                </w:rPr>
                <w:t>.</w:t>
              </w:r>
              <w:r w:rsidR="002F74AA">
                <w:rPr>
                  <w:szCs w:val="24"/>
                </w:rPr>
                <w:tab/>
                <w:t>Pakeičiu 5 punktą ir jį išdėstau taip:</w:t>
              </w:r>
            </w:p>
            <w:p w:rsidR="000162DB" w:rsidRDefault="000162DB">
              <w:pPr>
                <w:rPr>
                  <w:sz w:val="2"/>
                  <w:szCs w:val="2"/>
                </w:rPr>
              </w:pPr>
            </w:p>
            <w:tbl>
              <w:tblPr>
                <w:tblW w:w="9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3"/>
              </w:tblGrid>
              <w:tr w:rsidR="000162DB">
                <w:trPr>
                  <w:trHeight w:val="285"/>
                </w:trPr>
                <w:tc>
                  <w:tcPr>
                    <w:tcW w:w="9633" w:type="dxa"/>
                  </w:tcPr>
                  <w:p w:rsidR="000162DB" w:rsidRDefault="002F74AA">
                    <w:pPr>
                      <w:overflowPunct w:val="0"/>
                      <w:jc w:val="both"/>
                      <w:textAlignment w:val="baseline"/>
                      <w:rPr>
                        <w:szCs w:val="24"/>
                      </w:rPr>
                    </w:pPr>
                    <w:r>
                      <w:rPr>
                        <w:bCs/>
                        <w:szCs w:val="24"/>
                      </w:rPr>
                      <w:t>„</w:t>
                    </w:r>
                    <w:r>
                      <w:rPr>
                        <w:b/>
                        <w:szCs w:val="24"/>
                      </w:rPr>
                      <w:t>5</w:t>
                    </w:r>
                    <w:r>
                      <w:rPr>
                        <w:szCs w:val="24"/>
                      </w:rPr>
                      <w:t xml:space="preserve">. </w:t>
                    </w:r>
                    <w:r>
                      <w:rPr>
                        <w:b/>
                        <w:szCs w:val="24"/>
                      </w:rPr>
                      <w:t>Horizontaliųjų principų reikalavimai</w:t>
                    </w:r>
                  </w:p>
                </w:tc>
              </w:tr>
              <w:tr w:rsidR="000162DB">
                <w:tc>
                  <w:tcPr>
                    <w:tcW w:w="9633" w:type="dxa"/>
                  </w:tcPr>
                  <w:p w:rsidR="000162DB" w:rsidRDefault="002F74AA">
                    <w:pPr>
                      <w:overflowPunct w:val="0"/>
                      <w:jc w:val="both"/>
                      <w:textAlignment w:val="baseline"/>
                      <w:rPr>
                        <w:iCs/>
                        <w:szCs w:val="24"/>
                      </w:rPr>
                    </w:pPr>
                    <w:r>
                      <w:rPr>
                        <w:iCs/>
                        <w:szCs w:val="24"/>
                      </w:rPr>
                      <w:t>5.1. Projektuose negali būti numatyta:</w:t>
                    </w:r>
                  </w:p>
                  <w:p w:rsidR="000162DB" w:rsidRDefault="000162DB">
                    <w:pPr>
                      <w:rPr>
                        <w:sz w:val="2"/>
                        <w:szCs w:val="2"/>
                      </w:rPr>
                    </w:pPr>
                  </w:p>
                  <w:p w:rsidR="000162DB" w:rsidRDefault="002F74AA">
                    <w:pPr>
                      <w:overflowPunct w:val="0"/>
                      <w:jc w:val="both"/>
                      <w:textAlignment w:val="baseline"/>
                      <w:rPr>
                        <w:iCs/>
                        <w:szCs w:val="24"/>
                      </w:rPr>
                    </w:pPr>
                    <w:r>
                      <w:rPr>
                        <w:iCs/>
                        <w:szCs w:val="24"/>
                      </w:rPr>
                      <w:t xml:space="preserve">5.1.1. </w:t>
                    </w:r>
                    <w:r>
                      <w:rPr>
                        <w:szCs w:val="24"/>
                      </w:rPr>
                      <w:t>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principui įgyvendinti;</w:t>
                    </w:r>
                  </w:p>
                  <w:p w:rsidR="000162DB" w:rsidRDefault="000162DB">
                    <w:pPr>
                      <w:rPr>
                        <w:sz w:val="2"/>
                        <w:szCs w:val="2"/>
                      </w:rPr>
                    </w:pPr>
                  </w:p>
                  <w:p w:rsidR="000162DB" w:rsidRDefault="002F74AA">
                    <w:pPr>
                      <w:overflowPunct w:val="0"/>
                      <w:jc w:val="both"/>
                      <w:textAlignment w:val="baseline"/>
                      <w:rPr>
                        <w:iCs/>
                        <w:szCs w:val="24"/>
                      </w:rPr>
                    </w:pPr>
                    <w:r>
                      <w:rPr>
                        <w:iCs/>
                        <w:szCs w:val="24"/>
                      </w:rPr>
                      <w:t>5.1.2. veiksmų, kurie turėtų neigiamą poveikį darnaus vystymosi principui įgyvendinti.</w:t>
                    </w:r>
                  </w:p>
                  <w:p w:rsidR="000162DB" w:rsidRDefault="000162DB">
                    <w:pPr>
                      <w:rPr>
                        <w:sz w:val="2"/>
                        <w:szCs w:val="2"/>
                      </w:rPr>
                    </w:pPr>
                  </w:p>
                  <w:p w:rsidR="000162DB" w:rsidRDefault="002F74AA">
                    <w:pPr>
                      <w:overflowPunct w:val="0"/>
                      <w:jc w:val="both"/>
                      <w:textAlignment w:val="baseline"/>
                      <w:rPr>
                        <w:szCs w:val="24"/>
                      </w:rPr>
                    </w:pPr>
                    <w:r>
                      <w:rPr>
                        <w:szCs w:val="24"/>
                      </w:rPr>
                      <w:t>5.2. Projektuose turi būti numatyta:</w:t>
                    </w:r>
                  </w:p>
                  <w:p w:rsidR="000162DB" w:rsidRDefault="000162DB">
                    <w:pPr>
                      <w:rPr>
                        <w:sz w:val="2"/>
                        <w:szCs w:val="2"/>
                      </w:rPr>
                    </w:pPr>
                  </w:p>
                  <w:p w:rsidR="000162DB" w:rsidRDefault="002F74AA">
                    <w:pPr>
                      <w:overflowPunct w:val="0"/>
                      <w:jc w:val="both"/>
                      <w:textAlignment w:val="baseline"/>
                      <w:rPr>
                        <w:szCs w:val="24"/>
                      </w:rPr>
                    </w:pPr>
                    <w:r>
                      <w:rPr>
                        <w:szCs w:val="24"/>
                      </w:rPr>
                      <w:t>5.2.1. organizuodamas mokymus projektų vykdytojas prieš projektų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w:t>
                    </w:r>
                  </w:p>
                  <w:p w:rsidR="000162DB" w:rsidRDefault="000162DB">
                    <w:pPr>
                      <w:rPr>
                        <w:sz w:val="2"/>
                        <w:szCs w:val="2"/>
                      </w:rPr>
                    </w:pPr>
                  </w:p>
                  <w:p w:rsidR="000162DB" w:rsidRDefault="002F74AA">
                    <w:pPr>
                      <w:overflowPunct w:val="0"/>
                      <w:jc w:val="both"/>
                      <w:textAlignment w:val="baseline"/>
                      <w:rPr>
                        <w:szCs w:val="24"/>
                      </w:rPr>
                    </w:pPr>
                    <w:r>
                      <w:rPr>
                        <w:szCs w:val="24"/>
                      </w:rPr>
                      <w:t>5.2.2. įgyvendinant projektų veiklas (kuriant produktus ir vykdant mokymus), turi būti įtrauktas lyčių lygybės aspektas, pvz., temos apie lyčių stereotipų mažinimą.</w:t>
                    </w:r>
                  </w:p>
                  <w:p w:rsidR="000162DB" w:rsidRDefault="000162DB">
                    <w:pPr>
                      <w:rPr>
                        <w:sz w:val="2"/>
                        <w:szCs w:val="2"/>
                      </w:rPr>
                    </w:pPr>
                  </w:p>
                  <w:p w:rsidR="000162DB" w:rsidRDefault="002F74AA">
                    <w:pPr>
                      <w:overflowPunct w:val="0"/>
                      <w:jc w:val="both"/>
                      <w:textAlignment w:val="baseline"/>
                      <w:rPr>
                        <w:i/>
                        <w:iCs/>
                        <w:szCs w:val="24"/>
                      </w:rPr>
                    </w:pPr>
                    <w:r>
                      <w:rPr>
                        <w:iCs/>
                        <w:szCs w:val="24"/>
                      </w:rPr>
                      <w:t>5.3.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bl>
            <w:p w:rsidR="000162DB" w:rsidRDefault="000162DB">
              <w:pPr>
                <w:overflowPunct w:val="0"/>
                <w:ind w:firstLine="1253"/>
                <w:jc w:val="both"/>
                <w:textAlignment w:val="baseline"/>
                <w:rPr>
                  <w:szCs w:val="24"/>
                </w:rPr>
              </w:pPr>
            </w:p>
            <w:p w:rsidR="000162DB" w:rsidRDefault="00BC1314">
              <w:pPr>
                <w:rPr>
                  <w:sz w:val="2"/>
                  <w:szCs w:val="2"/>
                </w:rPr>
              </w:pPr>
            </w:p>
          </w:sdtContent>
        </w:sdt>
        <w:sdt>
          <w:sdtPr>
            <w:alias w:val="4 p."/>
            <w:tag w:val="part_bee4bbc6b1024557983dfddb845ccfc2"/>
            <w:id w:val="-902524525"/>
            <w:lock w:val="sdtLocked"/>
            <w:placeholder>
              <w:docPart w:val="DefaultPlaceholder_-1854013440"/>
            </w:placeholder>
          </w:sdtPr>
          <w:sdtEndPr>
            <w:rPr>
              <w:sz w:val="2"/>
              <w:szCs w:val="2"/>
            </w:rPr>
          </w:sdtEndPr>
          <w:sdtContent>
            <w:p w:rsidR="000162DB" w:rsidRDefault="00BC1314">
              <w:pPr>
                <w:tabs>
                  <w:tab w:val="left" w:pos="1134"/>
                </w:tabs>
                <w:overflowPunct w:val="0"/>
                <w:ind w:left="851"/>
                <w:jc w:val="both"/>
                <w:textAlignment w:val="baseline"/>
                <w:rPr>
                  <w:szCs w:val="24"/>
                </w:rPr>
              </w:pPr>
              <w:sdt>
                <w:sdtPr>
                  <w:alias w:val="Numeris"/>
                  <w:tag w:val="nr_bee4bbc6b1024557983dfddb845ccfc2"/>
                  <w:id w:val="1794238068"/>
                  <w:lock w:val="sdtLocked"/>
                </w:sdtPr>
                <w:sdtEndPr/>
                <w:sdtContent>
                  <w:r w:rsidR="002F74AA">
                    <w:rPr>
                      <w:szCs w:val="24"/>
                    </w:rPr>
                    <w:t>4</w:t>
                  </w:r>
                </w:sdtContent>
              </w:sdt>
              <w:r w:rsidR="002F74AA">
                <w:rPr>
                  <w:szCs w:val="24"/>
                </w:rPr>
                <w:t>.</w:t>
              </w:r>
              <w:r w:rsidR="002F74AA">
                <w:rPr>
                  <w:szCs w:val="24"/>
                </w:rPr>
                <w:tab/>
                <w:t>Pakeičiu 12 punktą ir jį išdėstau taip:</w:t>
              </w:r>
            </w:p>
            <w:p w:rsidR="000162DB" w:rsidRDefault="000162DB">
              <w:pPr>
                <w:rPr>
                  <w:sz w:val="2"/>
                  <w:szCs w:val="2"/>
                </w:rPr>
              </w:pPr>
            </w:p>
            <w:tbl>
              <w:tblPr>
                <w:tblW w:w="9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3"/>
              </w:tblGrid>
              <w:tr w:rsidR="000162DB">
                <w:tc>
                  <w:tcPr>
                    <w:tcW w:w="9633" w:type="dxa"/>
                  </w:tcPr>
                  <w:p w:rsidR="000162DB" w:rsidRDefault="002F74AA">
                    <w:pPr>
                      <w:overflowPunct w:val="0"/>
                      <w:jc w:val="both"/>
                      <w:textAlignment w:val="baseline"/>
                      <w:rPr>
                        <w:szCs w:val="24"/>
                      </w:rPr>
                    </w:pPr>
                    <w:r>
                      <w:rPr>
                        <w:bCs/>
                        <w:szCs w:val="24"/>
                      </w:rPr>
                      <w:t>„</w:t>
                    </w:r>
                    <w:r>
                      <w:rPr>
                        <w:b/>
                        <w:szCs w:val="24"/>
                      </w:rPr>
                      <w:t>12.</w:t>
                    </w:r>
                    <w:r>
                      <w:rPr>
                        <w:szCs w:val="24"/>
                      </w:rPr>
                      <w:t xml:space="preserve"> </w:t>
                    </w:r>
                    <w:r>
                      <w:rPr>
                        <w:b/>
                        <w:szCs w:val="24"/>
                      </w:rPr>
                      <w:t>Kiti reikalavimai</w:t>
                    </w:r>
                  </w:p>
                </w:tc>
              </w:tr>
              <w:tr w:rsidR="000162DB">
                <w:tc>
                  <w:tcPr>
                    <w:tcW w:w="9633" w:type="dxa"/>
                  </w:tcPr>
                  <w:p w:rsidR="000162DB" w:rsidRDefault="002F74AA">
                    <w:pPr>
                      <w:overflowPunct w:val="0"/>
                      <w:jc w:val="both"/>
                      <w:textAlignment w:val="baseline"/>
                      <w:rPr>
                        <w:szCs w:val="24"/>
                      </w:rPr>
                    </w:pPr>
                    <w:r>
                      <w:rPr>
                        <w:szCs w:val="24"/>
                      </w:rPr>
                      <w:t xml:space="preserve">12.1. Administruojanti institucija turi informuoti Lietuvos Respublikos švietimo, mokslo ir sporto ministeriją (toliau – Ministerija), jeigu vertinimo metu nustatyta, kad pareiškėjo pateiktas PĮP neatitinka šio Aprašo 2.15 papunkčio. </w:t>
                    </w:r>
                  </w:p>
                  <w:p w:rsidR="000162DB" w:rsidRDefault="000162DB">
                    <w:pPr>
                      <w:rPr>
                        <w:sz w:val="2"/>
                        <w:szCs w:val="2"/>
                      </w:rPr>
                    </w:pPr>
                  </w:p>
                  <w:p w:rsidR="000162DB" w:rsidRDefault="002F74AA">
                    <w:pPr>
                      <w:overflowPunct w:val="0"/>
                      <w:jc w:val="both"/>
                      <w:textAlignment w:val="baseline"/>
                      <w:rPr>
                        <w:i/>
                        <w:szCs w:val="24"/>
                      </w:rPr>
                    </w:pPr>
                    <w:r>
                      <w:rPr>
                        <w:szCs w:val="24"/>
                      </w:rPr>
                      <w:lastRenderedPageBreak/>
                      <w:t>12.2. Projektų įgyvendinimo priežiūrai užtikrinti ir iškilusiems projektų įgyvendinimo klausimams spręsti Ministerija sudarys Projektų priežiūros komitetą.“</w:t>
                    </w:r>
                  </w:p>
                </w:tc>
              </w:tr>
            </w:tbl>
            <w:p w:rsidR="000162DB" w:rsidRDefault="000162DB">
              <w:pPr>
                <w:overflowPunct w:val="0"/>
                <w:ind w:firstLine="1253"/>
                <w:jc w:val="both"/>
                <w:textAlignment w:val="baseline"/>
                <w:rPr>
                  <w:szCs w:val="24"/>
                </w:rPr>
              </w:pPr>
            </w:p>
            <w:p w:rsidR="000162DB" w:rsidRDefault="00BC1314">
              <w:pPr>
                <w:rPr>
                  <w:sz w:val="2"/>
                  <w:szCs w:val="2"/>
                </w:rPr>
              </w:pPr>
            </w:p>
          </w:sdtContent>
        </w:sdt>
        <w:sdt>
          <w:sdtPr>
            <w:alias w:val="5 p."/>
            <w:tag w:val="part_293a0aede95d4429a1967da28c5987b0"/>
            <w:id w:val="-1982998003"/>
            <w:lock w:val="sdtLocked"/>
            <w:placeholder>
              <w:docPart w:val="DefaultPlaceholder_-1854013440"/>
            </w:placeholder>
          </w:sdtPr>
          <w:sdtEndPr>
            <w:rPr>
              <w:bCs/>
              <w:szCs w:val="24"/>
            </w:rPr>
          </w:sdtEndPr>
          <w:sdtContent>
            <w:p w:rsidR="000162DB" w:rsidRDefault="00BC1314">
              <w:pPr>
                <w:tabs>
                  <w:tab w:val="left" w:pos="993"/>
                  <w:tab w:val="left" w:pos="1134"/>
                </w:tabs>
                <w:overflowPunct w:val="0"/>
                <w:ind w:left="851"/>
                <w:jc w:val="both"/>
                <w:textAlignment w:val="baseline"/>
                <w:rPr>
                  <w:szCs w:val="24"/>
                </w:rPr>
              </w:pPr>
              <w:sdt>
                <w:sdtPr>
                  <w:alias w:val="Numeris"/>
                  <w:tag w:val="nr_293a0aede95d4429a1967da28c5987b0"/>
                  <w:id w:val="311383658"/>
                  <w:lock w:val="sdtLocked"/>
                </w:sdtPr>
                <w:sdtEndPr/>
                <w:sdtContent>
                  <w:r w:rsidR="002F74AA">
                    <w:rPr>
                      <w:szCs w:val="24"/>
                    </w:rPr>
                    <w:t>5</w:t>
                  </w:r>
                </w:sdtContent>
              </w:sdt>
              <w:r w:rsidR="002F74AA">
                <w:rPr>
                  <w:szCs w:val="24"/>
                </w:rPr>
                <w:t>.</w:t>
              </w:r>
              <w:r w:rsidR="002F74AA">
                <w:rPr>
                  <w:szCs w:val="24"/>
                </w:rPr>
                <w:tab/>
                <w:t>Pakeičiu 13 punktą ir jį išdėstau taip:</w:t>
              </w:r>
            </w:p>
            <w:p w:rsidR="000162DB" w:rsidRDefault="000162DB">
              <w:pPr>
                <w:rPr>
                  <w:sz w:val="2"/>
                  <w:szCs w:val="2"/>
                </w:rPr>
              </w:pPr>
            </w:p>
            <w:tbl>
              <w:tblPr>
                <w:tblW w:w="9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3"/>
              </w:tblGrid>
              <w:tr w:rsidR="000162DB">
                <w:tc>
                  <w:tcPr>
                    <w:tcW w:w="9633" w:type="dxa"/>
                  </w:tcPr>
                  <w:p w:rsidR="000162DB" w:rsidRDefault="002F74AA">
                    <w:pPr>
                      <w:overflowPunct w:val="0"/>
                      <w:jc w:val="both"/>
                      <w:textAlignment w:val="baseline"/>
                      <w:rPr>
                        <w:b/>
                        <w:szCs w:val="24"/>
                      </w:rPr>
                    </w:pPr>
                    <w:r>
                      <w:rPr>
                        <w:bCs/>
                        <w:szCs w:val="24"/>
                      </w:rPr>
                      <w:t>„</w:t>
                    </w:r>
                    <w:r>
                      <w:rPr>
                        <w:b/>
                        <w:szCs w:val="24"/>
                      </w:rPr>
                      <w:t>13. Išlaidų tinkamumo finansuoti reikalavimai</w:t>
                    </w:r>
                  </w:p>
                </w:tc>
              </w:tr>
              <w:tr w:rsidR="000162DB">
                <w:tc>
                  <w:tcPr>
                    <w:tcW w:w="9633" w:type="dxa"/>
                  </w:tcPr>
                  <w:p w:rsidR="000162DB" w:rsidRDefault="002F74AA">
                    <w:pPr>
                      <w:overflowPunct w:val="0"/>
                      <w:jc w:val="both"/>
                      <w:textAlignment w:val="baseline"/>
                      <w:rPr>
                        <w:iCs/>
                        <w:szCs w:val="24"/>
                      </w:rPr>
                    </w:pPr>
                    <w:r>
                      <w:rPr>
                        <w:iCs/>
                        <w:szCs w:val="24"/>
                      </w:rPr>
                      <w:t>13.1. Didžiausia galima projektų finansuojamoji dalis sudaro 100 proc. visų tinkamų finansuoti projekto išlaidų. Pareiškėjas savo iniciatyva ir savo, ir (arba) kitų šaltinių lėšomis gali prisidėti prie projektų įgyvendinimo.</w:t>
                    </w:r>
                  </w:p>
                  <w:p w:rsidR="000162DB" w:rsidRDefault="000162DB">
                    <w:pPr>
                      <w:rPr>
                        <w:sz w:val="2"/>
                        <w:szCs w:val="2"/>
                      </w:rPr>
                    </w:pPr>
                  </w:p>
                  <w:p w:rsidR="000162DB" w:rsidRDefault="002F74AA">
                    <w:pPr>
                      <w:overflowPunct w:val="0"/>
                      <w:jc w:val="both"/>
                      <w:textAlignment w:val="baseline"/>
                      <w:rPr>
                        <w:iCs/>
                        <w:szCs w:val="24"/>
                      </w:rPr>
                    </w:pPr>
                    <w:r>
                      <w:rPr>
                        <w:iCs/>
                        <w:szCs w:val="24"/>
                      </w:rPr>
                      <w:t>13.2. Projektų tinkamų finansuoti išlaidų dalis, kurios nepadengia projektams skiriamo finansavimo lėšos, turi būti finansuojama iš projektų vykdytojo lėšų.</w:t>
                    </w:r>
                  </w:p>
                  <w:p w:rsidR="000162DB" w:rsidRDefault="000162DB">
                    <w:pPr>
                      <w:rPr>
                        <w:sz w:val="2"/>
                        <w:szCs w:val="2"/>
                      </w:rPr>
                    </w:pPr>
                  </w:p>
                  <w:p w:rsidR="000162DB" w:rsidRDefault="002F74AA">
                    <w:pPr>
                      <w:overflowPunct w:val="0"/>
                      <w:jc w:val="both"/>
                      <w:textAlignment w:val="baseline"/>
                      <w:rPr>
                        <w:iCs/>
                        <w:szCs w:val="24"/>
                      </w:rPr>
                    </w:pPr>
                    <w:r>
                      <w:rPr>
                        <w:iCs/>
                        <w:szCs w:val="24"/>
                      </w:rPr>
                      <w:t>13.3. Planuojamos išlaidos turi atitikti PAFT VII skyriuje išdėstytus projektų išlaidoms taikomus reikalavimus.</w:t>
                    </w:r>
                  </w:p>
                  <w:p w:rsidR="000162DB" w:rsidRDefault="000162DB">
                    <w:pPr>
                      <w:rPr>
                        <w:sz w:val="2"/>
                        <w:szCs w:val="2"/>
                      </w:rPr>
                    </w:pPr>
                  </w:p>
                  <w:p w:rsidR="000162DB" w:rsidRDefault="002F74AA">
                    <w:pPr>
                      <w:overflowPunct w:val="0"/>
                      <w:jc w:val="both"/>
                      <w:textAlignment w:val="baseline"/>
                      <w:rPr>
                        <w:iCs/>
                        <w:szCs w:val="24"/>
                      </w:rPr>
                    </w:pPr>
                    <w:r>
                      <w:rPr>
                        <w:iCs/>
                        <w:szCs w:val="24"/>
                      </w:rPr>
                      <w:t xml:space="preserve">13.4. Projektų vykdytojui gali būti išmokamas avansas iki 30 proc. tinkamų finansuoti projektų išlaidų. </w:t>
                    </w:r>
                    <w:r>
                      <w:rPr>
                        <w:szCs w:val="24"/>
                      </w:rPr>
                      <w:t>Projektų išlaidos gali būti patirtos iki projekto sutarties pasirašymo, jei tai neprieštarauja PAFT 294 punkto nuostatoms.</w:t>
                    </w:r>
                  </w:p>
                  <w:p w:rsidR="000162DB" w:rsidRDefault="000162DB">
                    <w:pPr>
                      <w:rPr>
                        <w:sz w:val="2"/>
                        <w:szCs w:val="2"/>
                      </w:rPr>
                    </w:pPr>
                  </w:p>
                  <w:p w:rsidR="000162DB" w:rsidRDefault="002F74AA">
                    <w:pPr>
                      <w:overflowPunct w:val="0"/>
                      <w:jc w:val="both"/>
                      <w:textAlignment w:val="baseline"/>
                      <w:rPr>
                        <w:iCs/>
                        <w:szCs w:val="24"/>
                      </w:rPr>
                    </w:pPr>
                    <w:r>
                      <w:rPr>
                        <w:iCs/>
                        <w:szCs w:val="24"/>
                      </w:rPr>
                      <w:t>13.5. Pagal Aprašą tinkamos išlaidos yra šios:</w:t>
                    </w:r>
                  </w:p>
                  <w:p w:rsidR="000162DB" w:rsidRDefault="000162DB">
                    <w:pPr>
                      <w:rPr>
                        <w:sz w:val="2"/>
                        <w:szCs w:val="2"/>
                      </w:rPr>
                    </w:pPr>
                  </w:p>
                  <w:p w:rsidR="000162DB" w:rsidRDefault="002F74AA">
                    <w:pPr>
                      <w:overflowPunct w:val="0"/>
                      <w:jc w:val="both"/>
                      <w:textAlignment w:val="baseline"/>
                      <w:rPr>
                        <w:bCs/>
                        <w:szCs w:val="24"/>
                      </w:rPr>
                    </w:pPr>
                    <w:r>
                      <w:rPr>
                        <w:iCs/>
                        <w:szCs w:val="24"/>
                      </w:rPr>
                      <w:t xml:space="preserve">13.5.1. darbo užmokestis, </w:t>
                    </w:r>
                    <w:r>
                      <w:rPr>
                        <w:bCs/>
                        <w:szCs w:val="24"/>
                      </w:rPr>
                      <w:t>kvalifikacijos tobulinimo, mokymų išlaidos, švietimo ekspertų paslaugos, renginių organizavimas, mokymo priemonės licencijos, metodikos, komandiruotės ir vizitai, kitos paslaugos ir prekės, reikalingos veikloms įgyvendinti;</w:t>
                    </w:r>
                  </w:p>
                  <w:p w:rsidR="000162DB" w:rsidRDefault="000162DB">
                    <w:pPr>
                      <w:rPr>
                        <w:sz w:val="2"/>
                        <w:szCs w:val="2"/>
                      </w:rPr>
                    </w:pPr>
                  </w:p>
                  <w:p w:rsidR="000162DB" w:rsidRDefault="002F74AA">
                    <w:pPr>
                      <w:overflowPunct w:val="0"/>
                      <w:jc w:val="both"/>
                      <w:textAlignment w:val="baseline"/>
                      <w:rPr>
                        <w:bCs/>
                        <w:szCs w:val="24"/>
                      </w:rPr>
                    </w:pPr>
                    <w:r>
                      <w:rPr>
                        <w:bCs/>
                        <w:szCs w:val="24"/>
                      </w:rPr>
                      <w:t xml:space="preserve">13.5.2. privalomos projektų matomumo ir informavimo apie projektus priemonės pagal PAFT 340 ir 341 punktus; </w:t>
                    </w:r>
                  </w:p>
                  <w:p w:rsidR="000162DB" w:rsidRDefault="000162DB">
                    <w:pPr>
                      <w:rPr>
                        <w:sz w:val="2"/>
                        <w:szCs w:val="2"/>
                      </w:rPr>
                    </w:pPr>
                  </w:p>
                  <w:p w:rsidR="000162DB" w:rsidRDefault="002F74AA">
                    <w:pPr>
                      <w:overflowPunct w:val="0"/>
                      <w:jc w:val="both"/>
                      <w:textAlignment w:val="baseline"/>
                      <w:rPr>
                        <w:bCs/>
                        <w:szCs w:val="24"/>
                      </w:rPr>
                    </w:pPr>
                    <w:r>
                      <w:rPr>
                        <w:bCs/>
                        <w:szCs w:val="24"/>
                      </w:rPr>
                      <w:t>13.5.3. išlaidos, kurios aptartos Aprašo 14 punkte.“</w:t>
                    </w:r>
                  </w:p>
                </w:tc>
              </w:tr>
            </w:tbl>
          </w:sdtContent>
        </w:sdt>
        <w:sdt>
          <w:sdtPr>
            <w:rPr>
              <w:szCs w:val="24"/>
            </w:rPr>
            <w:alias w:val="signatura"/>
            <w:tag w:val="part_bd733d86ea1a40b9a82e9afd9ff2467a"/>
            <w:id w:val="-1998874142"/>
            <w:lock w:val="sdtLocked"/>
            <w:placeholder>
              <w:docPart w:val="DefaultPlaceholder_-1854013440"/>
            </w:placeholder>
          </w:sdtPr>
          <w:sdtEndPr>
            <w:rPr>
              <w:color w:val="000000"/>
              <w:lang w:eastAsia="en-GB"/>
            </w:rPr>
          </w:sdtEndPr>
          <w:sdtContent>
            <w:p w:rsidR="000162DB" w:rsidRDefault="000162DB" w:rsidP="002F74AA">
              <w:pPr>
                <w:overflowPunct w:val="0"/>
                <w:jc w:val="both"/>
                <w:textAlignment w:val="baseline"/>
                <w:rPr>
                  <w:szCs w:val="24"/>
                </w:rPr>
              </w:pPr>
            </w:p>
            <w:p w:rsidR="002F74AA" w:rsidRDefault="002F74AA" w:rsidP="002F74AA">
              <w:pPr>
                <w:overflowPunct w:val="0"/>
                <w:jc w:val="both"/>
                <w:textAlignment w:val="baseline"/>
                <w:rPr>
                  <w:szCs w:val="24"/>
                </w:rPr>
              </w:pPr>
            </w:p>
            <w:p w:rsidR="000162DB" w:rsidRDefault="000162DB">
              <w:pPr>
                <w:rPr>
                  <w:sz w:val="2"/>
                  <w:szCs w:val="2"/>
                </w:rPr>
              </w:pPr>
            </w:p>
            <w:p w:rsidR="000162DB" w:rsidRDefault="000162DB">
              <w:pPr>
                <w:overflowPunct w:val="0"/>
                <w:jc w:val="both"/>
                <w:textAlignment w:val="baseline"/>
                <w:rPr>
                  <w:szCs w:val="24"/>
                </w:rPr>
              </w:pPr>
            </w:p>
            <w:p w:rsidR="000162DB" w:rsidRDefault="000162DB">
              <w:pPr>
                <w:rPr>
                  <w:sz w:val="2"/>
                  <w:szCs w:val="2"/>
                </w:rPr>
              </w:pPr>
            </w:p>
            <w:p w:rsidR="002F74AA" w:rsidRDefault="002F74AA" w:rsidP="002F74AA">
              <w:pPr>
                <w:tabs>
                  <w:tab w:val="left" w:pos="5886"/>
                </w:tabs>
                <w:overflowPunct w:val="0"/>
                <w:textAlignment w:val="baseline"/>
                <w:rPr>
                  <w:szCs w:val="24"/>
                </w:rPr>
              </w:pPr>
              <w:r>
                <w:rPr>
                  <w:szCs w:val="24"/>
                </w:rPr>
                <w:t xml:space="preserve">Socialinės apsaugos ir darbo ministrė, </w:t>
              </w:r>
            </w:p>
            <w:p w:rsidR="002F74AA" w:rsidRDefault="002F74AA" w:rsidP="002F74AA">
              <w:pPr>
                <w:tabs>
                  <w:tab w:val="left" w:pos="7655"/>
                </w:tabs>
                <w:overflowPunct w:val="0"/>
                <w:textAlignment w:val="baseline"/>
                <w:rPr>
                  <w:szCs w:val="24"/>
                </w:rPr>
              </w:pPr>
              <w:r>
                <w:rPr>
                  <w:szCs w:val="24"/>
                </w:rPr>
                <w:t xml:space="preserve">laikinai einanti švietimo, mokslo ir sporto ministro pareigas </w:t>
              </w:r>
              <w:r>
                <w:rPr>
                  <w:szCs w:val="24"/>
                </w:rPr>
                <w:tab/>
                <w:t xml:space="preserve">Monika Navickienė </w:t>
              </w:r>
            </w:p>
            <w:p w:rsidR="000162DB" w:rsidRDefault="000162DB">
              <w:pPr>
                <w:overflowPunct w:val="0"/>
                <w:jc w:val="both"/>
                <w:textAlignment w:val="baseline"/>
                <w:rPr>
                  <w:szCs w:val="24"/>
                </w:rPr>
              </w:pPr>
            </w:p>
            <w:p w:rsidR="000162DB" w:rsidRDefault="000162DB">
              <w:pPr>
                <w:rPr>
                  <w:sz w:val="2"/>
                  <w:szCs w:val="2"/>
                </w:rPr>
              </w:pPr>
            </w:p>
            <w:p w:rsidR="000162DB" w:rsidRDefault="000162DB">
              <w:pPr>
                <w:overflowPunct w:val="0"/>
                <w:jc w:val="both"/>
                <w:textAlignment w:val="baseline"/>
                <w:rPr>
                  <w:szCs w:val="24"/>
                </w:rPr>
              </w:pPr>
            </w:p>
            <w:p w:rsidR="000162DB" w:rsidRDefault="000162DB">
              <w:pPr>
                <w:rPr>
                  <w:sz w:val="2"/>
                  <w:szCs w:val="2"/>
                </w:rPr>
              </w:pPr>
            </w:p>
            <w:p w:rsidR="000162DB" w:rsidRDefault="002F74AA">
              <w:pPr>
                <w:overflowPunct w:val="0"/>
                <w:jc w:val="both"/>
                <w:textAlignment w:val="baseline"/>
                <w:rPr>
                  <w:szCs w:val="24"/>
                </w:rPr>
              </w:pPr>
              <w:r>
                <w:rPr>
                  <w:szCs w:val="24"/>
                </w:rPr>
                <w:t>SUDERINTA</w:t>
              </w:r>
            </w:p>
            <w:p w:rsidR="000162DB" w:rsidRDefault="000162DB">
              <w:pPr>
                <w:rPr>
                  <w:sz w:val="2"/>
                  <w:szCs w:val="2"/>
                </w:rPr>
              </w:pPr>
            </w:p>
            <w:p w:rsidR="000162DB" w:rsidRDefault="002F74AA">
              <w:pPr>
                <w:overflowPunct w:val="0"/>
                <w:jc w:val="both"/>
                <w:textAlignment w:val="baseline"/>
                <w:rPr>
                  <w:color w:val="000000"/>
                  <w:szCs w:val="24"/>
                  <w:lang w:eastAsia="en-GB"/>
                </w:rPr>
              </w:pPr>
              <w:r>
                <w:rPr>
                  <w:color w:val="000000"/>
                  <w:szCs w:val="24"/>
                  <w:lang w:eastAsia="en-GB"/>
                </w:rPr>
                <w:t xml:space="preserve">Viešosios įstaigos Centrinės projektų </w:t>
              </w:r>
            </w:p>
            <w:p w:rsidR="000162DB" w:rsidRDefault="002F74AA">
              <w:pPr>
                <w:overflowPunct w:val="0"/>
                <w:jc w:val="both"/>
                <w:textAlignment w:val="baseline"/>
                <w:rPr>
                  <w:color w:val="000000"/>
                  <w:szCs w:val="24"/>
                  <w:lang w:eastAsia="en-GB"/>
                </w:rPr>
              </w:pPr>
              <w:r>
                <w:rPr>
                  <w:color w:val="000000"/>
                  <w:szCs w:val="24"/>
                  <w:lang w:eastAsia="en-GB"/>
                </w:rPr>
                <w:t xml:space="preserve">valdymo agentūros 2024 m. balandžio 19 d. raštu </w:t>
              </w:r>
            </w:p>
            <w:p w:rsidR="000162DB" w:rsidRDefault="002F74AA" w:rsidP="002F74AA">
              <w:pPr>
                <w:overflowPunct w:val="0"/>
                <w:textAlignment w:val="baseline"/>
                <w:rPr>
                  <w:szCs w:val="24"/>
                </w:rPr>
              </w:pPr>
              <w:r>
                <w:rPr>
                  <w:color w:val="000000"/>
                  <w:szCs w:val="24"/>
                  <w:lang w:eastAsia="en-GB"/>
                </w:rPr>
                <w:t>Nr. 2024/2-4812</w:t>
              </w:r>
            </w:p>
          </w:sdtContent>
        </w:sdt>
      </w:sdtContent>
    </w:sdt>
    <w:sectPr w:rsidR="000162DB">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567"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62DB" w:rsidRDefault="002F74AA">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0162DB" w:rsidRDefault="002F74AA">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2DB" w:rsidRDefault="002F74AA">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0162DB" w:rsidRDefault="000162DB">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2DB" w:rsidRDefault="000162DB">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2DB" w:rsidRDefault="000162DB">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62DB" w:rsidRDefault="002F74AA">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0162DB" w:rsidRDefault="002F74AA">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2DB" w:rsidRDefault="000162DB">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2DB" w:rsidRDefault="002F74AA">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sidR="00BC1314" w:rsidRPr="00BC1314">
      <w:rPr>
        <w:rFonts w:ascii="HelveticaLT" w:hAnsi="HelveticaLT"/>
        <w:noProof/>
        <w:sz w:val="20"/>
      </w:rPr>
      <w:t>3</w:t>
    </w:r>
    <w:r>
      <w:rPr>
        <w:rFonts w:ascii="HelveticaLT" w:hAnsi="HelveticaLT"/>
        <w:sz w:val="20"/>
        <w:lang w:val="en-GB"/>
      </w:rPr>
      <w:fldChar w:fldCharType="end"/>
    </w:r>
  </w:p>
  <w:p w:rsidR="000162DB" w:rsidRDefault="000162DB">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2DB" w:rsidRDefault="000162DB">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560"/>
    <w:rsid w:val="000162DB"/>
    <w:rsid w:val="00096560"/>
    <w:rsid w:val="002F74AA"/>
    <w:rsid w:val="00BC13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chartTrackingRefBased/>
  <w15:docId w15:val="{16D707E3-F053-4B36-A35A-50D859815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74A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5565582">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AE91E36-9BF9-497C-BDD6-BD29364FA75E}"/>
      </w:docPartPr>
      <w:docPartBody>
        <w:p w:rsidR="00523121" w:rsidRDefault="000A0E48">
          <w:r w:rsidRPr="00B821C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0E48"/>
    <w:rsid w:val="000A0E48"/>
    <w:rsid w:val="005231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A0E4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7732ed69e304260b84db464b62ae123" PartId="e1e76a9ee704460f80eeb72762a2504c">
    <Part Type="preambule" DocPartId="5b2069941dc24963a1a1758b7d749b7b" PartId="2c42d46942794878990442913b21254d"/>
    <Part Type="pastraipa" DocPartId="ff1692deaae6499fb37ede101155b6c8" PartId="e40ec58a58eb4b169609d53f98d2269f"/>
    <Part Type="punktas" Nr="1" Abbr="1 p." DocPartId="7ee0db4e0bcb49df9b2e3c7fc64ea0c9" PartId="e09f054518a6457aaeeb1eb2c75bb5d6"/>
    <Part Type="punktas" Nr="2" Abbr="2 p." DocPartId="0b3550a1e3bf4885b153e25944cfac73" PartId="43a96add83864a048125ee08c98a32e4"/>
    <Part Type="punktas" Nr="3" Abbr="3 p." DocPartId="2e15ab242e6847b1b0914a80460e6892" PartId="bef95f5ad02f47cfbbbf33b309bbb7a4"/>
    <Part Type="punktas" Nr="4" Abbr="4 p." DocPartId="3d0ddf8ce48c4cb48068c950223dd37b" PartId="bee4bbc6b1024557983dfddb845ccfc2"/>
    <Part Type="punktas" Nr="5" Abbr="5 p." DocPartId="04c72ab01336406cbbd7fd19827ee0e8" PartId="293a0aede95d4429a1967da28c5987b0"/>
    <Part Type="signatura" DocPartId="0d1f822284004146abcc54a1e6d4d432" PartId="bd733d86ea1a40b9a82e9afd9ff2467a"/>
  </Part>
</Parts>
</file>

<file path=customXml/itemProps1.xml><?xml version="1.0" encoding="utf-8"?>
<ds:datastoreItem xmlns:ds="http://schemas.openxmlformats.org/officeDocument/2006/customXml" ds:itemID="{D2B38821-0131-4BF1-9661-7FC536EB6F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1342</Words>
  <Characters>9368</Characters>
  <Application>Microsoft Office Word</Application>
  <DocSecurity>0</DocSecurity>
  <Lines>78</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10689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Ulkienė Rita | ŠMSM</dc:creator>
  <cp:lastModifiedBy>DZIKAITĖ Jolanta</cp:lastModifiedBy>
  <cp:revision>4</cp:revision>
  <cp:lastPrinted>2010-02-18T07:54:00Z</cp:lastPrinted>
  <dcterms:created xsi:type="dcterms:W3CDTF">2024-05-07T07:11:00Z</dcterms:created>
  <dcterms:modified xsi:type="dcterms:W3CDTF">2024-05-08T03:12:00Z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ies>
</file>