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28f916d8f004b95825728afc5251d18"/>
        <w:lock w:val="sdtLocked"/>
        <w:richText/>
      </w:sdtPr>
      <w:sdtContent>
        <w:p w14:paraId="04D84FEE" w14:textId="77777777">
          <w:pPr>
            <w:tabs>
              <w:tab w:val="center" w:pos="4819"/>
              <w:tab w:val="right" w:pos="9638"/>
            </w:tabs>
          </w:pPr>
        </w:p>
        <w:p w14:paraId="29043608" w14:textId="73F1F4DD">
          <w:pPr>
            <w:tabs>
              <w:tab w:val="center" w:pos="4819"/>
              <w:tab w:val="right" w:pos="9638"/>
            </w:tabs>
            <w:jc w:val="center"/>
          </w:pPr>
          <w:r>
            <w:rPr>
              <w:szCs w:val="24"/>
              <w:lang w:eastAsia="lt-LT"/>
            </w:rPr>
            <w:object w:dxaOrig="795" w:dyaOrig="900" w14:anchorId="593F7ED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45pt" o:ole="" fillcolor="window">
                <v:imagedata r:id="rId7" o:title=""/>
              </v:shape>
              <o:OLEObject Type="Embed" ProgID="Word.Picture.8" ShapeID="_x0000_i1025" DrawAspect="Content" ObjectID="_1495036852" r:id="rId8"/>
            </w:object>
          </w:r>
        </w:p>
        <w:p w14:paraId="2904360C" w14:textId="77777777">
          <w:pPr>
            <w:suppressAutoHyphens/>
            <w:jc w:val="center"/>
            <w:rPr>
              <w:b/>
              <w:bCs/>
              <w:lang w:eastAsia="lt-LT"/>
            </w:rPr>
          </w:pPr>
          <w:r>
            <w:rPr>
              <w:b/>
              <w:bCs/>
              <w:lang w:eastAsia="lt-LT"/>
            </w:rPr>
            <w:t>LIETUVOS RESPUBLIKOS APLINKOS MINISTRAS</w:t>
          </w:r>
        </w:p>
        <w:p w14:paraId="2904360D" w14:textId="77777777">
          <w:pPr>
            <w:suppressAutoHyphens/>
            <w:jc w:val="center"/>
            <w:rPr>
              <w:b/>
              <w:bCs/>
              <w:lang w:eastAsia="lt-LT"/>
            </w:rPr>
          </w:pPr>
        </w:p>
        <w:p w14:paraId="2904360F" w14:textId="77777777">
          <w:pPr>
            <w:suppressAutoHyphens/>
            <w:jc w:val="center"/>
            <w:rPr>
              <w:b/>
              <w:bCs/>
              <w:lang w:eastAsia="lt-LT"/>
            </w:rPr>
          </w:pPr>
          <w:r>
            <w:rPr>
              <w:b/>
              <w:bCs/>
              <w:lang w:eastAsia="lt-LT"/>
            </w:rPr>
            <w:t>ĮSAKYMAS</w:t>
          </w:r>
        </w:p>
        <w:p w14:paraId="29043611" w14:textId="77777777">
          <w:pPr>
            <w:suppressAutoHyphens/>
            <w:jc w:val="center"/>
            <w:rPr>
              <w:b/>
              <w:szCs w:val="24"/>
              <w:lang w:eastAsia="lt-LT"/>
            </w:rPr>
          </w:pPr>
          <w:r>
            <w:rPr>
              <w:b/>
              <w:caps/>
              <w:szCs w:val="24"/>
              <w:lang w:eastAsia="lt-LT"/>
            </w:rPr>
            <w:t>Dėl Lietuvos Respublikos aplinkos ministro 2004 m. balandžio 15 d. įsakymo Nr. D1-187 „Dėl Aplinkosaugos sąlygų plaukioti vandens telkiniuose plaukiojimo priemonėmis patvirtinimo</w:t>
          </w:r>
          <w:r>
            <w:rPr>
              <w:b/>
              <w:szCs w:val="24"/>
              <w:lang w:eastAsia="lt-LT"/>
            </w:rPr>
            <w:t>“ PAKEITIMO</w:t>
          </w:r>
        </w:p>
        <w:p w14:paraId="29043612" w14:textId="77777777">
          <w:pPr>
            <w:suppressAutoHyphens/>
            <w:jc w:val="center"/>
            <w:rPr>
              <w:b/>
              <w:lang w:eastAsia="lt-LT"/>
            </w:rPr>
          </w:pPr>
        </w:p>
        <w:p w14:paraId="29043613" w14:textId="77777777">
          <w:pPr>
            <w:suppressAutoHyphens/>
            <w:jc w:val="center"/>
            <w:rPr>
              <w:lang w:eastAsia="lt-LT"/>
            </w:rPr>
          </w:pPr>
          <w:r>
            <w:rPr>
              <w:lang w:eastAsia="lt-LT"/>
            </w:rPr>
            <w:t>2015 m. birželio 1 d. Nr. D1-453</w:t>
          </w:r>
        </w:p>
        <w:p w14:paraId="29043614" w14:textId="77777777">
          <w:pPr>
            <w:suppressAutoHyphens/>
            <w:jc w:val="center"/>
            <w:rPr>
              <w:lang w:eastAsia="lt-LT"/>
            </w:rPr>
          </w:pPr>
          <w:r>
            <w:rPr>
              <w:lang w:eastAsia="lt-LT"/>
            </w:rPr>
            <w:t>Vilnius</w:t>
            <w:br/>
          </w:r>
        </w:p>
        <w:p w14:paraId="29043616" w14:textId="77777777">
          <w:pPr>
            <w:tabs>
              <w:tab w:val="left" w:pos="567"/>
            </w:tabs>
            <w:suppressAutoHyphens/>
            <w:ind w:left="-14" w:firstLine="567"/>
            <w:jc w:val="both"/>
            <w:rPr>
              <w:rFonts w:ascii="TimesLT" w:hAnsi="TimesLT"/>
              <w:color w:val="000000"/>
              <w:szCs w:val="24"/>
              <w:lang w:val="en-US" w:eastAsia="lt-LT"/>
            </w:rPr>
          </w:pPr>
        </w:p>
        <w:sdt>
          <w:sdtPr>
            <w:alias w:val="preambule"/>
            <w:tag w:val="part_aa0d65ec857041ae962ab33c8ca5a82d"/>
            <w:lock w:val="sdtLocked"/>
            <w:richText/>
          </w:sdtPr>
          <w:sdtContent>
            <w:p w14:paraId="29043617" w14:textId="77777777">
              <w:pPr>
                <w:spacing w:line="276" w:lineRule="auto"/>
                <w:ind w:firstLine="567"/>
                <w:jc w:val="both"/>
                <w:rPr>
                  <w:szCs w:val="24"/>
                  <w:lang w:eastAsia="lt-LT"/>
                </w:rPr>
              </w:pPr>
              <w:r>
                <w:rPr>
                  <w:szCs w:val="24"/>
                  <w:lang w:eastAsia="lt-LT"/>
                </w:rPr>
                <w:t>P a k e i č i u</w:t>
              </w:r>
              <w:r>
                <w:rPr>
                  <w:spacing w:val="33"/>
                  <w:szCs w:val="24"/>
                  <w:lang w:eastAsia="lt-LT"/>
                </w:rPr>
                <w:t xml:space="preserve"> </w:t>
              </w:r>
              <w:r>
                <w:rPr>
                  <w:szCs w:val="24"/>
                  <w:lang w:eastAsia="lt-LT"/>
                </w:rPr>
                <w:t>Aplinkosaugos sąlygas plaukioti vandens telkiniuose plaukiojimo priemonėmis, patvirtintas Lietuvos Respublikos aplinkos ministro 2004 m. balandžio 15 d. įsakymu Nr. D1-187 „Dėl Aplinkosaugos sąlygų plaukioti vandens telkiniuose plaukiojimo priemonėmis patvirtinimo“:</w:t>
              </w:r>
            </w:p>
          </w:sdtContent>
        </w:sdt>
        <w:sdt>
          <w:sdtPr>
            <w:alias w:val="1 p."/>
            <w:tag w:val="part_af8b53da33ba4d7ea9d55eaaf2061582"/>
            <w:lock w:val="sdtLocked"/>
            <w:richText/>
          </w:sdtPr>
          <w:sdtContent>
            <w:p w14:paraId="29043618" w14:textId="77777777">
              <w:pPr>
                <w:spacing w:line="276" w:lineRule="auto"/>
                <w:ind w:firstLine="567"/>
                <w:jc w:val="both"/>
                <w:rPr>
                  <w:szCs w:val="24"/>
                  <w:lang w:eastAsia="lt-LT"/>
                </w:rPr>
              </w:pPr>
              <w:sdt>
                <w:sdtPr>
                  <w:alias w:val="Numeris"/>
                  <w:tag w:val="nr_af8b53da33ba4d7ea9d55eaaf2061582"/>
                  <w:lock w:val="sdtLocked"/>
                  <w:richText/>
                </w:sdtPr>
                <w:sdtContent>
                  <w:r>
                    <w:rPr>
                      <w:szCs w:val="24"/>
                    </w:rPr>
                    <w:t>1</w:t>
                  </w:r>
                </w:sdtContent>
              </w:sdt>
              <w:r>
                <w:rPr>
                  <w:szCs w:val="24"/>
                </w:rPr>
                <w:t xml:space="preserve">. Papildau 14.2.3 </w:t>
              </w:r>
              <w:r>
                <w:rPr>
                  <w:szCs w:val="24"/>
                  <w:lang w:eastAsia="lt-LT"/>
                </w:rPr>
                <w:t>papunkčiu ir jį išdėstau taip:</w:t>
              </w:r>
            </w:p>
            <w:sdt>
              <w:sdtPr>
                <w:alias w:val="citata"/>
                <w:tag w:val="part_43fafe06f58e4e73937ff124dce0ffe5"/>
                <w:lock w:val="sdtLocked"/>
                <w:richText/>
              </w:sdtPr>
              <w:sdtContent>
                <w:sdt>
                  <w:sdtPr>
                    <w:alias w:val="14.2.3 p."/>
                    <w:tag w:val="part_8de3ecb36bed44cb866489b380cadd19"/>
                    <w:lock w:val="sdtLocked"/>
                    <w:richText/>
                  </w:sdtPr>
                  <w:sdtContent>
                    <w:p w14:paraId="29043619" w14:textId="77777777">
                      <w:pPr>
                        <w:spacing w:line="276" w:lineRule="auto"/>
                        <w:ind w:firstLine="567"/>
                        <w:jc w:val="both"/>
                        <w:rPr>
                          <w:szCs w:val="24"/>
                        </w:rPr>
                      </w:pPr>
                      <w:r>
                        <w:rPr>
                          <w:szCs w:val="24"/>
                          <w:lang w:eastAsia="lt-LT"/>
                        </w:rPr>
                        <w:t>„</w:t>
                      </w:r>
                      <w:sdt>
                        <w:sdtPr>
                          <w:alias w:val="Numeris"/>
                          <w:tag w:val="nr_8de3ecb36bed44cb866489b380cadd19"/>
                          <w:lock w:val="sdtLocked"/>
                          <w:richText/>
                        </w:sdtPr>
                        <w:sdtContent>
                          <w:r>
                            <w:rPr>
                              <w:szCs w:val="24"/>
                            </w:rPr>
                            <w:t>14.2.3</w:t>
                          </w:r>
                        </w:sdtContent>
                      </w:sdt>
                      <w:r>
                        <w:rPr>
                          <w:szCs w:val="24"/>
                        </w:rPr>
                        <w:t xml:space="preserve">. keturtakčiais varikliais kai bendras variklių galingumas neviršija 10 AG (8 kW) varomomis plaukiojimo priemonėmis nuo birželio 1 d. </w:t>
                      </w:r>
                      <w:r>
                        <w:rPr>
                          <w:rFonts w:eastAsia="Calibri"/>
                          <w:szCs w:val="24"/>
                          <w:lang w:eastAsia="lt-LT"/>
                        </w:rPr>
                        <w:t>iki navigacijos sezono pabaigos</w:t>
                      </w:r>
                      <w:r>
                        <w:rPr>
                          <w:szCs w:val="24"/>
                        </w:rPr>
                        <w:t xml:space="preserve"> leidžiama plaukioti seliavų verslinę žvejybą vykdantiems ūkio subjektams tuose valstybinių parkų ežeruose, kuriuose, vadovaujantis Lietuvos Respublikos žuvininkystės įstatymo 6 straipsnio 3 dalimi ir 14 straipsnio 1 dalimi, aplinkos ministro įsakymu einamiesiems metams nustatomi seliavų sugavimo verslinės žvejybos įrankiais limitai, išskyrus </w:t>
                      </w:r>
                      <w:r>
                        <w:rPr>
                          <w:rFonts w:eastAsia="Calibri"/>
                          <w:szCs w:val="24"/>
                        </w:rPr>
                        <w:t xml:space="preserve">Vandens telkinių, kuriuose plaukiojimas tam tikromis plaukiojimo priemonėmis draudžiamas ar ribojamas, sąraše, patvirtintame Lietuvos </w:t>
                      </w:r>
                      <w:r>
                        <w:rPr>
                          <w:szCs w:val="24"/>
                          <w:lang w:eastAsia="lt-LT"/>
                        </w:rPr>
                        <w:t xml:space="preserve">Respublikos aplinkos ministro 2014 m. balandžio 8 d. įsakymu Nr. D1-337 „Dėl </w:t>
                      </w:r>
                      <w:r>
                        <w:rPr>
                          <w:rFonts w:eastAsia="Calibri"/>
                          <w:szCs w:val="24"/>
                        </w:rPr>
                        <w:t>Vandens telkinių, kuriuose plaukiojimas tam tikro tipo plaukiojimo priemonėmis draudžiamas ar ribojamas, sąrašo patvirtinimo</w:t>
                      </w:r>
                      <w:r>
                        <w:rPr>
                          <w:szCs w:val="24"/>
                        </w:rPr>
                        <w:t>“ nurodytuose vandens telkiniuose.“.</w:t>
                      </w:r>
                    </w:p>
                  </w:sdtContent>
                </w:sdt>
              </w:sdtContent>
            </w:sdt>
          </w:sdtContent>
        </w:sdt>
        <w:sdt>
          <w:sdtPr>
            <w:alias w:val="2 p."/>
            <w:tag w:val="part_2262889a9c1a4e598522cebd22c090cf"/>
            <w:lock w:val="sdtLocked"/>
            <w:richText/>
          </w:sdtPr>
          <w:sdtContent>
            <w:p w14:paraId="2904361A" w14:textId="46F8DE03">
              <w:pPr>
                <w:ind w:firstLine="567"/>
                <w:jc w:val="both"/>
                <w:rPr>
                  <w:szCs w:val="24"/>
                  <w:lang w:eastAsia="lt-LT"/>
                </w:rPr>
              </w:pPr>
              <w:sdt>
                <w:sdtPr>
                  <w:alias w:val="Numeris"/>
                  <w:tag w:val="nr_2262889a9c1a4e598522cebd22c090cf"/>
                  <w:lock w:val="sdtLocked"/>
                  <w:richText/>
                </w:sdtPr>
                <w:sdtContent>
                  <w:r>
                    <w:rPr>
                      <w:szCs w:val="24"/>
                      <w:lang w:eastAsia="lt-LT"/>
                    </w:rPr>
                    <w:t>2</w:t>
                  </w:r>
                </w:sdtContent>
              </w:sdt>
              <w:r>
                <w:rPr>
                  <w:szCs w:val="24"/>
                  <w:lang w:eastAsia="lt-LT"/>
                </w:rPr>
                <w:t>. Papildau priedą 17 punktu ir jį išdėstau taip:</w:t>
              </w:r>
            </w:p>
            <w:p w14:paraId="244BBEAB" w14:textId="6BD28583">
              <w:pPr>
                <w:ind w:firstLine="567"/>
                <w:jc w:val="both"/>
                <w:rPr>
                  <w:szCs w:val="24"/>
                  <w:lang w:eastAsia="lt-LT"/>
                </w:rPr>
              </w:pPr>
            </w:p>
            <w:tbl>
              <w:tblPr>
                <w:tblW w:w="10206"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276"/>
                <w:gridCol w:w="1418"/>
                <w:gridCol w:w="850"/>
                <w:gridCol w:w="1134"/>
                <w:gridCol w:w="851"/>
                <w:gridCol w:w="4110"/>
              </w:tblGrid>
              <w:tr w14:paraId="29043624" w14:textId="77777777">
                <w:tc>
                  <w:tcPr>
                    <w:tcW w:w="567" w:type="dxa"/>
                  </w:tcPr>
                  <w:p w14:paraId="2904361B" w14:textId="77777777">
                    <w:pPr>
                      <w:jc w:val="both"/>
                      <w:rPr>
                        <w:szCs w:val="24"/>
                      </w:rPr>
                    </w:pPr>
                    <w:r>
                      <w:rPr>
                        <w:szCs w:val="24"/>
                      </w:rPr>
                      <w:t>„17.</w:t>
                    </w:r>
                  </w:p>
                </w:tc>
                <w:tc>
                  <w:tcPr>
                    <w:tcW w:w="1276" w:type="dxa"/>
                  </w:tcPr>
                  <w:p w14:paraId="2904361C" w14:textId="77777777">
                    <w:pPr>
                      <w:jc w:val="both"/>
                      <w:rPr>
                        <w:szCs w:val="24"/>
                      </w:rPr>
                    </w:pPr>
                    <w:r>
                      <w:rPr>
                        <w:szCs w:val="24"/>
                      </w:rPr>
                      <w:t>Tauragės r.</w:t>
                    </w:r>
                  </w:p>
                  <w:p w14:paraId="2904361D" w14:textId="77777777">
                    <w:pPr>
                      <w:jc w:val="both"/>
                      <w:rPr>
                        <w:szCs w:val="24"/>
                      </w:rPr>
                    </w:pPr>
                    <w:r>
                      <w:rPr>
                        <w:szCs w:val="24"/>
                      </w:rPr>
                      <w:t xml:space="preserve">Šilalės r. </w:t>
                    </w:r>
                  </w:p>
                </w:tc>
                <w:tc>
                  <w:tcPr>
                    <w:tcW w:w="1418" w:type="dxa"/>
                  </w:tcPr>
                  <w:p w14:paraId="2904361E" w14:textId="77777777">
                    <w:pPr>
                      <w:jc w:val="both"/>
                      <w:rPr>
                        <w:szCs w:val="24"/>
                      </w:rPr>
                    </w:pPr>
                    <w:r>
                      <w:rPr>
                        <w:szCs w:val="24"/>
                      </w:rPr>
                      <w:t>Balskų tvenkinys</w:t>
                    </w:r>
                  </w:p>
                </w:tc>
                <w:tc>
                  <w:tcPr>
                    <w:tcW w:w="850" w:type="dxa"/>
                  </w:tcPr>
                  <w:p w14:paraId="2904361F" w14:textId="77777777">
                    <w:pPr>
                      <w:jc w:val="both"/>
                      <w:rPr>
                        <w:szCs w:val="24"/>
                        <w:highlight w:val="lightGray"/>
                      </w:rPr>
                    </w:pPr>
                    <w:r>
                      <w:rPr>
                        <w:szCs w:val="24"/>
                      </w:rPr>
                      <w:t>281,5 ha</w:t>
                    </w:r>
                  </w:p>
                </w:tc>
                <w:tc>
                  <w:tcPr>
                    <w:tcW w:w="1134" w:type="dxa"/>
                  </w:tcPr>
                  <w:p w14:paraId="29043620" w14:textId="77777777">
                    <w:pPr>
                      <w:jc w:val="both"/>
                      <w:rPr>
                        <w:szCs w:val="24"/>
                        <w:highlight w:val="lightGray"/>
                      </w:rPr>
                    </w:pPr>
                    <w:r>
                      <w:rPr>
                        <w:szCs w:val="24"/>
                      </w:rPr>
                      <w:t>16050001</w:t>
                    </w:r>
                  </w:p>
                </w:tc>
                <w:tc>
                  <w:tcPr>
                    <w:tcW w:w="851" w:type="dxa"/>
                  </w:tcPr>
                  <w:p w14:paraId="29043621" w14:textId="77777777">
                    <w:pPr>
                      <w:jc w:val="both"/>
                      <w:rPr>
                        <w:szCs w:val="24"/>
                        <w:highlight w:val="lightGray"/>
                      </w:rPr>
                    </w:pPr>
                    <w:r>
                      <w:rPr>
                        <w:szCs w:val="24"/>
                      </w:rPr>
                      <w:t>–</w:t>
                    </w:r>
                  </w:p>
                </w:tc>
                <w:tc>
                  <w:tcPr>
                    <w:tcW w:w="4110" w:type="dxa"/>
                  </w:tcPr>
                  <w:p w14:paraId="29043622" w14:textId="77777777">
                    <w:pPr>
                      <w:spacing w:line="276" w:lineRule="auto"/>
                      <w:jc w:val="both"/>
                      <w:rPr>
                        <w:szCs w:val="24"/>
                      </w:rPr>
                    </w:pPr>
                    <w:r>
                      <w:rPr>
                        <w:szCs w:val="24"/>
                      </w:rPr>
                      <w:t xml:space="preserve">Vandens motociklais leidžiama plaukioti teisės aktų nustatyta tvarka pripažintų nacionalinių sporto (šakos) federacijų organizuojamų ir vykdomų sporto pratybų, sporto renginių arba sporto renginių, kurių organizavimą ir įgyvendinimą šios federacijos koordinuoja, metu, suderinus su Tauragės rajono ir Šilalės rajono savivaldybės administracija. </w:t>
                    </w:r>
                  </w:p>
                  <w:p w14:paraId="29043623" w14:textId="77777777">
                    <w:pPr>
                      <w:spacing w:line="276" w:lineRule="auto"/>
                      <w:jc w:val="both"/>
                      <w:rPr>
                        <w:szCs w:val="24"/>
                      </w:rPr>
                    </w:pPr>
                    <w:r>
                      <w:rPr>
                        <w:szCs w:val="24"/>
                      </w:rPr>
                      <w:t>Nacionalinės sporto (šakos) federacijos apie šių renginių, pratybų datą, laiką ir vietą turi raštu informuoti Aplinkos ministerijos Klaipėdos regiono aplinkos apsaugos departamentą.“</w:t>
                    </w:r>
                  </w:p>
                </w:tc>
              </w:tr>
            </w:tbl>
            <w:p w14:paraId="2904362A" w14:textId="38238A73">
              <w:pPr>
                <w:jc w:val="both"/>
                <w:rPr>
                  <w:szCs w:val="24"/>
                  <w:lang w:eastAsia="lt-LT"/>
                </w:rPr>
              </w:pPr>
            </w:p>
            <w:p w14:paraId="0658DFC4" w14:textId="77777777">
              <w:pPr>
                <w:jc w:val="both"/>
              </w:pPr>
            </w:p>
            <w:p w14:paraId="0DA2FA80" w14:textId="77777777">
              <w:pPr>
                <w:jc w:val="both"/>
              </w:pPr>
            </w:p>
          </w:sdtContent>
        </w:sdt>
        <w:sdt>
          <w:sdtPr>
            <w:alias w:val="signatura"/>
            <w:tag w:val="part_f6f5ba12b62c47779ee2b926927d8445"/>
            <w:lock w:val="sdtLocked"/>
            <w:richText/>
          </w:sdtPr>
          <w:sdtContent>
            <w:p w14:paraId="29043651" w14:textId="41B9FAE4">
              <w:pPr>
                <w:tabs>
                  <w:tab w:val="right" w:pos="10206"/>
                </w:tabs>
                <w:jc w:val="both"/>
                <w:rPr>
                  <w:szCs w:val="24"/>
                </w:rPr>
              </w:pPr>
              <w:r>
                <w:rPr>
                  <w:szCs w:val="24"/>
                </w:rPr>
                <w:t>Aplinkos ministras</w:t>
                <w:tab/>
                <w:t>Kęstutis Trečiokas</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418" w:right="567" w:bottom="1560"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043656" w14:textId="77777777">
      <w:pPr>
        <w:suppressAutoHyphens/>
        <w:rPr>
          <w:lang w:eastAsia="lt-LT"/>
        </w:rPr>
      </w:pPr>
      <w:r>
        <w:rPr>
          <w:lang w:eastAsia="lt-LT"/>
        </w:rPr>
        <w:separator/>
      </w:r>
    </w:p>
  </w:endnote>
  <w:endnote w:type="continuationSeparator" w:id="0">
    <w:p w14:paraId="29043657" w14:textId="77777777">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04365B"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04365C"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04365E"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043654" w14:textId="77777777">
      <w:pPr>
        <w:suppressAutoHyphens/>
        <w:rPr>
          <w:lang w:eastAsia="lt-LT"/>
        </w:rPr>
      </w:pPr>
      <w:r>
        <w:rPr>
          <w:lang w:eastAsia="lt-LT"/>
        </w:rPr>
        <w:separator/>
      </w:r>
    </w:p>
  </w:footnote>
  <w:footnote w:type="continuationSeparator" w:id="0">
    <w:p w14:paraId="29043655" w14:textId="77777777">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043658"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043659" w14:textId="77777777">
    <w:pPr>
      <w:tabs>
        <w:tab w:val="center" w:pos="4819"/>
        <w:tab w:val="right" w:pos="9638"/>
      </w:tabs>
      <w:jc w:val="center"/>
    </w:pPr>
    <w:r>
      <w:fldChar w:fldCharType="begin"/>
    </w:r>
    <w:r>
      <w:instrText xml:space="preserve"> PAGE   \* MERGEFORMAT </w:instrText>
    </w:r>
    <w:r>
      <w:fldChar w:fldCharType="separate"/>
    </w:r>
    <w:r>
      <w:t>2</w:t>
    </w:r>
    <w:r>
      <w:fldChar w:fldCharType="end"/>
    </w:r>
  </w:p>
  <w:p w14:paraId="2904365A" w14:textId="77777777">
    <w:pPr>
      <w:tabs>
        <w:tab w:val="center" w:pos="4153"/>
        <w:tab w:val="right" w:pos="9100"/>
      </w:tabs>
      <w:suppressAutoHyphens/>
      <w:jc w:val="center"/>
      <w:rPr>
        <w:spacing w:val="10"/>
        <w:szCs w:val="24"/>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04365D"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proofState w:spelling="clean" w:grammar="clean"/>
  <w:defaultTabStop w:val="720"/>
  <w:hyphenationZone w:val="396"/>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5F2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904360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80653992">
      <w:bodyDiv w:val="1"/>
      <w:marLeft w:val="225"/>
      <w:marRight w:val="225"/>
      <w:marTop w:val="0"/>
      <w:marBottom w:val="0"/>
      <w:divBdr>
        <w:top w:val="none" w:sz="0" w:space="0" w:color="auto"/>
        <w:left w:val="none" w:sz="0" w:space="0" w:color="auto"/>
        <w:bottom w:val="none" w:sz="0" w:space="0" w:color="auto"/>
        <w:right w:val="none" w:sz="0" w:space="0" w:color="auto"/>
      </w:divBdr>
      <w:divsChild>
        <w:div w:id="12458710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3fc6cde9eab49a9bc904108d8bd7dbd" PartId="328f916d8f004b95825728afc5251d18">
    <Part Type="preambule" DocPartId="e66108d4c0ed4af0945dfa8d1158ff65" PartId="aa0d65ec857041ae962ab33c8ca5a82d"/>
    <Part Type="punktas" Nr="1" Abbr="1 p." DocPartId="325981fcac17492dab05aa57cf321190" PartId="af8b53da33ba4d7ea9d55eaaf2061582">
      <Part Type="citata" DocPartId="fe8cf8813e984e64bb7c078cee9f645a" PartId="43fafe06f58e4e73937ff124dce0ffe5">
        <Part Type="punktas" Nr="14.2.3" Abbr="14.2.3 p." DocPartId="6cfcb7f5b7734b2089202d3a34f25a4c" PartId="8de3ecb36bed44cb866489b380cadd19"/>
      </Part>
    </Part>
    <Part Type="punktas" Nr="2" Abbr="2 p." DocPartId="fdc2c1bdd87f4acd8d9b16193dd5d1d7" PartId="2262889a9c1a4e598522cebd22c090cf"/>
    <Part Type="signatura" DocPartId="6dd80277bd444265849e3b5cb2e14b63" PartId="f6f5ba12b62c47779ee2b926927d8445"/>
  </Part>
</Parts>
</file>

<file path=customXml/itemProps1.xml><?xml version="1.0" encoding="utf-8"?>
<ds:datastoreItem xmlns:ds="http://schemas.openxmlformats.org/officeDocument/2006/customXml" ds:itemID="{04649EBB-566C-47D7-88D7-170F4806E0B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277</Words>
  <Characters>1945</Characters>
  <Application>Microsoft Office Word</Application>
  <DocSecurity>4</DocSecurity>
  <Lines>57</Lines>
  <Paragraphs>20</Paragraphs>
  <ScaleCrop>false</ScaleCrop>
  <HeadingPairs>
    <vt:vector size="2" baseType="variant">
      <vt:variant>
        <vt:lpstr>Title</vt:lpstr>
      </vt:variant>
      <vt:variant>
        <vt:i4>1</vt:i4>
      </vt:variant>
    </vt:vector>
  </HeadingPairs>
  <TitlesOfParts>
    <vt:vector size="1" baseType="lpstr">
      <vt:lpstr>&lt;Adresatas&gt;</vt:lpstr>
    </vt:vector>
  </TitlesOfParts>
  <Company>Aplinkos ministerija, Informacijos valdymo skyrius</Company>
  <LinksUpToDate>false</LinksUpToDate>
  <CharactersWithSpaces>2202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2015-06-05T05:56:00Z</dcterms:created>
  <dc:creator>a.balsyte</dc:creator>
  <lastModifiedBy>Adlib User</lastModifiedBy>
  <lastPrinted>2015-05-26T10:03:00Z</lastPrinted>
  <dcterms:modified xsi:type="dcterms:W3CDTF">2015-06-05T05:56:00Z</dcterms:modified>
  <revision>2</revision>
  <dc:title>&lt;Adresatas&gt;</dc:title>
</coreProperties>
</file>