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539fbfee8c4c219d93c2785355563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RADIOAKTYVIŲJŲ ATLIEKŲ TVARKYMO ĮSTATYMO NR. VIII-1190</w:t>
            <w:br/>
            <w:t>11 IR 17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balandžio</w:t>
          </w:r>
          <w:r>
            <w:rPr>
              <w:szCs w:val="24"/>
            </w:rPr>
            <w:t xml:space="preserve"> </w:t>
          </w:r>
          <w:r>
            <w:rPr>
              <w:szCs w:val="24"/>
              <w:lang w:val="en-US"/>
            </w:rPr>
            <w:t>18</w:t>
          </w:r>
          <w:r>
            <w:rPr>
              <w:szCs w:val="24"/>
            </w:rPr>
            <w:t xml:space="preserve"> d. Nr. </w:t>
          </w:r>
          <w:r>
            <w:rPr>
              <w:szCs w:val="24"/>
              <w:lang w:val="en-US"/>
            </w:rPr>
            <w:t>XIV-1883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c66ec450a474b1d9ea259f6da2dd7ed"/>
            <w:lock w:val="sdtLocked"/>
            <w:richText/>
          </w:sdtPr>
          <w:sdtContent>
            <w:p>
              <w:pPr>
                <w:spacing w:line="360" w:lineRule="auto"/>
                <w:ind w:firstLine="720"/>
                <w:jc w:val="both"/>
                <w:rPr>
                  <w:b/>
                  <w:bCs/>
                </w:rPr>
              </w:pPr>
              <w:sdt>
                <w:sdtPr>
                  <w:alias w:val="Numeris"/>
                  <w:tag w:val="nr_ac66ec450a474b1d9ea259f6da2dd7ed"/>
                  <w:lock w:val="sdtLocked"/>
                  <w:richText/>
                </w:sdtPr>
                <w:sdtContent>
                  <w:r>
                    <w:rPr>
                      <w:b/>
                      <w:bCs/>
                    </w:rPr>
                    <w:t>1</w:t>
                  </w:r>
                </w:sdtContent>
              </w:sdt>
              <w:r>
                <w:rPr>
                  <w:b/>
                  <w:bCs/>
                </w:rPr>
                <w:t xml:space="preserve"> straipsnis. </w:t>
              </w:r>
              <w:sdt>
                <w:sdtPr>
                  <w:alias w:val="Pavadinimas"/>
                  <w:tag w:val="title_ac66ec450a474b1d9ea259f6da2dd7ed"/>
                  <w:lock w:val="sdtLocked"/>
                  <w:richText/>
                </w:sdtPr>
                <w:sdtContent>
                  <w:r>
                    <w:rPr>
                      <w:b/>
                      <w:bCs/>
                    </w:rPr>
                    <w:t>11 straipsnio pakeitimas</w:t>
                  </w:r>
                </w:sdtContent>
              </w:sdt>
            </w:p>
            <w:sdt>
              <w:sdtPr>
                <w:alias w:val="1 str. 1 d."/>
                <w:tag w:val="part_2c5c5e2c9ee84ddcbd54482eaac3bc35"/>
                <w:lock w:val="sdtLocked"/>
                <w:richText/>
              </w:sdtPr>
              <w:sdtContent>
                <w:p>
                  <w:pPr>
                    <w:spacing w:line="360" w:lineRule="auto"/>
                    <w:ind w:firstLine="720"/>
                    <w:jc w:val="both"/>
                  </w:pPr>
                  <w:r>
                    <w:t>Pakeisti 11 straipsnio 5 dalį ir ją išdėstyti taip:</w:t>
                  </w:r>
                </w:p>
                <w:sdt>
                  <w:sdtPr>
                    <w:alias w:val="citata"/>
                    <w:tag w:val="part_f127792156ba4eda883ec09a67db47a2"/>
                    <w:lock w:val="sdtLocked"/>
                    <w:richText/>
                  </w:sdtPr>
                  <w:sdtContent>
                    <w:sdt>
                      <w:sdtPr>
                        <w:alias w:val="5 d."/>
                        <w:tag w:val="part_2e3ae1cb27784c6b828f3f18e9e6415c"/>
                        <w:lock w:val="sdtLocked"/>
                        <w:richText/>
                      </w:sdtPr>
                      <w:sdtContent>
                        <w:p>
                          <w:pPr>
                            <w:widowControl w:val="0"/>
                            <w:suppressAutoHyphens/>
                            <w:spacing w:line="360" w:lineRule="auto"/>
                            <w:ind w:firstLine="720"/>
                            <w:jc w:val="both"/>
                          </w:pPr>
                          <w:r>
                            <w:rPr>
                              <w:lang w:eastAsia="x-none"/>
                            </w:rPr>
                            <w:t>„</w:t>
                          </w:r>
                          <w:sdt>
                            <w:sdtPr>
                              <w:alias w:val="Numeris"/>
                              <w:tag w:val="nr_2e3ae1cb27784c6b828f3f18e9e6415c"/>
                              <w:lock w:val="sdtLocked"/>
                              <w:richText/>
                            </w:sdtPr>
                            <w:sdtContent>
                              <w:r>
                                <w:t>5</w:t>
                              </w:r>
                            </w:sdtContent>
                          </w:sdt>
                          <w:r>
                            <w:t>. Branduolinės energijos įstatyme nustatytais atvejais radioaktyviųjų atliekų tvarkytojui saugoti privalo būti perduodamos branduolinės ir (ar) radioaktyviosios medžiagos. Tokios branduolinės ir (ar) radioaktyviosios medžiagos tvarkomos ir saugomos, kol jos nėra grąžintos savininkui ar perduotos nuosavybės teise kitam asmeniui, turinčiam įstatymų nustatytą licenciją ar leidimą tokias medžiagas valdyti, vadovaujantis Valstybinės atominės energetikos saugos inspekcijos nustatytais branduolinės saugos reikalavimais dėl radioaktyviųjų atliekų tvarkymo, iki jų dėjimo į atliekyną. Šių branduolinių ir (ar) radioaktyviųjų medžiagų tvarkymo ir saugojimo išlaidas apmoka branduolines ar radioaktyviąsias medžiagas nuosavybės teise valdantis asmuo, kuris nustatyta tvarka ir terminais nesikreipė dėl licencijos ar leidimo galiojimo sustabdymo panaikinimo arba kuriam buvo panaikintas licencijos ar leidimo galiojimas.“</w:t>
                          </w:r>
                        </w:p>
                        <w:p>
                          <w:pPr>
                            <w:widowControl w:val="0"/>
                            <w:suppressAutoHyphens/>
                            <w:spacing w:line="360" w:lineRule="auto"/>
                            <w:ind w:firstLine="720"/>
                            <w:jc w:val="both"/>
                          </w:pPr>
                        </w:p>
                      </w:sdtContent>
                    </w:sdt>
                  </w:sdtContent>
                </w:sdt>
              </w:sdtContent>
            </w:sdt>
          </w:sdtContent>
        </w:sdt>
        <w:sdt>
          <w:sdtPr>
            <w:alias w:val="2 str."/>
            <w:tag w:val="part_f3fb3992dcff40f8814d24a4b39a244d"/>
            <w:lock w:val="sdtLocked"/>
            <w:richText/>
          </w:sdtPr>
          <w:sdtContent>
            <w:p>
              <w:pPr>
                <w:spacing w:line="360" w:lineRule="auto"/>
                <w:ind w:firstLine="720"/>
                <w:rPr>
                  <w:b/>
                  <w:bCs/>
                  <w:lang w:eastAsia="x-none"/>
                </w:rPr>
              </w:pPr>
              <w:sdt>
                <w:sdtPr>
                  <w:alias w:val="Numeris"/>
                  <w:tag w:val="nr_f3fb3992dcff40f8814d24a4b39a244d"/>
                  <w:lock w:val="sdtLocked"/>
                  <w:richText/>
                </w:sdtPr>
                <w:sdtContent>
                  <w:r>
                    <w:rPr>
                      <w:b/>
                      <w:bCs/>
                      <w:lang w:eastAsia="x-none"/>
                    </w:rPr>
                    <w:t>2</w:t>
                  </w:r>
                </w:sdtContent>
              </w:sdt>
              <w:r>
                <w:rPr>
                  <w:b/>
                  <w:bCs/>
                  <w:lang w:eastAsia="x-none"/>
                </w:rPr>
                <w:t xml:space="preserve"> straipsnis. </w:t>
              </w:r>
              <w:sdt>
                <w:sdtPr>
                  <w:alias w:val="Pavadinimas"/>
                  <w:tag w:val="title_f3fb3992dcff40f8814d24a4b39a244d"/>
                  <w:lock w:val="sdtLocked"/>
                  <w:richText/>
                </w:sdtPr>
                <w:sdtContent>
                  <w:r>
                    <w:rPr>
                      <w:b/>
                      <w:bCs/>
                      <w:lang w:eastAsia="x-none"/>
                    </w:rPr>
                    <w:t>17 straipsnio pakeitimas</w:t>
                  </w:r>
                </w:sdtContent>
              </w:sdt>
            </w:p>
            <w:sdt>
              <w:sdtPr>
                <w:alias w:val="2 str. 1 d."/>
                <w:tag w:val="part_c87ddc98b29045ed85f7bc0e503b32b4"/>
                <w:lock w:val="sdtLocked"/>
                <w:richText/>
              </w:sdtPr>
              <w:sdtContent>
                <w:p>
                  <w:pPr>
                    <w:spacing w:line="360" w:lineRule="auto"/>
                    <w:ind w:firstLine="720"/>
                    <w:rPr>
                      <w:lang w:eastAsia="x-none"/>
                    </w:rPr>
                  </w:pPr>
                  <w:r>
                    <w:rPr>
                      <w:lang w:eastAsia="x-none"/>
                    </w:rPr>
                    <w:t>Pakeisti 17 straipsnio 2 dalies 1 punktą ir jį išdėstyti taip:</w:t>
                  </w:r>
                </w:p>
                <w:sdt>
                  <w:sdtPr>
                    <w:alias w:val="citata"/>
                    <w:tag w:val="part_6077159c73d24c4d8e2146275ae779ec"/>
                    <w:lock w:val="sdtLocked"/>
                    <w:richText/>
                  </w:sdtPr>
                  <w:sdtContent>
                    <w:sdt>
                      <w:sdtPr>
                        <w:alias w:val="1 p."/>
                        <w:tag w:val="part_bf6641e821e04393b67cfe009a180f1b"/>
                        <w:lock w:val="sdtLocked"/>
                        <w:richText/>
                      </w:sdtPr>
                      <w:sdtContent>
                        <w:p>
                          <w:pPr>
                            <w:spacing w:line="360" w:lineRule="auto"/>
                            <w:ind w:firstLine="720"/>
                            <w:jc w:val="both"/>
                            <w:rPr>
                              <w:b/>
                              <w:bCs/>
                            </w:rPr>
                          </w:pPr>
                          <w:r>
                            <w:rPr>
                              <w:szCs w:val="24"/>
                              <w:lang w:eastAsia="lt-LT"/>
                            </w:rPr>
                            <w:t>„</w:t>
                          </w:r>
                          <w:sdt>
                            <w:sdtPr>
                              <w:alias w:val="Numeris"/>
                              <w:tag w:val="nr_bf6641e821e04393b67cfe009a180f1b"/>
                              <w:lock w:val="sdtLocked"/>
                              <w:richText/>
                            </w:sdtPr>
                            <w:sdtContent>
                              <w:r>
                                <w:rPr>
                                  <w:szCs w:val="24"/>
                                  <w:lang w:eastAsia="lt-LT"/>
                                </w:rPr>
                                <w:t>1</w:t>
                              </w:r>
                            </w:sdtContent>
                          </w:sdt>
                          <w:r>
                            <w:rPr>
                              <w:szCs w:val="24"/>
                              <w:lang w:eastAsia="lt-LT"/>
                            </w:rPr>
                            <w:t xml:space="preserve">) licencijos turėtojas, suderinęs su Valstybine atominės energetikos saugos inspekcija, nustato ir prireikus tikslina </w:t>
                          </w:r>
                          <w:r>
                            <w:t xml:space="preserve">taisyklių, nustatančių branduolinės energetikos objekto ir jo konstrukcijų, sistemų ir komponentų veikimo režimus ir veikimo parametrų ribines vertes bei mažiausią operatyvinių darbuotojų skaičių ir jų veiksmus, rinkinį (toliau – </w:t>
                          </w:r>
                          <w:r>
                            <w:rPr>
                              <w:szCs w:val="24"/>
                            </w:rPr>
                            <w:t>branduolinės energetikos objekto eksploatavimo parametrų ribinės vertės ir sąlygos)</w:t>
                          </w:r>
                          <w:r>
                            <w:t xml:space="preserve">, kurio laikantis užtikrinamas saugus branduolinės energetikos objekto eksploatavimas, pagrįstas </w:t>
                          </w:r>
                          <w:r>
                            <w:rPr>
                              <w:szCs w:val="24"/>
                              <w:lang w:eastAsia="lt-LT"/>
                            </w:rPr>
                            <w:t xml:space="preserve">bandymais, eksploatavimo patirtimi ir šio įstatymo 15 straipsnyje nurodytu saugos vertinimu. Licencijos turėtojas </w:t>
                          </w:r>
                          <w:r>
                            <w:rPr>
                              <w:szCs w:val="24"/>
                            </w:rPr>
                            <w:t>pagal Valstybinės atominės energetikos saugos inspekcijos viršininko nustatytus reikalavimus</w:t>
                          </w:r>
                          <w:r>
                            <w:rPr>
                              <w:szCs w:val="24"/>
                              <w:lang w:eastAsia="lt-LT"/>
                            </w:rPr>
                            <w:t xml:space="preserve"> parengia b</w:t>
                          </w:r>
                          <w:r>
                            <w:rPr>
                              <w:szCs w:val="24"/>
                            </w:rPr>
                            <w:t>randuolinės energetikos objekto eksploatavimo parametrų ribinių verčių ir sąlygų aprašą ir jį suderina su Valstybine atominės energetikos saugos inspekcija</w:t>
                          </w:r>
                          <w:r>
                            <w:rPr>
                              <w:szCs w:val="24"/>
                              <w:lang w:eastAsia="lt-LT"/>
                            </w:rPr>
                            <w:t>;“.</w:t>
                          </w:r>
                        </w:p>
                        <w:p>
                          <w:pPr>
                            <w:spacing w:line="360" w:lineRule="auto"/>
                            <w:ind w:firstLine="720"/>
                            <w:jc w:val="both"/>
                            <w:rPr>
                              <w:szCs w:val="24"/>
                              <w:lang w:eastAsia="lt-LT"/>
                            </w:rPr>
                          </w:pPr>
                        </w:p>
                      </w:sdtContent>
                    </w:sdt>
                  </w:sdtContent>
                </w:sdt>
              </w:sdtContent>
            </w:sdt>
          </w:sdtContent>
        </w:sdt>
        <w:sdt>
          <w:sdtPr>
            <w:alias w:val="3 str."/>
            <w:tag w:val="part_da6a454f1a444d61a6f2045f2e9eaf9d"/>
            <w:lock w:val="sdtLocked"/>
            <w:richText/>
          </w:sdtPr>
          <w:sdtContent>
            <w:p>
              <w:pPr>
                <w:keepLines/>
                <w:widowControl w:val="0"/>
                <w:suppressAutoHyphens/>
                <w:spacing w:line="360" w:lineRule="auto"/>
                <w:ind w:firstLine="720"/>
                <w:jc w:val="both"/>
                <w:outlineLvl w:val="1"/>
                <w:rPr>
                  <w:b/>
                  <w:bCs/>
                  <w:lang w:eastAsia="x-none"/>
                </w:rPr>
              </w:pPr>
              <w:sdt>
                <w:sdtPr>
                  <w:alias w:val="Numeris"/>
                  <w:tag w:val="nr_da6a454f1a444d61a6f2045f2e9eaf9d"/>
                  <w:lock w:val="sdtLocked"/>
                  <w:richText/>
                </w:sdtPr>
                <w:sdtContent>
                  <w:r>
                    <w:rPr>
                      <w:b/>
                      <w:bCs/>
                      <w:lang w:eastAsia="x-none"/>
                    </w:rPr>
                    <w:t>3</w:t>
                  </w:r>
                </w:sdtContent>
              </w:sdt>
              <w:r>
                <w:rPr>
                  <w:b/>
                  <w:bCs/>
                  <w:lang w:eastAsia="x-none"/>
                </w:rPr>
                <w:t xml:space="preserve"> straipsnis. </w:t>
              </w:r>
              <w:sdt>
                <w:sdtPr>
                  <w:alias w:val="Pavadinimas"/>
                  <w:tag w:val="title_da6a454f1a444d61a6f2045f2e9eaf9d"/>
                  <w:lock w:val="sdtLocked"/>
                  <w:richText/>
                </w:sdtPr>
                <w:sdtContent>
                  <w:r>
                    <w:rPr>
                      <w:b/>
                      <w:bCs/>
                      <w:lang w:eastAsia="x-none"/>
                    </w:rPr>
                    <w:t>Įstatymo įsigaliojimas ir įgyvendinimas</w:t>
                  </w:r>
                </w:sdtContent>
              </w:sdt>
            </w:p>
            <w:sdt>
              <w:sdtPr>
                <w:alias w:val="3 str. 1 d."/>
                <w:tag w:val="part_09ed5d63cb5b4553929bc2c41d00a644"/>
                <w:lock w:val="sdtLocked"/>
                <w:richText/>
              </w:sdtPr>
              <w:sdtContent>
                <w:p>
                  <w:pPr>
                    <w:spacing w:line="360" w:lineRule="auto"/>
                    <w:ind w:firstLine="720"/>
                    <w:jc w:val="both"/>
                    <w:rPr>
                      <w:lang w:eastAsia="x-none"/>
                    </w:rPr>
                  </w:pPr>
                  <w:sdt>
                    <w:sdtPr>
                      <w:alias w:val="Numeris"/>
                      <w:tag w:val="nr_09ed5d63cb5b4553929bc2c41d00a644"/>
                      <w:lock w:val="sdtLocked"/>
                      <w:richText/>
                    </w:sdtPr>
                    <w:sdtContent>
                      <w:r>
                        <w:rPr>
                          <w:lang w:eastAsia="x-none"/>
                        </w:rPr>
                        <w:t>1</w:t>
                      </w:r>
                    </w:sdtContent>
                  </w:sdt>
                  <w:r>
                    <w:rPr>
                      <w:lang w:eastAsia="x-none"/>
                    </w:rPr>
                    <w:t>. Šis įstatymas, išskyrus šio straipsnio 2 dalį, įsigalioja 2023 m. gegužės 1 d.</w:t>
                  </w:r>
                </w:p>
              </w:sdtContent>
            </w:sdt>
            <w:sdt>
              <w:sdtPr>
                <w:alias w:val="3 str. 2 d."/>
                <w:tag w:val="part_2f25e3ca0b6c433aa9c8899d31a93119"/>
                <w:lock w:val="sdtLocked"/>
                <w:richText/>
              </w:sdtPr>
              <w:sdtContent>
                <w:p>
                  <w:pPr>
                    <w:spacing w:line="360" w:lineRule="auto"/>
                    <w:ind w:firstLine="720"/>
                    <w:jc w:val="both"/>
                    <w:rPr>
                      <w:lang w:eastAsia="x-none"/>
                    </w:rPr>
                  </w:pPr>
                  <w:sdt>
                    <w:sdtPr>
                      <w:alias w:val="Numeris"/>
                      <w:tag w:val="nr_2f25e3ca0b6c433aa9c8899d31a93119"/>
                      <w:lock w:val="sdtLocked"/>
                      <w:richText/>
                    </w:sdtPr>
                    <w:sdtContent>
                      <w:r>
                        <w:rPr>
                          <w:lang w:eastAsia="x-none"/>
                        </w:rPr>
                        <w:t>2</w:t>
                      </w:r>
                    </w:sdtContent>
                  </w:sdt>
                  <w:r>
                    <w:rPr>
                      <w:lang w:eastAsia="x-none"/>
                    </w:rPr>
                    <w:t>. Valstybinės atominės energetikos saugos inspekcijos viršininkas iki 2023 m. balandžio 30 d. priima šio įstatymo įgyvendinamuosius teisės aktus.</w:t>
                  </w:r>
                </w:p>
                <w:p>
                  <w:pPr>
                    <w:spacing w:line="360" w:lineRule="auto"/>
                    <w:ind w:firstLine="720"/>
                    <w:jc w:val="both"/>
                    <w:rPr>
                      <w:i/>
                      <w:szCs w:val="24"/>
                    </w:rPr>
                  </w:pPr>
                </w:p>
              </w:sdtContent>
            </w:sdt>
          </w:sdtContent>
        </w:sdt>
        <w:sdt>
          <w:sdtPr>
            <w:alias w:val="signatura"/>
            <w:tag w:val="part_42104bf5a79446bba3881cc83f835b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2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E9E7B5-0A98-46A4-AFDF-136022CD0F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c7c32bd10c4dc08d2c6eb5c99ec713" PartId="ee539fbfee8c4c219d93c27853555632">
    <Part Type="straipsnis" Nr="1" Abbr="1 str." Title="11 straipsnio pakeitimas" DocPartId="4542afe9d7954a9b82b4d802fc8edfd6" PartId="ac66ec450a474b1d9ea259f6da2dd7ed">
      <Part Type="strDalis" Nr="1" Abbr="1 str. 1 d." DocPartId="f91fa10ee03a41ac83f896697dd336d1" PartId="2c5c5e2c9ee84ddcbd54482eaac3bc35">
        <Part Type="citata" DocPartId="b40ecdbf2616418cbc98ba20979bd37d" PartId="f127792156ba4eda883ec09a67db47a2">
          <Part Type="strDalis" Nr="5" Abbr="5 d." DocPartId="2bf496789a5f4134bd8b66d12d473ccc" PartId="2e3ae1cb27784c6b828f3f18e9e6415c"/>
        </Part>
      </Part>
    </Part>
    <Part Type="straipsnis" Nr="2" Abbr="2 str." Title="17 straipsnio pakeitimas" DocPartId="0a34c1d4b7774123adc3eff0f173d64b" PartId="f3fb3992dcff40f8814d24a4b39a244d">
      <Part Type="strDalis" Nr="1" Abbr="2 str. 1 d." DocPartId="44fd8796abda48f6b48eaa89ae55f48b" PartId="c87ddc98b29045ed85f7bc0e503b32b4">
        <Part Type="citata" DocPartId="9675d128d2074059bc2a423924b0aa8c" PartId="6077159c73d24c4d8e2146275ae779ec">
          <Part Type="strPunktas" Nr="1" Abbr="1 p." DocPartId="6ccd51eaeb4744a9a34f4c8f2a3382a6" PartId="bf6641e821e04393b67cfe009a180f1b"/>
        </Part>
      </Part>
    </Part>
    <Part Type="straipsnis" Nr="3" Abbr="3 str." Title="Įstatymo įsigaliojimas ir įgyvendinimas" DocPartId="6171526782a64eaa80b5242ac19cdc6d" PartId="da6a454f1a444d61a6f2045f2e9eaf9d">
      <Part Type="strDalis" Nr="1" Abbr="3 str. 1 d." DocPartId="ab247adf95b84474aeebee40af7aad1d" PartId="09ed5d63cb5b4553929bc2c41d00a644"/>
      <Part Type="strDalis" Nr="2" Abbr="3 str. 2 d." DocPartId="4ab8c3069ecf46f1a9d0015b7ebfa610" PartId="2f25e3ca0b6c433aa9c8899d31a93119"/>
    </Part>
    <Part Type="signatura" DocPartId="9640bc30f75f436f943dd50e2716a201" PartId="42104bf5a79446bba3881cc83f835b53"/>
  </Part>
</Parts>
</file>

<file path=customXml/itemProps1.xml><?xml version="1.0" encoding="utf-8"?>
<ds:datastoreItem xmlns:ds="http://schemas.openxmlformats.org/officeDocument/2006/customXml" ds:itemID="{95E3D8F4-EEA8-4331-9B8F-FCC70E4081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312</Words>
  <Characters>2260</Characters>
  <Application>Microsoft Office Word</Application>
  <DocSecurity>4</DocSecurity>
  <Lines>49</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2554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2023-04-21T07:22:00Z</dcterms:created>
  <dc:creator>MOZERĖ Dainora</dc:creator>
  <lastModifiedBy>adlibuser</lastModifiedBy>
  <lastPrinted>2023-04-18T08:37:00Z</lastPrinted>
  <dcterms:modified xsi:type="dcterms:W3CDTF">2023-04-21T07:22:00Z</dcterms:modified>
  <revision>2</revision>
</coreProperties>
</file>