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4ebb2a7f35a42afb40c9e139af9eff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MOBILIZACIJOS IR PRIIMANČIOSIOS ŠALIES PARAMOS ĮSTATYMO NR. I-1623 6 IR 7 STRAIPSNIŲ PAKEITIMO</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gegužės</w:t>
          </w:r>
          <w:r>
            <w:rPr>
              <w:szCs w:val="24"/>
            </w:rPr>
            <w:t xml:space="preserve"> </w:t>
          </w:r>
          <w:r>
            <w:rPr>
              <w:szCs w:val="24"/>
              <w:lang w:val="en-US"/>
            </w:rPr>
            <w:t>9</w:t>
          </w:r>
          <w:r>
            <w:rPr>
              <w:szCs w:val="24"/>
            </w:rPr>
            <w:t xml:space="preserve"> d. Nr. </w:t>
          </w:r>
          <w:r>
            <w:rPr>
              <w:szCs w:val="24"/>
              <w:lang w:val="en-US"/>
            </w:rPr>
            <w:t>XIV-1931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2234c7ac4474675b554aee098c4b820"/>
            <w:lock w:val="sdtLocked"/>
            <w:richText/>
          </w:sdtPr>
          <w:sdtContent>
            <w:p>
              <w:pPr>
                <w:spacing w:line="360" w:lineRule="auto"/>
                <w:ind w:firstLine="720"/>
                <w:jc w:val="both"/>
                <w:rPr>
                  <w:b/>
                  <w:bCs/>
                  <w:szCs w:val="24"/>
                  <w:bdr w:val="none" w:sz="0" w:space="0" w:color="auto" w:frame="1"/>
                </w:rPr>
              </w:pPr>
              <w:sdt>
                <w:sdtPr>
                  <w:alias w:val="Numeris"/>
                  <w:tag w:val="nr_52234c7ac4474675b554aee098c4b820"/>
                  <w:lock w:val="sdtLocked"/>
                  <w:richText/>
                </w:sdtPr>
                <w:sdtContent>
                  <w:r>
                    <w:rPr>
                      <w:b/>
                      <w:bCs/>
                      <w:szCs w:val="24"/>
                      <w:bdr w:val="none" w:sz="0" w:space="0" w:color="auto" w:frame="1"/>
                    </w:rPr>
                    <w:t>1</w:t>
                  </w:r>
                </w:sdtContent>
              </w:sdt>
              <w:r>
                <w:rPr>
                  <w:b/>
                  <w:bCs/>
                  <w:szCs w:val="24"/>
                  <w:bdr w:val="none" w:sz="0" w:space="0" w:color="auto" w:frame="1"/>
                </w:rPr>
                <w:t xml:space="preserve"> straipsnis. </w:t>
              </w:r>
              <w:sdt>
                <w:sdtPr>
                  <w:alias w:val="Pavadinimas"/>
                  <w:tag w:val="title_52234c7ac4474675b554aee098c4b820"/>
                  <w:lock w:val="sdtLocked"/>
                  <w:richText/>
                </w:sdtPr>
                <w:sdtContent>
                  <w:r>
                    <w:rPr>
                      <w:b/>
                      <w:bCs/>
                      <w:szCs w:val="24"/>
                      <w:bdr w:val="none" w:sz="0" w:space="0" w:color="auto" w:frame="1"/>
                    </w:rPr>
                    <w:t>6 straipsnio pakeitimas</w:t>
                  </w:r>
                </w:sdtContent>
              </w:sdt>
            </w:p>
            <w:sdt>
              <w:sdtPr>
                <w:alias w:val="1 str. 1 d."/>
                <w:tag w:val="part_11f43d1f278f4c48b56b17436ca01210"/>
                <w:lock w:val="sdtLocked"/>
                <w:richText/>
              </w:sdtPr>
              <w:sdtContent>
                <w:p>
                  <w:pPr>
                    <w:spacing w:line="360" w:lineRule="auto"/>
                    <w:ind w:firstLine="720"/>
                    <w:jc w:val="both"/>
                    <w:rPr>
                      <w:szCs w:val="24"/>
                      <w:lang w:eastAsia="lt-LT"/>
                    </w:rPr>
                  </w:pPr>
                  <w:r>
                    <w:rPr>
                      <w:bCs/>
                      <w:bdr w:val="none" w:sz="0" w:space="0" w:color="auto" w:frame="1"/>
                    </w:rPr>
                    <w:t>Pakeisti 6 straipsnio 10 punktą ir jį išdėstyti taip:</w:t>
                  </w:r>
                </w:p>
                <w:sdt>
                  <w:sdtPr>
                    <w:alias w:val="citata"/>
                    <w:tag w:val="part_2e157052a0d942b080e0d324d50d3b2e"/>
                    <w:lock w:val="sdtLocked"/>
                    <w:richText/>
                  </w:sdtPr>
                  <w:sdtContent>
                    <w:sdt>
                      <w:sdtPr>
                        <w:alias w:val="10 p."/>
                        <w:tag w:val="part_8227d1e56cc345568962eae228715cfc"/>
                        <w:lock w:val="sdtLocked"/>
                        <w:richText/>
                      </w:sdtPr>
                      <w:sdtContent>
                        <w:p>
                          <w:pPr>
                            <w:shd w:val="clear" w:color="auto" w:fill="FFFFFF"/>
                            <w:spacing w:line="360" w:lineRule="auto"/>
                            <w:ind w:firstLine="720"/>
                            <w:jc w:val="both"/>
                            <w:rPr>
                              <w:szCs w:val="24"/>
                            </w:rPr>
                          </w:pPr>
                          <w:r>
                            <w:rPr>
                              <w:szCs w:val="24"/>
                            </w:rPr>
                            <w:t>„</w:t>
                          </w:r>
                          <w:sdt>
                            <w:sdtPr>
                              <w:alias w:val="Numeris"/>
                              <w:tag w:val="nr_8227d1e56cc345568962eae228715cfc"/>
                              <w:lock w:val="sdtLocked"/>
                              <w:richText/>
                            </w:sdtPr>
                            <w:sdtContent>
                              <w:r>
                                <w:rPr>
                                  <w:szCs w:val="24"/>
                                </w:rPr>
                                <w:t>10</w:t>
                              </w:r>
                            </w:sdtContent>
                          </w:sdt>
                          <w:r>
                            <w:rPr>
                              <w:szCs w:val="24"/>
                            </w:rPr>
                            <w:t xml:space="preserve">) atsižvelgdama į neatidėliotiną visuomenės poreikį plėsti pasirengimą krašto gynybai, </w:t>
                          </w:r>
                          <w:r>
                            <w:t xml:space="preserve">tvirtina karinės infrastruktūros, reikalingos priimančiosios šalies paramai užtikrinti, sąrašą, kuriame nurodoma priimančiosios šalies paramai užtikrinti reikalinga karinė infrastruktūra, jos paskirtis, jos pritaikymui ir (ar) sukūrimui reikalinga teritorija ir </w:t>
                          </w:r>
                          <w:r>
                            <w:rPr>
                              <w:bCs/>
                            </w:rPr>
                            <w:t>jos dydis</w:t>
                          </w:r>
                          <w:r>
                            <w:t xml:space="preserve"> ir (ar) žemės sklypai ir vieta Lietuvos regione.</w:t>
                          </w:r>
                          <w:r>
                            <w:rPr>
                              <w:szCs w:val="24"/>
                            </w:rPr>
                            <w:t xml:space="preserve"> Teritorija, reikalinga karinei infrastruktūrai </w:t>
                          </w:r>
                          <w:r>
                            <w:t>pritaikyti ir (ar) sukurti, jos dydis ir (ar) žemės sklypai ir vieta Lietuvos regione parenkama įvertinus konkrečiai karinei infrastruktūrai reikalingus specialiuosius karinius reikalavimus (operacinius, logistinius, infrastruktūros išdėstymo), urbanizuotas teritorijas, kraštovaizdį, gamtos ir kultūros paveldą, suderinus tose teritorijose vykdomas veiklas su veiklomis, vykdomomis karinėse teritorijose, ir veiklomis, vykdomomis besiribojančiose teritorijose, pirmumą teikiant valstybinės žemės plotams, kuriuose nesuformuoti žemės sklypai, ir (ar) žemės sklypams, nuosavybės teise priklausantiems valstybei, stengiantis į teritoriją neįtraukti privačios žemės sklypų, o jeigu įvertinus alternatyvias teritorijas privačios žemės sklypų įtraukimas į teritoriją neišvengiamas, – stengiantis į teritoriją įtraukti kuo mažesnį privačios žemės sklypų plotą</w:t>
                          </w:r>
                          <w:r>
                            <w:rPr>
                              <w:rFonts w:eastAsia="Calibri"/>
                              <w:szCs w:val="24"/>
                            </w:rPr>
                            <w:t>;</w:t>
                          </w:r>
                          <w:r>
                            <w:rPr>
                              <w:szCs w:val="24"/>
                            </w:rPr>
                            <w:t>“.</w:t>
                          </w:r>
                        </w:p>
                        <w:p>
                          <w:pPr>
                            <w:spacing w:line="360" w:lineRule="auto"/>
                            <w:ind w:leftChars="1000" w:left="2400" w:firstLine="720"/>
                            <w:rPr>
                              <w:sz w:val="22"/>
                            </w:rPr>
                          </w:pPr>
                        </w:p>
                      </w:sdtContent>
                    </w:sdt>
                  </w:sdtContent>
                </w:sdt>
              </w:sdtContent>
            </w:sdt>
          </w:sdtContent>
        </w:sdt>
        <w:sdt>
          <w:sdtPr>
            <w:alias w:val="2 str."/>
            <w:tag w:val="part_6f2882f9ddaf48348ec61162bccff7f1"/>
            <w:lock w:val="sdtLocked"/>
            <w:richText/>
          </w:sdtPr>
          <w:sdtContent>
            <w:p>
              <w:pPr>
                <w:spacing w:line="360" w:lineRule="auto"/>
                <w:ind w:firstLine="720"/>
                <w:jc w:val="both"/>
                <w:rPr>
                  <w:b/>
                  <w:bCs/>
                  <w:szCs w:val="24"/>
                  <w:bdr w:val="none" w:sz="0" w:space="0" w:color="auto" w:frame="1"/>
                </w:rPr>
              </w:pPr>
              <w:sdt>
                <w:sdtPr>
                  <w:alias w:val="Numeris"/>
                  <w:tag w:val="nr_6f2882f9ddaf48348ec61162bccff7f1"/>
                  <w:lock w:val="sdtLocked"/>
                  <w:richText/>
                </w:sdtPr>
                <w:sdtContent>
                  <w:r>
                    <w:rPr>
                      <w:b/>
                      <w:bCs/>
                      <w:szCs w:val="24"/>
                      <w:bdr w:val="none" w:sz="0" w:space="0" w:color="auto" w:frame="1"/>
                    </w:rPr>
                    <w:t>2</w:t>
                  </w:r>
                </w:sdtContent>
              </w:sdt>
              <w:r>
                <w:rPr>
                  <w:b/>
                  <w:bCs/>
                  <w:szCs w:val="24"/>
                  <w:bdr w:val="none" w:sz="0" w:space="0" w:color="auto" w:frame="1"/>
                </w:rPr>
                <w:t xml:space="preserve"> straipsnis. </w:t>
              </w:r>
              <w:sdt>
                <w:sdtPr>
                  <w:alias w:val="Pavadinimas"/>
                  <w:tag w:val="title_6f2882f9ddaf48348ec61162bccff7f1"/>
                  <w:lock w:val="sdtLocked"/>
                  <w:richText/>
                </w:sdtPr>
                <w:sdtContent>
                  <w:r>
                    <w:rPr>
                      <w:b/>
                      <w:bCs/>
                      <w:szCs w:val="24"/>
                      <w:bdr w:val="none" w:sz="0" w:space="0" w:color="auto" w:frame="1"/>
                    </w:rPr>
                    <w:t>7 straipsnio pakeitimas</w:t>
                  </w:r>
                </w:sdtContent>
              </w:sdt>
            </w:p>
            <w:sdt>
              <w:sdtPr>
                <w:alias w:val="2 str. 1 d."/>
                <w:tag w:val="part_8f8f6aff19324cbd827f20070933a891"/>
                <w:lock w:val="sdtLocked"/>
                <w:richText/>
              </w:sdtPr>
              <w:sdtContent>
                <w:p>
                  <w:pPr>
                    <w:spacing w:line="360" w:lineRule="auto"/>
                    <w:ind w:firstLine="720"/>
                    <w:jc w:val="both"/>
                    <w:rPr>
                      <w:szCs w:val="24"/>
                      <w:lang w:eastAsia="lt-LT"/>
                    </w:rPr>
                  </w:pPr>
                  <w:r>
                    <w:rPr>
                      <w:bCs/>
                      <w:bdr w:val="none" w:sz="0" w:space="0" w:color="auto" w:frame="1"/>
                    </w:rPr>
                    <w:t>Pakeisti 7 straipsnio 1 dalies 5 punktą ir jį išdėstyti taip:</w:t>
                  </w:r>
                </w:p>
                <w:sdt>
                  <w:sdtPr>
                    <w:alias w:val="citata"/>
                    <w:tag w:val="part_c876a667c1eb42fdbee3f10dd7825723"/>
                    <w:lock w:val="sdtLocked"/>
                    <w:richText/>
                  </w:sdtPr>
                  <w:sdtContent>
                    <w:sdt>
                      <w:sdtPr>
                        <w:alias w:val="5 p."/>
                        <w:tag w:val="part_7c8a9eeed5914a17ae416a1f9b12eda7"/>
                        <w:lock w:val="sdtLocked"/>
                        <w:richText/>
                      </w:sdtPr>
                      <w:sdtContent>
                        <w:p>
                          <w:pPr>
                            <w:spacing w:line="360" w:lineRule="auto"/>
                            <w:ind w:firstLine="720"/>
                            <w:jc w:val="both"/>
                            <w:rPr>
                              <w:szCs w:val="24"/>
                              <w:lang w:eastAsia="en-GB"/>
                            </w:rPr>
                          </w:pPr>
                          <w:r>
                            <w:rPr>
                              <w:szCs w:val="24"/>
                              <w:lang w:eastAsia="en-GB"/>
                            </w:rPr>
                            <w:t>„</w:t>
                          </w:r>
                          <w:sdt>
                            <w:sdtPr>
                              <w:alias w:val="Numeris"/>
                              <w:tag w:val="nr_7c8a9eeed5914a17ae416a1f9b12eda7"/>
                              <w:lock w:val="sdtLocked"/>
                              <w:richText/>
                            </w:sdtPr>
                            <w:sdtContent>
                              <w:r>
                                <w:rPr>
                                  <w:szCs w:val="24"/>
                                </w:rPr>
                                <w:t>5</w:t>
                              </w:r>
                            </w:sdtContent>
                          </w:sdt>
                          <w:r>
                            <w:rPr>
                              <w:szCs w:val="24"/>
                            </w:rPr>
                            <w:t xml:space="preserve">) rengia ir, </w:t>
                          </w:r>
                          <w:r>
                            <w:rPr>
                              <w:bCs/>
                              <w:szCs w:val="24"/>
                            </w:rPr>
                            <w:t xml:space="preserve">suderinusi su Lietuvos Respublikos aplinkos ministerija, </w:t>
                          </w:r>
                          <w:r>
                            <w:rPr>
                              <w:szCs w:val="24"/>
                            </w:rPr>
                            <w:t>teikia Vyriausybei tvirtinti karinės infrastruktūros, reikalingos priimančiosios šalies paramai užtikrinti, sąrašą</w:t>
                          </w:r>
                          <w:r>
                            <w:t xml:space="preserve"> </w:t>
                          </w:r>
                          <w:r>
                            <w:rPr>
                              <w:szCs w:val="24"/>
                            </w:rPr>
                            <w:t>kartu su</w:t>
                          </w:r>
                          <w:r>
                            <w:rPr>
                              <w:bCs/>
                            </w:rPr>
                            <w:t xml:space="preserve"> motyvuotu karinės infrastruktūros ir jai pritaikyti ir (ar) sukurti reikalingos teritorijos pagrindimu, kuriame detaliai aprašomas</w:t>
                          </w:r>
                          <w:r>
                            <w:rPr>
                              <w:szCs w:val="24"/>
                            </w:rPr>
                            <w:t xml:space="preserve"> šio įstatymo 6 straipsnio 10 punkte nurodytų kriterijų įvertinimas;</w:t>
                          </w:r>
                          <w:r>
                            <w:rPr>
                              <w:szCs w:val="24"/>
                              <w:lang w:eastAsia="en-GB"/>
                            </w:rPr>
                            <w:t>“.</w:t>
                          </w:r>
                        </w:p>
                        <w:p>
                          <w:pPr>
                            <w:spacing w:line="360" w:lineRule="auto"/>
                            <w:ind w:leftChars="1000" w:left="2400" w:firstLine="720"/>
                            <w:rPr>
                              <w:sz w:val="22"/>
                              <w:lang w:eastAsia="en-GB"/>
                            </w:rPr>
                          </w:pPr>
                        </w:p>
                        <w:p>
                          <w:pPr>
                            <w:rPr>
                              <w:sz w:val="8"/>
                              <w:szCs w:val="8"/>
                            </w:rPr>
                          </w:pPr>
                        </w:p>
                        <w:p>
                          <w:pPr>
                            <w:spacing w:line="360" w:lineRule="auto"/>
                            <w:ind w:leftChars="1000" w:left="2400" w:firstLine="720"/>
                            <w:rPr>
                              <w:sz w:val="22"/>
                              <w:lang w:eastAsia="en-GB"/>
                            </w:rPr>
                          </w:pPr>
                        </w:p>
                        <w:p>
                          <w:pPr>
                            <w:rPr>
                              <w:sz w:val="8"/>
                              <w:szCs w:val="8"/>
                            </w:rPr>
                          </w:pPr>
                        </w:p>
                      </w:sdtContent>
                    </w:sdt>
                  </w:sdtContent>
                </w:sdt>
              </w:sdtContent>
            </w:sdt>
          </w:sdtContent>
        </w:sdt>
        <w:sdt>
          <w:sdtPr>
            <w:alias w:val="3 str."/>
            <w:tag w:val="part_d5039d13efc3425d8ac05608b23e03f1"/>
            <w:lock w:val="sdtLocked"/>
            <w:richText/>
          </w:sdtPr>
          <w:sdtContent>
            <w:p>
              <w:pPr>
                <w:spacing w:line="360" w:lineRule="auto"/>
                <w:ind w:firstLine="720"/>
                <w:jc w:val="both"/>
                <w:rPr>
                  <w:b/>
                  <w:bCs/>
                  <w:szCs w:val="24"/>
                </w:rPr>
              </w:pPr>
              <w:sdt>
                <w:sdtPr>
                  <w:alias w:val="Numeris"/>
                  <w:tag w:val="nr_d5039d13efc3425d8ac05608b23e03f1"/>
                  <w:lock w:val="sdtLocked"/>
                  <w:richText/>
                </w:sdtPr>
                <w:sdtContent>
                  <w:r>
                    <w:rPr>
                      <w:b/>
                      <w:szCs w:val="24"/>
                      <w:lang w:eastAsia="en-GB"/>
                    </w:rPr>
                    <w:t>3</w:t>
                  </w:r>
                </w:sdtContent>
              </w:sdt>
              <w:r>
                <w:rPr>
                  <w:b/>
                  <w:szCs w:val="24"/>
                  <w:lang w:eastAsia="en-GB"/>
                </w:rPr>
                <w:t xml:space="preserve"> straipsnis. </w:t>
              </w:r>
              <w:sdt>
                <w:sdtPr>
                  <w:alias w:val="Pavadinimas"/>
                  <w:tag w:val="title_d5039d13efc3425d8ac05608b23e03f1"/>
                  <w:lock w:val="sdtLocked"/>
                  <w:richText/>
                </w:sdtPr>
                <w:sdtContent>
                  <w:r>
                    <w:rPr>
                      <w:b/>
                      <w:bCs/>
                      <w:szCs w:val="24"/>
                    </w:rPr>
                    <w:t>Įstatymo įsigaliojimas ir taikymas</w:t>
                  </w:r>
                </w:sdtContent>
              </w:sdt>
            </w:p>
            <w:sdt>
              <w:sdtPr>
                <w:alias w:val="3 str. 1 d."/>
                <w:tag w:val="part_00c334c1bd8f4aea904fc712b171ca80"/>
                <w:lock w:val="sdtLocked"/>
                <w:richText/>
              </w:sdtPr>
              <w:sdtContent>
                <w:p>
                  <w:pPr>
                    <w:spacing w:line="360" w:lineRule="auto"/>
                    <w:ind w:firstLine="720"/>
                    <w:jc w:val="both"/>
                    <w:rPr>
                      <w:szCs w:val="24"/>
                      <w:lang w:eastAsia="en-GB"/>
                    </w:rPr>
                  </w:pPr>
                  <w:sdt>
                    <w:sdtPr>
                      <w:alias w:val="Numeris"/>
                      <w:tag w:val="nr_00c334c1bd8f4aea904fc712b171ca80"/>
                      <w:lock w:val="sdtLocked"/>
                      <w:richText/>
                    </w:sdtPr>
                    <w:sdtContent>
                      <w:r>
                        <w:rPr>
                          <w:szCs w:val="24"/>
                          <w:lang w:eastAsia="en-GB"/>
                        </w:rPr>
                        <w:t>1</w:t>
                      </w:r>
                    </w:sdtContent>
                  </w:sdt>
                  <w:r>
                    <w:rPr>
                      <w:szCs w:val="24"/>
                      <w:lang w:eastAsia="en-GB"/>
                    </w:rPr>
                    <w:t>. Šis įstatymas įsigalioja 2023 m. birželio 1 d.</w:t>
                  </w:r>
                </w:p>
              </w:sdtContent>
            </w:sdt>
            <w:sdt>
              <w:sdtPr>
                <w:alias w:val="3 str. 2 d."/>
                <w:tag w:val="part_714a7d63c46e49069e5db5bcf651819e"/>
                <w:lock w:val="sdtLocked"/>
                <w:richText/>
              </w:sdtPr>
              <w:sdtContent>
                <w:p>
                  <w:pPr>
                    <w:spacing w:line="360" w:lineRule="auto"/>
                    <w:ind w:firstLine="720"/>
                    <w:jc w:val="both"/>
                    <w:rPr>
                      <w:szCs w:val="24"/>
                      <w:lang w:eastAsia="en-GB"/>
                    </w:rPr>
                  </w:pPr>
                  <w:sdt>
                    <w:sdtPr>
                      <w:alias w:val="Numeris"/>
                      <w:tag w:val="nr_714a7d63c46e49069e5db5bcf651819e"/>
                      <w:lock w:val="sdtLocked"/>
                      <w:richText/>
                    </w:sdtPr>
                    <w:sdtContent>
                      <w:r>
                        <w:rPr>
                          <w:szCs w:val="24"/>
                          <w:lang w:eastAsia="en-GB"/>
                        </w:rPr>
                        <w:t>2</w:t>
                      </w:r>
                    </w:sdtContent>
                  </w:sdt>
                  <w:r>
                    <w:rPr>
                      <w:szCs w:val="24"/>
                      <w:lang w:eastAsia="en-GB"/>
                    </w:rPr>
                    <w:t xml:space="preserve">. </w:t>
                  </w:r>
                  <w:r>
                    <w:rPr>
                      <w:szCs w:val="24"/>
                    </w:rPr>
                    <w:t>Šio įstatymo 1 ir 2 straipsniuose išdėstytų Lietuvos Respublikos mobilizacijos ir priimančiosios šalies paramos įstatymo 6 straipsnio 10 punkto ir 7 straipsnio 1 dalies 5 punkto nuostatos netaikomos iki šio įstatymo įsigaliojimo patvirtintam karinės infrastruktūros, reikalingos priimančiosios šalies paramai užtikrinti, sąrašui, išskyrus atvejus, kai, įsigaliojusius šiam įstatymui, šis sąrašas yra keičiamas</w:t>
                  </w:r>
                  <w:r>
                    <w:rPr>
                      <w:szCs w:val="24"/>
                      <w:lang w:eastAsia="en-GB"/>
                    </w:rPr>
                    <w:t>.</w:t>
                  </w:r>
                </w:p>
                <w:p>
                  <w:pPr>
                    <w:spacing w:line="360" w:lineRule="auto"/>
                    <w:ind w:firstLine="720"/>
                    <w:jc w:val="both"/>
                    <w:rPr>
                      <w:i/>
                      <w:szCs w:val="24"/>
                    </w:rPr>
                  </w:pPr>
                </w:p>
              </w:sdtContent>
            </w:sdt>
          </w:sdtContent>
        </w:sdt>
        <w:sdt>
          <w:sdtPr>
            <w:alias w:val="signatura"/>
            <w:tag w:val="part_d311ca800c2549c3b960141016dfe42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71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F1E012B-B4D1-4FAF-B3E5-67702C287A2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0b94f999b2d427990de2adc108fbde7" PartId="e4ebb2a7f35a42afb40c9e139af9eff0">
    <Part Type="straipsnis" Nr="1" Abbr="1 str." Title="6 straipsnio pakeitimas" DocPartId="9d0a05f21d1b4c538dce3fcf9362bd30" PartId="52234c7ac4474675b554aee098c4b820">
      <Part Type="strDalis" Nr="1" Abbr="1 str. 1 d." DocPartId="0025393bb9124a77a624c4e54f61dd61" PartId="11f43d1f278f4c48b56b17436ca01210">
        <Part Type="citata" DocPartId="eb8a4ff17d2243ad9be93f9021cf7ed3" PartId="2e157052a0d942b080e0d324d50d3b2e">
          <Part Type="strPunktas" Nr="10" Abbr="10 p." DocPartId="5ccdcd4a957943f88a8aed7b352a1610" PartId="8227d1e56cc345568962eae228715cfc"/>
        </Part>
      </Part>
    </Part>
    <Part Type="straipsnis" Nr="2" Abbr="2 str." Title="7 straipsnio pakeitimas" DocPartId="f23788c0fc91433481ef4e5a80dfb6af" PartId="6f2882f9ddaf48348ec61162bccff7f1">
      <Part Type="strDalis" Nr="1" Abbr="2 str. 1 d." DocPartId="03dbc5c625df437bbfb1eff7dc13a5d4" PartId="8f8f6aff19324cbd827f20070933a891">
        <Part Type="citata" DocPartId="bf4b1123fec24975b6c1f8ae439e4ba8" PartId="c876a667c1eb42fdbee3f10dd7825723">
          <Part Type="strPunktas" Nr="5" Abbr="5 p." DocPartId="388ff4d28f4d442684ee316b81ea8ad8" PartId="7c8a9eeed5914a17ae416a1f9b12eda7"/>
        </Part>
      </Part>
    </Part>
    <Part Type="straipsnis" Nr="3" Abbr="3 str." Title="Įstatymo įsigaliojimas ir taikymas" DocPartId="a2a603c0522b43e18efbbf96feb2b1a7" PartId="d5039d13efc3425d8ac05608b23e03f1">
      <Part Type="strDalis" Nr="1" Abbr="3 str. 1 d." DocPartId="3cc08c9083a146eaa4148080fbab87df" PartId="00c334c1bd8f4aea904fc712b171ca80"/>
      <Part Type="strDalis" Nr="2" Abbr="3 str. 2 d." DocPartId="2196d0e452754b82a276dcb951d16b95" PartId="714a7d63c46e49069e5db5bcf651819e"/>
    </Part>
    <Part Type="signatura" DocPartId="2e91ac6954854676b1b1575b8dc4c103" PartId="d311ca800c2549c3b960141016dfe423"/>
  </Part>
</Parts>
</file>

<file path=customXml/itemProps1.xml><?xml version="1.0" encoding="utf-8"?>
<ds:datastoreItem xmlns:ds="http://schemas.openxmlformats.org/officeDocument/2006/customXml" ds:itemID="{8EDDCD6B-AAE8-4D26-B1A9-2C6054C4A2E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327</Words>
  <Characters>2373</Characters>
  <Application>Microsoft Office Word</Application>
  <DocSecurity>4</DocSecurity>
  <Lines>51</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2682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2023-05-19T12:30:00Z</dcterms:created>
  <dc:creator>MOZERĖ Dainora</dc:creator>
  <lastModifiedBy>adlibuser</lastModifiedBy>
  <lastPrinted>2004-12-10T05:45:00Z</lastPrinted>
  <dcterms:modified xsi:type="dcterms:W3CDTF">2023-05-19T12:30:00Z</dcterms:modified>
  <revision>2</revision>
</coreProperties>
</file>