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aaeadba878e450eacbbcd2bbf3de084"/>
        <w:id w:val="1971706470"/>
        <w:lock w:val="sdtLocked"/>
      </w:sdtPr>
      <w:sdtEndPr/>
      <w:sdtContent>
        <w:p w14:paraId="434F98B8" w14:textId="7D88C474" w:rsidR="004A1C69" w:rsidRDefault="00F34C7D">
          <w:pPr>
            <w:keepNext/>
            <w:jc w:val="center"/>
            <w:rPr>
              <w:b/>
              <w:lang w:eastAsia="lt-LT"/>
            </w:rPr>
          </w:pPr>
          <w:r>
            <w:rPr>
              <w:b/>
              <w:noProof/>
              <w:lang w:val="en-GB" w:eastAsia="ko-KR"/>
            </w:rPr>
            <w:drawing>
              <wp:inline distT="0" distB="0" distL="0" distR="0" wp14:anchorId="02E5A110" wp14:editId="3E608D4C">
                <wp:extent cx="543560" cy="595630"/>
                <wp:effectExtent l="0" t="0" r="8890" b="0"/>
                <wp:docPr id="6"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12A1E90C" w14:textId="6F95078D" w:rsidR="004A1C69" w:rsidRDefault="004A1C69">
          <w:pPr>
            <w:jc w:val="center"/>
            <w:rPr>
              <w:lang w:eastAsia="lt-LT"/>
            </w:rPr>
          </w:pPr>
        </w:p>
        <w:p w14:paraId="24863D73" w14:textId="403529E0" w:rsidR="004A1C69" w:rsidRDefault="00F34C7D">
          <w:pPr>
            <w:jc w:val="center"/>
            <w:rPr>
              <w:b/>
              <w:caps/>
              <w:szCs w:val="24"/>
              <w:lang w:eastAsia="lt-LT"/>
            </w:rPr>
          </w:pPr>
          <w:r>
            <w:rPr>
              <w:b/>
              <w:caps/>
              <w:szCs w:val="24"/>
              <w:lang w:eastAsia="lt-LT"/>
            </w:rPr>
            <w:t>VALSTYBINĖ ENERGETIKOS REGULIAVIMO TARYBA</w:t>
          </w:r>
        </w:p>
        <w:p w14:paraId="5294590E" w14:textId="77777777" w:rsidR="004A1C69" w:rsidRDefault="004A1C69">
          <w:pPr>
            <w:jc w:val="center"/>
            <w:rPr>
              <w:b/>
              <w:caps/>
              <w:lang w:eastAsia="lt-LT"/>
            </w:rPr>
          </w:pPr>
        </w:p>
        <w:p w14:paraId="0A71E394" w14:textId="77777777" w:rsidR="004A1C69" w:rsidRDefault="00F34C7D">
          <w:pPr>
            <w:jc w:val="center"/>
            <w:rPr>
              <w:b/>
              <w:caps/>
              <w:lang w:eastAsia="lt-LT"/>
            </w:rPr>
          </w:pPr>
          <w:r>
            <w:rPr>
              <w:b/>
              <w:caps/>
              <w:lang w:eastAsia="lt-LT"/>
            </w:rPr>
            <w:t>NUTARIMAS</w:t>
          </w:r>
        </w:p>
        <w:p w14:paraId="37BE272B" w14:textId="77777777" w:rsidR="004A1C69" w:rsidRDefault="00F34C7D">
          <w:pPr>
            <w:jc w:val="center"/>
            <w:rPr>
              <w:b/>
              <w:bCs/>
              <w:caps/>
              <w:lang w:eastAsia="lt-LT"/>
            </w:rPr>
          </w:pPr>
          <w:r>
            <w:rPr>
              <w:b/>
              <w:bCs/>
              <w:caps/>
              <w:lang w:eastAsia="lt-LT"/>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14:paraId="4849DE48" w14:textId="77777777" w:rsidR="004A1C69" w:rsidRDefault="004A1C69">
          <w:pPr>
            <w:jc w:val="center"/>
            <w:rPr>
              <w:b/>
              <w:caps/>
              <w:highlight w:val="yellow"/>
              <w:lang w:eastAsia="lt-LT"/>
            </w:rPr>
          </w:pPr>
        </w:p>
        <w:p w14:paraId="54E15815" w14:textId="28A4148A" w:rsidR="004A1C69" w:rsidRDefault="00F34C7D">
          <w:pPr>
            <w:jc w:val="center"/>
            <w:rPr>
              <w:lang w:eastAsia="lt-LT"/>
            </w:rPr>
          </w:pPr>
          <w:r>
            <w:rPr>
              <w:lang w:eastAsia="lt-LT"/>
            </w:rPr>
            <w:t>2021 m. gegužės 13 d. Nr. O3E-580</w:t>
          </w:r>
        </w:p>
        <w:p w14:paraId="63FCF4FE" w14:textId="77777777" w:rsidR="004A1C69" w:rsidRDefault="00F34C7D">
          <w:pPr>
            <w:jc w:val="center"/>
            <w:rPr>
              <w:lang w:eastAsia="lt-LT"/>
            </w:rPr>
          </w:pPr>
          <w:r>
            <w:rPr>
              <w:lang w:eastAsia="lt-LT"/>
            </w:rPr>
            <w:t>Vilnius</w:t>
          </w:r>
        </w:p>
        <w:p w14:paraId="7A4FAC88" w14:textId="77777777" w:rsidR="004A1C69" w:rsidRDefault="004A1C69">
          <w:pPr>
            <w:jc w:val="both"/>
            <w:rPr>
              <w:b/>
              <w:highlight w:val="yellow"/>
              <w:lang w:eastAsia="lt-LT"/>
            </w:rPr>
          </w:pPr>
        </w:p>
        <w:sdt>
          <w:sdtPr>
            <w:alias w:val="preambule"/>
            <w:tag w:val="part_3b91347f997a4ed7aacb82fbffd28b1c"/>
            <w:id w:val="-1445995014"/>
            <w:lock w:val="sdtLocked"/>
          </w:sdtPr>
          <w:sdtEndPr/>
          <w:sdtContent>
            <w:p w14:paraId="209E9427" w14:textId="53369D61" w:rsidR="004A1C69" w:rsidRDefault="00F34C7D">
              <w:pPr>
                <w:ind w:firstLine="720"/>
                <w:jc w:val="both"/>
                <w:rPr>
                  <w:szCs w:val="18"/>
                  <w:lang w:eastAsia="lt-LT"/>
                </w:rPr>
              </w:pPr>
              <w:r>
                <w:rPr>
                  <w:szCs w:val="18"/>
                  <w:lang w:eastAsia="lt-LT"/>
                </w:rPr>
                <w:t xml:space="preserve">Vadovaudamasi Lietuvos Respublikos energetikos įstatymo 8 straipsnio 11 dalies 2 punktu, Lietuvos Respublikos elektros energetikos įstatymo 9 straipsnio 3 dalies 4 punktu, 73 straipsnio </w:t>
              </w:r>
              <w:r>
                <w:rPr>
                  <w:szCs w:val="18"/>
                  <w:lang w:eastAsia="lt-LT"/>
                </w:rPr>
                <w:br/>
                <w:t>4 dalimi bei atsižvelgdama į Valstybinės energetikos reguliavimo tarybos (toliau – Taryba) Dujų ir elektros departamento Elektros skyriaus</w:t>
              </w:r>
              <w:r>
                <w:rPr>
                  <w:color w:val="7030A0"/>
                  <w:szCs w:val="18"/>
                  <w:lang w:eastAsia="lt-LT"/>
                </w:rPr>
                <w:t xml:space="preserve"> </w:t>
              </w:r>
              <w:r>
                <w:rPr>
                  <w:szCs w:val="18"/>
                  <w:lang w:eastAsia="lt-LT"/>
                </w:rPr>
                <w:t xml:space="preserve">2021 m. gegužės 12 d. pažymą Nr. O5E-560 </w:t>
              </w:r>
              <w:r>
                <w:rPr>
                  <w:color w:val="000000"/>
                  <w:szCs w:val="24"/>
                  <w:lang w:eastAsia="lt-LT"/>
                </w:rPr>
                <w:t>„</w:t>
              </w:r>
              <w:r>
                <w:rPr>
                  <w:lang w:eastAsia="lt-LT"/>
                </w:rPr>
                <w:t>Dėl Valstybinės kainų ir energetikos kontrolės komisijos 2015 m. sausio 15 d. nutarimo Nr. O3-3 „Dėl Elektros energijos perdavimo, skirstymo ir visuomeninio tiekimo paslaugų bei visuomeninės kainos viršutinės ribos nustatymo metodikos patvirtinimo“ pakeitimo</w:t>
              </w:r>
              <w:r>
                <w:rPr>
                  <w:color w:val="000000"/>
                  <w:szCs w:val="24"/>
                  <w:lang w:eastAsia="lt-LT"/>
                </w:rPr>
                <w:t xml:space="preserve">“ </w:t>
              </w:r>
              <w:r>
                <w:rPr>
                  <w:szCs w:val="18"/>
                  <w:lang w:eastAsia="lt-LT"/>
                </w:rPr>
                <w:t>Taryba n u t a r i a:</w:t>
              </w:r>
            </w:p>
          </w:sdtContent>
        </w:sdt>
        <w:sdt>
          <w:sdtPr>
            <w:alias w:val="pastraipa"/>
            <w:tag w:val="part_45b47a4ca03d4efdac497ad9b2776b22"/>
            <w:id w:val="-348174003"/>
            <w:lock w:val="sdtLocked"/>
          </w:sdtPr>
          <w:sdtEndPr/>
          <w:sdtContent>
            <w:p w14:paraId="7EA6509D" w14:textId="77777777" w:rsidR="004A1C69" w:rsidRDefault="00F34C7D">
              <w:pPr>
                <w:tabs>
                  <w:tab w:val="left" w:pos="993"/>
                </w:tabs>
                <w:ind w:firstLine="720"/>
                <w:jc w:val="both"/>
                <w:rPr>
                  <w:lang w:eastAsia="lt-LT"/>
                </w:rPr>
              </w:pPr>
              <w:r>
                <w:rPr>
                  <w:szCs w:val="18"/>
                  <w:lang w:eastAsia="lt-LT"/>
                </w:rPr>
                <w:t xml:space="preserve">Pakeisti </w:t>
              </w:r>
              <w:r>
                <w:rPr>
                  <w:lang w:eastAsia="lt-LT"/>
                </w:rPr>
                <w:t xml:space="preserve">Elektros energijos perdavimo, skirstymo ir visuomeninio tiekimo paslaugų bei visuomeninės kainos viršutinės ribos nustatymo metodikos, patvirtintos Valstybinės kainų ir energetikos kontrolės komisijos 2015 m. sausio 15 d. nutarimu Nr. O3-3 </w:t>
              </w:r>
              <w:r>
                <w:rPr>
                  <w:szCs w:val="18"/>
                  <w:lang w:eastAsia="lt-LT"/>
                </w:rPr>
                <w:t>„</w:t>
              </w:r>
              <w:r>
                <w:rPr>
                  <w:lang w:eastAsia="lt-LT"/>
                </w:rPr>
                <w:t xml:space="preserve">Dėl Elektros energijos perdavimo, skirstymo ir visuomeninio tiekimo paslaugų bei visuomeninės kainos viršutinės ribos nustatymo metodikos patvirtinimo“, 107 punktą ir jį išdėstyti taip: </w:t>
              </w:r>
            </w:p>
            <w:sdt>
              <w:sdtPr>
                <w:alias w:val="citata"/>
                <w:tag w:val="part_887e0c6996a342c39dc189edefb7b0d6"/>
                <w:id w:val="220801258"/>
                <w:lock w:val="sdtLocked"/>
              </w:sdtPr>
              <w:sdtEndPr/>
              <w:sdtContent>
                <w:sdt>
                  <w:sdtPr>
                    <w:alias w:val="107 p."/>
                    <w:tag w:val="part_66369e7d7c2b4ef9a2c44b55f0dd705a"/>
                    <w:id w:val="227577838"/>
                    <w:lock w:val="sdtLocked"/>
                  </w:sdtPr>
                  <w:sdtEndPr/>
                  <w:sdtContent>
                    <w:p w14:paraId="4D6F9CEE" w14:textId="77777777" w:rsidR="004A1C69" w:rsidRDefault="00F34C7D">
                      <w:pPr>
                        <w:ind w:firstLine="720"/>
                        <w:jc w:val="both"/>
                        <w:rPr>
                          <w:color w:val="000000"/>
                          <w:szCs w:val="24"/>
                          <w:lang w:eastAsia="lt-LT"/>
                        </w:rPr>
                      </w:pPr>
                      <w:r>
                        <w:rPr>
                          <w:color w:val="000000"/>
                          <w:szCs w:val="24"/>
                          <w:lang w:eastAsia="lt-LT"/>
                        </w:rPr>
                        <w:t>„</w:t>
                      </w:r>
                      <w:sdt>
                        <w:sdtPr>
                          <w:alias w:val="Numeris"/>
                          <w:tag w:val="nr_66369e7d7c2b4ef9a2c44b55f0dd705a"/>
                          <w:id w:val="974102849"/>
                          <w:lock w:val="sdtLocked"/>
                        </w:sdtPr>
                        <w:sdtEnd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lang w:eastAsia="lt-LT"/>
                        </w:rPr>
                        <w:t>96</w:t>
                      </w:r>
                      <w:r>
                        <w:rPr>
                          <w:rFonts w:eastAsia="MS Mincho"/>
                          <w:szCs w:val="24"/>
                          <w:vertAlign w:val="superscript"/>
                          <w:lang w:eastAsia="lt-LT"/>
                        </w:rPr>
                        <w:t>1</w:t>
                      </w:r>
                      <w:r>
                        <w:rPr>
                          <w:rFonts w:eastAsia="MS Mincho"/>
                          <w:szCs w:val="24"/>
                          <w:lang w:eastAsia="lt-LT"/>
                        </w:rPr>
                        <w:t xml:space="preserve"> punktą</w:t>
                      </w:r>
                      <w:r>
                        <w:rPr>
                          <w:color w:val="000000"/>
                          <w:szCs w:val="24"/>
                          <w:lang w:eastAsia="lt-LT"/>
                        </w:rPr>
                        <w:t>. Visuomeninių elektros energijos kainų viršutinės ribos papildomai įvertina reguliavimo svertus ir apskaičiuojamos pagal formulę:</w:t>
                      </w:r>
                    </w:p>
                    <w:p w14:paraId="4DE44714" w14:textId="77777777" w:rsidR="004A1C69" w:rsidRDefault="004A1C69">
                      <w:pPr>
                        <w:jc w:val="both"/>
                        <w:rPr>
                          <w:color w:val="000000"/>
                          <w:szCs w:val="24"/>
                          <w:lang w:eastAsia="lt-LT"/>
                        </w:rPr>
                      </w:pPr>
                    </w:p>
                    <w:p w14:paraId="4987A454" w14:textId="77777777" w:rsidR="004A1C69" w:rsidRDefault="00E04767">
                      <w:pPr>
                        <w:ind w:firstLine="720"/>
                        <w:jc w:val="both"/>
                        <w:rPr>
                          <w:color w:val="000000"/>
                          <w:szCs w:val="24"/>
                          <w:lang w:eastAsia="lt-LT"/>
                        </w:rPr>
                      </w:pPr>
                      <m:oMath>
                        <m:sSubSup>
                          <m:sSubSupPr>
                            <m:ctrlPr>
                              <w:rPr>
                                <w:rFonts w:ascii="Cambria Math" w:hAnsi="Cambria Math"/>
                                <w:bCs/>
                                <w:i/>
                                <w:color w:val="000000"/>
                                <w:szCs w:val="24"/>
                              </w:rPr>
                            </m:ctrlPr>
                          </m:sSubSupPr>
                          <m:e>
                            <m:r>
                              <w:rPr>
                                <w:rFonts w:ascii="Cambria Math" w:hAnsi="Cambria Math"/>
                                <w:color w:val="000000"/>
                                <w:szCs w:val="24"/>
                              </w:rPr>
                              <m:t>VT</m:t>
                            </m:r>
                          </m:e>
                          <m:sub>
                            <m:d>
                              <m:dPr>
                                <m:ctrlPr>
                                  <w:rPr>
                                    <w:rFonts w:ascii="Cambria Math" w:hAnsi="Cambria Math"/>
                                    <w:bCs/>
                                    <w:i/>
                                    <w:color w:val="000000"/>
                                    <w:szCs w:val="24"/>
                                  </w:rPr>
                                </m:ctrlPr>
                              </m:dPr>
                              <m:e>
                                <m:r>
                                  <w:rPr>
                                    <w:rFonts w:ascii="Cambria Math" w:hAnsi="Cambria Math"/>
                                    <w:color w:val="000000"/>
                                    <w:szCs w:val="24"/>
                                  </w:rPr>
                                  <m:t>10,04</m:t>
                                </m:r>
                              </m:e>
                            </m:d>
                            <m:r>
                              <w:rPr>
                                <w:rFonts w:ascii="Cambria Math" w:hAnsi="Cambria Math"/>
                                <w:color w:val="000000"/>
                                <w:szCs w:val="24"/>
                              </w:rPr>
                              <m:t>t</m:t>
                            </m:r>
                          </m:sub>
                          <m:sup>
                            <m:r>
                              <w:rPr>
                                <w:rFonts w:ascii="Cambria Math" w:hAnsi="Cambria Math"/>
                                <w:color w:val="000000"/>
                                <w:szCs w:val="24"/>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g,t</m:t>
                            </m:r>
                          </m:sub>
                        </m:sSub>
                        <m:r>
                          <w:rPr>
                            <w:rFonts w:ascii="Cambria Math" w:hAnsi="Cambria Math"/>
                            <w:color w:val="000000"/>
                            <w:szCs w:val="24"/>
                            <w:lang w:val="en-US"/>
                          </w:rPr>
                          <m:t>+</m:t>
                        </m:r>
                        <m:sSubSup>
                          <m:sSubSupPr>
                            <m:ctrlPr>
                              <w:rPr>
                                <w:rFonts w:ascii="Cambria Math" w:hAnsi="Cambria Math"/>
                                <w:bCs/>
                                <w:i/>
                                <w:color w:val="000000"/>
                                <w:szCs w:val="24"/>
                                <w:lang w:val="en-US"/>
                              </w:rPr>
                            </m:ctrlPr>
                          </m:sSubSupPr>
                          <m:e>
                            <m:r>
                              <w:rPr>
                                <w:rFonts w:ascii="Cambria Math" w:hAnsi="Cambria Math"/>
                                <w:color w:val="000000"/>
                                <w:szCs w:val="24"/>
                                <w:lang w:val="en-US"/>
                              </w:rPr>
                              <m:t>T</m:t>
                            </m:r>
                          </m:e>
                          <m:sub>
                            <m:r>
                              <w:rPr>
                                <w:rFonts w:ascii="Cambria Math" w:hAnsi="Cambria Math"/>
                                <w:color w:val="000000"/>
                                <w:szCs w:val="24"/>
                                <w:lang w:val="en-US"/>
                              </w:rPr>
                              <m:t>vt,t</m:t>
                            </m:r>
                          </m:sub>
                          <m:sup>
                            <m:r>
                              <w:rPr>
                                <w:rFonts w:ascii="Cambria Math" w:hAnsi="Cambria Math"/>
                                <w:color w:val="000000"/>
                                <w:szCs w:val="24"/>
                                <w:lang w:val="en-US"/>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pers,t</m:t>
                            </m:r>
                          </m:sub>
                        </m:sSub>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viap,t</m:t>
                            </m:r>
                          </m:sub>
                        </m:sSub>
                        <m:r>
                          <w:rPr>
                            <w:rFonts w:ascii="Cambria Math" w:hAnsi="Cambria Math"/>
                            <w:color w:val="000000"/>
                            <w:szCs w:val="24"/>
                            <w:lang w:val="en-US"/>
                          </w:rPr>
                          <m:t>+</m:t>
                        </m:r>
                      </m:oMath>
                      <w:r w:rsidR="00F34C7D">
                        <w:rPr>
                          <w:bCs/>
                          <w:color w:val="000000"/>
                          <w:szCs w:val="24"/>
                          <w:lang w:eastAsia="lt-LT"/>
                        </w:rPr>
                        <w:t>ST</w:t>
                      </w:r>
                      <w:r w:rsidR="00F34C7D">
                        <w:rPr>
                          <w:bCs/>
                          <w:color w:val="000000"/>
                          <w:szCs w:val="24"/>
                          <w:vertAlign w:val="subscript"/>
                          <w:lang w:eastAsia="lt-LT"/>
                        </w:rPr>
                        <w:t>,t</w:t>
                      </w:r>
                      <w:r w:rsidR="00F34C7D">
                        <w:rPr>
                          <w:bCs/>
                          <w:color w:val="000000"/>
                          <w:szCs w:val="24"/>
                          <w:lang w:eastAsia="lt-LT"/>
                        </w:rPr>
                        <w:t xml:space="preserve">   </w:t>
                      </w:r>
                      <w:r w:rsidR="00F34C7D">
                        <w:rPr>
                          <w:color w:val="000000"/>
                          <w:szCs w:val="24"/>
                          <w:lang w:eastAsia="lt-LT"/>
                        </w:rPr>
                        <w:t xml:space="preserve">                            (65)</w:t>
                      </w:r>
                    </w:p>
                    <w:p w14:paraId="73B81117" w14:textId="77777777" w:rsidR="004A1C69" w:rsidRDefault="004A1C69">
                      <w:pPr>
                        <w:ind w:firstLine="842"/>
                        <w:jc w:val="both"/>
                        <w:rPr>
                          <w:color w:val="000000"/>
                          <w:szCs w:val="24"/>
                          <w:lang w:eastAsia="lt-LT"/>
                        </w:rPr>
                      </w:pPr>
                    </w:p>
                    <w:p w14:paraId="777492BE" w14:textId="77777777" w:rsidR="004A1C69" w:rsidRDefault="00F34C7D">
                      <w:pPr>
                        <w:ind w:firstLine="720"/>
                        <w:jc w:val="both"/>
                        <w:rPr>
                          <w:color w:val="000000"/>
                          <w:szCs w:val="24"/>
                          <w:lang w:eastAsia="lt-LT"/>
                        </w:rPr>
                      </w:pPr>
                      <w:r>
                        <w:rPr>
                          <w:i/>
                          <w:iCs/>
                          <w:color w:val="000000"/>
                          <w:szCs w:val="24"/>
                          <w:lang w:eastAsia="lt-LT"/>
                        </w:rPr>
                        <w:t>čia:</w:t>
                      </w:r>
                    </w:p>
                    <w:p w14:paraId="4E2E78BC" w14:textId="77777777" w:rsidR="004A1C69" w:rsidRDefault="00F34C7D">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67DAABEC" w14:textId="77777777" w:rsidR="004A1C69" w:rsidRDefault="00F34C7D">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g</w:t>
                      </w:r>
                      <w:proofErr w:type="spellEnd"/>
                      <w:r>
                        <w:rPr>
                          <w:color w:val="000000"/>
                          <w:szCs w:val="24"/>
                          <w:vertAlign w:val="subscript"/>
                          <w:lang w:eastAsia="lt-LT"/>
                        </w:rPr>
                        <w:t>,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w:t>
                      </w:r>
                      <w:proofErr w:type="spellStart"/>
                      <w:r>
                        <w:rPr>
                          <w:color w:val="000000"/>
                          <w:szCs w:val="24"/>
                          <w:lang w:eastAsia="lt-LT"/>
                        </w:rPr>
                        <w:t>kWh</w:t>
                      </w:r>
                      <w:proofErr w:type="spellEnd"/>
                      <w:r>
                        <w:rPr>
                          <w:color w:val="000000"/>
                          <w:szCs w:val="24"/>
                          <w:lang w:eastAsia="lt-LT"/>
                        </w:rPr>
                        <w:t>;</w:t>
                      </w:r>
                    </w:p>
                    <w:p w14:paraId="4B025E97" w14:textId="77777777" w:rsidR="004A1C69" w:rsidRDefault="00F34C7D">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vt</w:t>
                      </w:r>
                      <w:proofErr w:type="spellEnd"/>
                      <w:r>
                        <w:rPr>
                          <w:color w:val="000000"/>
                          <w:szCs w:val="24"/>
                          <w:vertAlign w:val="subscript"/>
                          <w:lang w:eastAsia="lt-LT"/>
                        </w:rPr>
                        <w: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34F3A93D" w14:textId="77777777" w:rsidR="004A1C69" w:rsidRDefault="00F34C7D">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pers</w:t>
                      </w:r>
                      <w:proofErr w:type="spellEnd"/>
                      <w:r>
                        <w:rPr>
                          <w:color w:val="000000"/>
                          <w:szCs w:val="24"/>
                          <w:vertAlign w:val="subscript"/>
                          <w:lang w:eastAsia="lt-LT"/>
                        </w:rPr>
                        <w:t>, t </w:t>
                      </w:r>
                      <w:r>
                        <w:rPr>
                          <w:color w:val="000000"/>
                          <w:szCs w:val="24"/>
                          <w:lang w:eastAsia="lt-LT"/>
                        </w:rPr>
                        <w:t>– Tarybos paskelbto elektros energijos persiuntimo paslaugos tarifų plano, taikomo ne mažiau kaip 9</w:t>
                      </w:r>
                      <w:r>
                        <w:rPr>
                          <w:color w:val="000000"/>
                          <w:szCs w:val="24"/>
                          <w:lang w:val="en-US" w:eastAsia="lt-LT"/>
                        </w:rPr>
                        <w:t>5</w:t>
                      </w:r>
                      <w:r>
                        <w:rPr>
                          <w:color w:val="000000"/>
                          <w:szCs w:val="24"/>
                          <w:lang w:eastAsia="lt-LT"/>
                        </w:rPr>
                        <w:t xml:space="preserve"> procentams visuomeninio tiekėjo vartotojų, vienos laiko zonos tarifas  t metais, EUR/</w:t>
                      </w:r>
                      <w:proofErr w:type="spellStart"/>
                      <w:r>
                        <w:rPr>
                          <w:color w:val="000000"/>
                          <w:szCs w:val="24"/>
                          <w:lang w:eastAsia="lt-LT"/>
                        </w:rPr>
                        <w:t>kWh</w:t>
                      </w:r>
                      <w:proofErr w:type="spellEnd"/>
                      <w:r>
                        <w:rPr>
                          <w:color w:val="000000"/>
                          <w:szCs w:val="24"/>
                          <w:lang w:eastAsia="lt-LT"/>
                        </w:rPr>
                        <w:t xml:space="preserve">; </w:t>
                      </w:r>
                    </w:p>
                    <w:p w14:paraId="02B04F99" w14:textId="77777777" w:rsidR="004A1C69" w:rsidRDefault="00F34C7D">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viap</w:t>
                      </w:r>
                      <w:proofErr w:type="spellEnd"/>
                      <w:r>
                        <w:rPr>
                          <w:color w:val="000000"/>
                          <w:szCs w:val="24"/>
                          <w:vertAlign w:val="subscript"/>
                          <w:lang w:eastAsia="lt-LT"/>
                        </w:rPr>
                        <w:t>, t</w:t>
                      </w:r>
                      <w:r>
                        <w:rPr>
                          <w:color w:val="000000"/>
                          <w:szCs w:val="24"/>
                          <w:lang w:eastAsia="lt-LT"/>
                        </w:rPr>
                        <w:t xml:space="preserve"> – elektros energijos viešuosius interesus atitinkančių paslaugų kaina, apskaičiuota vadovaujantis 2012 m. rugsėjo 28 d. Komisijos nutarimu Nr. O3-279 „Dėl Viešuosius interesus atitinkančių paslaugų elektros energetikos sektoriuje kainos nustatymo metodikos patvirtinimo“ </w:t>
                      </w:r>
                      <w:r>
                        <w:rPr>
                          <w:color w:val="000000"/>
                          <w:szCs w:val="24"/>
                          <w:lang w:eastAsia="lt-LT"/>
                        </w:rPr>
                        <w:lastRenderedPageBreak/>
                        <w:t>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bCs/>
                          <w:color w:val="000000"/>
                          <w:szCs w:val="24"/>
                          <w:lang w:eastAsia="lt-LT"/>
                        </w:rPr>
                        <w:t>;</w:t>
                      </w:r>
                    </w:p>
                    <w:p w14:paraId="018968B3" w14:textId="43B6FC17" w:rsidR="004A1C69" w:rsidRDefault="00F34C7D" w:rsidP="00E04767">
                      <w:pPr>
                        <w:ind w:firstLine="709"/>
                        <w:jc w:val="both"/>
                      </w:pPr>
                      <w:proofErr w:type="spellStart"/>
                      <w:r>
                        <w:rPr>
                          <w:color w:val="000000"/>
                          <w:szCs w:val="24"/>
                          <w:lang w:eastAsia="lt-LT"/>
                        </w:rPr>
                        <w:t>ST</w:t>
                      </w:r>
                      <w:r>
                        <w:rPr>
                          <w:color w:val="000000"/>
                          <w:szCs w:val="24"/>
                          <w:vertAlign w:val="subscript"/>
                          <w:lang w:eastAsia="lt-LT"/>
                        </w:rPr>
                        <w:t>t</w:t>
                      </w:r>
                      <w:proofErr w:type="spellEnd"/>
                      <w:r>
                        <w:rPr>
                          <w:color w:val="000000"/>
                          <w:szCs w:val="24"/>
                          <w:lang w:eastAsia="lt-LT"/>
                        </w:rPr>
                        <w:t xml:space="preserve"> – </w:t>
                      </w:r>
                      <w:r>
                        <w:rPr>
                          <w:szCs w:val="24"/>
                          <w:lang w:eastAsia="lt-LT"/>
                        </w:rPr>
                        <w:t xml:space="preserve">skirstymo paslaugos </w:t>
                      </w:r>
                      <w:r>
                        <w:rPr>
                          <w:i/>
                          <w:iCs/>
                          <w:szCs w:val="24"/>
                          <w:lang w:eastAsia="lt-LT"/>
                        </w:rPr>
                        <w:t>t</w:t>
                      </w:r>
                      <w:r>
                        <w:rPr>
                          <w:szCs w:val="24"/>
                          <w:lang w:eastAsia="lt-LT"/>
                        </w:rPr>
                        <w:t xml:space="preserve"> metų kainos buitiniams vartotojams papildoma dedamoji, EUR/</w:t>
                      </w:r>
                      <w:proofErr w:type="spellStart"/>
                      <w:r>
                        <w:rPr>
                          <w:szCs w:val="24"/>
                          <w:lang w:eastAsia="lt-LT"/>
                        </w:rPr>
                        <w:t>kWh</w:t>
                      </w:r>
                      <w:proofErr w:type="spellEnd"/>
                      <w:r>
                        <w:rPr>
                          <w:szCs w:val="24"/>
                          <w:lang w:eastAsia="lt-LT"/>
                        </w:rPr>
                        <w:t>.“</w:t>
                      </w:r>
                    </w:p>
                  </w:sdtContent>
                </w:sdt>
              </w:sdtContent>
            </w:sdt>
          </w:sdtContent>
        </w:sdt>
        <w:sdt>
          <w:sdtPr>
            <w:alias w:val="signatura"/>
            <w:tag w:val="part_9a8b9726d5054c4ebc03ae61956995f1"/>
            <w:id w:val="1546947839"/>
            <w:lock w:val="sdtLocked"/>
          </w:sdtPr>
          <w:sdtEndPr/>
          <w:sdtContent>
            <w:p w14:paraId="0E8BD59C" w14:textId="77777777" w:rsidR="00E04767" w:rsidRDefault="00E04767">
              <w:pPr>
                <w:jc w:val="both"/>
              </w:pPr>
            </w:p>
            <w:p w14:paraId="679DE88A" w14:textId="77777777" w:rsidR="00E04767" w:rsidRDefault="00E04767">
              <w:pPr>
                <w:jc w:val="both"/>
              </w:pPr>
            </w:p>
            <w:p w14:paraId="2FEEEE18" w14:textId="77777777" w:rsidR="00E04767" w:rsidRDefault="00E04767">
              <w:pPr>
                <w:jc w:val="both"/>
              </w:pPr>
            </w:p>
            <w:p w14:paraId="0F824F55" w14:textId="258E8556" w:rsidR="004A1C69" w:rsidRDefault="00F34C7D">
              <w:pPr>
                <w:jc w:val="both"/>
                <w:rPr>
                  <w:szCs w:val="24"/>
                  <w:lang w:eastAsia="lt-LT"/>
                </w:rPr>
              </w:pPr>
              <w:bookmarkStart w:id="0" w:name="_GoBack"/>
              <w:bookmarkEnd w:id="0"/>
              <w:r>
                <w:rPr>
                  <w:bCs/>
                  <w:szCs w:val="24"/>
                  <w:lang w:eastAsia="lt-LT"/>
                </w:rPr>
                <w:t>Tarybos pirmininkas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t>Renatas Pocius</w:t>
              </w:r>
            </w:p>
            <w:p w14:paraId="152A1B1E" w14:textId="77777777" w:rsidR="004A1C69" w:rsidRDefault="004A1C69"/>
            <w:p w14:paraId="0B5F0576" w14:textId="0FEAE348" w:rsidR="004A1C69" w:rsidRDefault="00E04767">
              <w:pPr>
                <w:spacing w:line="276" w:lineRule="auto"/>
                <w:jc w:val="both"/>
                <w:rPr>
                  <w:lang w:eastAsia="lt-LT"/>
                </w:rPr>
              </w:pPr>
            </w:p>
          </w:sdtContent>
        </w:sdt>
      </w:sdtContent>
    </w:sdt>
    <w:sectPr w:rsidR="004A1C69" w:rsidSect="00E04767">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92CCEF" w14:textId="77777777" w:rsidR="00E04767" w:rsidRDefault="00E04767" w:rsidP="00E04767">
      <w:r>
        <w:separator/>
      </w:r>
    </w:p>
  </w:endnote>
  <w:endnote w:type="continuationSeparator" w:id="0">
    <w:p w14:paraId="1E92CFB9" w14:textId="77777777" w:rsidR="00E04767" w:rsidRDefault="00E04767" w:rsidP="00E047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BA"/>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508A80" w14:textId="77777777" w:rsidR="00E04767" w:rsidRDefault="00E04767">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A8D31" w14:textId="77777777" w:rsidR="00E04767" w:rsidRDefault="00E04767">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BDC515" w14:textId="77777777" w:rsidR="00E04767" w:rsidRDefault="00E04767">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0EFAA6" w14:textId="77777777" w:rsidR="00E04767" w:rsidRDefault="00E04767" w:rsidP="00E04767">
      <w:r>
        <w:separator/>
      </w:r>
    </w:p>
  </w:footnote>
  <w:footnote w:type="continuationSeparator" w:id="0">
    <w:p w14:paraId="352FE97C" w14:textId="77777777" w:rsidR="00E04767" w:rsidRDefault="00E04767" w:rsidP="00E047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DB15DC" w14:textId="77777777" w:rsidR="00E04767" w:rsidRDefault="00E04767">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9374674"/>
      <w:docPartObj>
        <w:docPartGallery w:val="Page Numbers (Top of Page)"/>
        <w:docPartUnique/>
      </w:docPartObj>
    </w:sdtPr>
    <w:sdtContent>
      <w:p w14:paraId="15ECB97F" w14:textId="30DF062E" w:rsidR="00E04767" w:rsidRDefault="00E04767">
        <w:pPr>
          <w:pStyle w:val="Antrats"/>
          <w:jc w:val="center"/>
        </w:pPr>
        <w:r>
          <w:fldChar w:fldCharType="begin"/>
        </w:r>
        <w:r>
          <w:instrText>PAGE   \* MERGEFORMAT</w:instrText>
        </w:r>
        <w:r>
          <w:fldChar w:fldCharType="separate"/>
        </w:r>
        <w:r>
          <w:rPr>
            <w:noProof/>
          </w:rPr>
          <w:t>2</w:t>
        </w:r>
        <w:r>
          <w:fldChar w:fldCharType="end"/>
        </w:r>
      </w:p>
    </w:sdtContent>
  </w:sdt>
  <w:p w14:paraId="4039B5E3" w14:textId="77777777" w:rsidR="00E04767" w:rsidRDefault="00E04767">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D25A52" w14:textId="77777777" w:rsidR="00E04767" w:rsidRDefault="00E0476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184"/>
    <w:rsid w:val="004A1C69"/>
    <w:rsid w:val="00E04767"/>
    <w:rsid w:val="00F34C7D"/>
    <w:rsid w:val="00F7318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16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E04767"/>
    <w:pPr>
      <w:tabs>
        <w:tab w:val="center" w:pos="4819"/>
        <w:tab w:val="right" w:pos="9638"/>
      </w:tabs>
    </w:pPr>
  </w:style>
  <w:style w:type="character" w:customStyle="1" w:styleId="AntratsDiagrama">
    <w:name w:val="Antraštės Diagrama"/>
    <w:basedOn w:val="Numatytasispastraiposriftas"/>
    <w:link w:val="Antrats"/>
    <w:uiPriority w:val="99"/>
    <w:rsid w:val="00E04767"/>
  </w:style>
  <w:style w:type="paragraph" w:styleId="Porat">
    <w:name w:val="footer"/>
    <w:basedOn w:val="prastasis"/>
    <w:link w:val="PoratDiagrama"/>
    <w:rsid w:val="00E04767"/>
    <w:pPr>
      <w:tabs>
        <w:tab w:val="center" w:pos="4819"/>
        <w:tab w:val="right" w:pos="9638"/>
      </w:tabs>
    </w:pPr>
  </w:style>
  <w:style w:type="character" w:customStyle="1" w:styleId="PoratDiagrama">
    <w:name w:val="Poraštė Diagrama"/>
    <w:basedOn w:val="Numatytasispastraiposriftas"/>
    <w:link w:val="Porat"/>
    <w:rsid w:val="00E047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E04767"/>
    <w:pPr>
      <w:tabs>
        <w:tab w:val="center" w:pos="4819"/>
        <w:tab w:val="right" w:pos="9638"/>
      </w:tabs>
    </w:pPr>
  </w:style>
  <w:style w:type="character" w:customStyle="1" w:styleId="AntratsDiagrama">
    <w:name w:val="Antraštės Diagrama"/>
    <w:basedOn w:val="Numatytasispastraiposriftas"/>
    <w:link w:val="Antrats"/>
    <w:uiPriority w:val="99"/>
    <w:rsid w:val="00E04767"/>
  </w:style>
  <w:style w:type="paragraph" w:styleId="Porat">
    <w:name w:val="footer"/>
    <w:basedOn w:val="prastasis"/>
    <w:link w:val="PoratDiagrama"/>
    <w:rsid w:val="00E04767"/>
    <w:pPr>
      <w:tabs>
        <w:tab w:val="center" w:pos="4819"/>
        <w:tab w:val="right" w:pos="9638"/>
      </w:tabs>
    </w:pPr>
  </w:style>
  <w:style w:type="character" w:customStyle="1" w:styleId="PoratDiagrama">
    <w:name w:val="Poraštė Diagrama"/>
    <w:basedOn w:val="Numatytasispastraiposriftas"/>
    <w:link w:val="Porat"/>
    <w:rsid w:val="00E047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895394">
      <w:bodyDiv w:val="1"/>
      <w:marLeft w:val="0"/>
      <w:marRight w:val="0"/>
      <w:marTop w:val="0"/>
      <w:marBottom w:val="0"/>
      <w:divBdr>
        <w:top w:val="none" w:sz="0" w:space="0" w:color="auto"/>
        <w:left w:val="none" w:sz="0" w:space="0" w:color="auto"/>
        <w:bottom w:val="none" w:sz="0" w:space="0" w:color="auto"/>
        <w:right w:val="none" w:sz="0" w:space="0" w:color="auto"/>
      </w:divBdr>
    </w:div>
    <w:div w:id="1387147955">
      <w:bodyDiv w:val="1"/>
      <w:marLeft w:val="0"/>
      <w:marRight w:val="0"/>
      <w:marTop w:val="0"/>
      <w:marBottom w:val="0"/>
      <w:divBdr>
        <w:top w:val="none" w:sz="0" w:space="0" w:color="auto"/>
        <w:left w:val="none" w:sz="0" w:space="0" w:color="auto"/>
        <w:bottom w:val="none" w:sz="0" w:space="0" w:color="auto"/>
        <w:right w:val="none" w:sz="0" w:space="0" w:color="auto"/>
      </w:divBdr>
    </w:div>
    <w:div w:id="1748453627">
      <w:bodyDiv w:val="1"/>
      <w:marLeft w:val="0"/>
      <w:marRight w:val="0"/>
      <w:marTop w:val="0"/>
      <w:marBottom w:val="0"/>
      <w:divBdr>
        <w:top w:val="none" w:sz="0" w:space="0" w:color="auto"/>
        <w:left w:val="none" w:sz="0" w:space="0" w:color="auto"/>
        <w:bottom w:val="none" w:sz="0" w:space="0" w:color="auto"/>
        <w:right w:val="none" w:sz="0" w:space="0" w:color="auto"/>
      </w:divBdr>
    </w:div>
    <w:div w:id="1814055483">
      <w:bodyDiv w:val="1"/>
      <w:marLeft w:val="0"/>
      <w:marRight w:val="0"/>
      <w:marTop w:val="0"/>
      <w:marBottom w:val="0"/>
      <w:divBdr>
        <w:top w:val="none" w:sz="0" w:space="0" w:color="auto"/>
        <w:left w:val="none" w:sz="0" w:space="0" w:color="auto"/>
        <w:bottom w:val="none" w:sz="0" w:space="0" w:color="auto"/>
        <w:right w:val="none" w:sz="0" w:space="0" w:color="auto"/>
      </w:divBdr>
    </w:div>
    <w:div w:id="1948855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0150ad09bd3498d89a68883ac932ca2" PartId="5aaeadba878e450eacbbcd2bbf3de084">
    <Part Type="preambule" DocPartId="65cba533c91147979d9840a92c58ae18" PartId="3b91347f997a4ed7aacb82fbffd28b1c"/>
    <Part Type="pastraipa" DocPartId="a86c54b840324fef961f8f5174311891" PartId="45b47a4ca03d4efdac497ad9b2776b22">
      <Part Type="citata" DocPartId="024c58be60424c29b2bc2c183196a11a" PartId="887e0c6996a342c39dc189edefb7b0d6">
        <Part Type="punktas" Nr="107" Abbr="107 p." DocPartId="76a1a04f590649e196e9ea4079d435e5" PartId="66369e7d7c2b4ef9a2c44b55f0dd705a"/>
      </Part>
    </Part>
    <Part Type="signatura" DocPartId="9eb89f6bf4b54a0490d904fd22b09fe3" PartId="9a8b9726d5054c4ebc03ae61956995f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C38FFD-EA5E-41B5-A721-415F24CCEC36}">
  <ds:schemaRefs>
    <ds:schemaRef ds:uri="http://lrs.lt/TAIS/DocParts"/>
  </ds:schemaRefs>
</ds:datastoreItem>
</file>

<file path=customXml/itemProps2.xml><?xml version="1.0" encoding="utf-8"?>
<ds:datastoreItem xmlns:ds="http://schemas.openxmlformats.org/officeDocument/2006/customXml" ds:itemID="{AB41CF7C-E109-4739-9AD2-A5A91B839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504</Words>
  <Characters>2879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3377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 Varanavičiūtė</dc:creator>
  <cp:lastModifiedBy>ŠAULYTĖ SKAIRIENĖ Dalia</cp:lastModifiedBy>
  <cp:revision>4</cp:revision>
  <cp:lastPrinted>2014-11-20T06:48:00Z</cp:lastPrinted>
  <dcterms:created xsi:type="dcterms:W3CDTF">2021-05-17T06:48:00Z</dcterms:created>
  <dcterms:modified xsi:type="dcterms:W3CDTF">2021-05-17T06:42:00Z</dcterms:modified>
</cp:coreProperties>
</file>