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e3d90b30bde4cf1b1c5ddf02e356464"/>
        <w:id w:val="-2051209778"/>
        <w:lock w:val="sdtLocked"/>
      </w:sdtPr>
      <w:sdtEndPr/>
      <w:sdtContent>
        <w:p w:rsidR="00D65517" w:rsidRDefault="00A0522B" w:rsidP="00A0522B">
          <w:pPr>
            <w:tabs>
              <w:tab w:val="center" w:pos="4513"/>
              <w:tab w:val="right" w:pos="9026"/>
            </w:tabs>
            <w:jc w:val="center"/>
            <w:rPr>
              <w:b/>
              <w:szCs w:val="24"/>
            </w:rPr>
          </w:pPr>
          <w:r>
            <w:object w:dxaOrig="734" w:dyaOrig="878" w14:anchorId="675CB634">
              <v:rect id="rectole0000000000" o:spid="_x0000_i1025" style="width:36.5pt;height:44.5pt" o:ole="" o:preferrelative="t" stroked="f">
                <v:imagedata r:id="rId7" o:title=""/>
              </v:rect>
              <o:OLEObject Type="Embed" ProgID="StaticMetafile" ShapeID="rectole0000000000" DrawAspect="Content" ObjectID="_1775396888" r:id="rId8"/>
            </w:object>
          </w:r>
        </w:p>
        <w:p w:rsidR="00D65517" w:rsidRDefault="00D65517">
          <w:pPr>
            <w:keepNext/>
            <w:spacing w:line="20" w:lineRule="atLeast"/>
            <w:jc w:val="center"/>
            <w:outlineLvl w:val="1"/>
            <w:rPr>
              <w:b/>
              <w:szCs w:val="24"/>
              <w:lang w:val="x-none"/>
            </w:rPr>
          </w:pPr>
        </w:p>
        <w:p w:rsidR="00D65517" w:rsidRDefault="00A0522B">
          <w:pPr>
            <w:keepNext/>
            <w:spacing w:line="20" w:lineRule="atLeast"/>
            <w:jc w:val="center"/>
            <w:outlineLvl w:val="1"/>
            <w:rPr>
              <w:b/>
              <w:szCs w:val="24"/>
              <w:lang w:val="x-none"/>
            </w:rPr>
          </w:pPr>
          <w:r>
            <w:rPr>
              <w:b/>
              <w:szCs w:val="24"/>
              <w:lang w:val="x-none"/>
            </w:rPr>
            <w:t>PRIEŠGAISRINĖS APSAUGOS IR GELBĖJIMO DEPARTAMENTO</w:t>
          </w:r>
        </w:p>
        <w:p w:rsidR="00D65517" w:rsidRDefault="00A0522B">
          <w:pPr>
            <w:spacing w:line="20" w:lineRule="atLeast"/>
            <w:jc w:val="center"/>
            <w:rPr>
              <w:b/>
              <w:szCs w:val="24"/>
              <w:lang w:val="pt-BR"/>
            </w:rPr>
          </w:pPr>
          <w:r>
            <w:rPr>
              <w:b/>
              <w:szCs w:val="24"/>
              <w:lang w:val="pt-BR"/>
            </w:rPr>
            <w:t>PRIE VIDAUS REIKALŲ MINISTERIJOS</w:t>
          </w:r>
        </w:p>
        <w:p w:rsidR="00D65517" w:rsidRDefault="00A0522B">
          <w:pPr>
            <w:spacing w:line="20" w:lineRule="atLeast"/>
            <w:ind w:firstLine="62"/>
            <w:jc w:val="center"/>
            <w:rPr>
              <w:b/>
              <w:szCs w:val="24"/>
              <w:lang w:val="pt-BR"/>
            </w:rPr>
          </w:pPr>
          <w:r>
            <w:rPr>
              <w:b/>
              <w:szCs w:val="24"/>
              <w:lang w:val="pt-BR"/>
            </w:rPr>
            <w:t>DIREKTORIUS</w:t>
          </w:r>
        </w:p>
        <w:p w:rsidR="00D65517" w:rsidRDefault="00D65517">
          <w:pPr>
            <w:spacing w:line="20" w:lineRule="atLeast"/>
            <w:jc w:val="center"/>
            <w:rPr>
              <w:szCs w:val="24"/>
            </w:rPr>
          </w:pPr>
        </w:p>
        <w:p w:rsidR="00D65517" w:rsidRDefault="00A0522B">
          <w:pPr>
            <w:jc w:val="center"/>
            <w:rPr>
              <w:b/>
              <w:lang w:val="pt-BR"/>
            </w:rPr>
          </w:pPr>
          <w:r>
            <w:rPr>
              <w:b/>
              <w:lang w:val="pt-BR"/>
            </w:rPr>
            <w:t>ĮSAKYMAS</w:t>
          </w:r>
        </w:p>
        <w:p w:rsidR="00D65517" w:rsidRDefault="00A0522B">
          <w:pPr>
            <w:jc w:val="center"/>
            <w:rPr>
              <w:b/>
              <w:caps/>
              <w:szCs w:val="24"/>
              <w:lang w:val="pt-BR"/>
            </w:rPr>
          </w:pPr>
          <w:r>
            <w:rPr>
              <w:b/>
              <w:caps/>
              <w:szCs w:val="24"/>
              <w:lang w:val="pt-BR"/>
            </w:rPr>
            <w:t xml:space="preserve">Dėl PRIEŠGAISRINĖS APSAUGOS IR GELBĖJIMO DEPARTAMENTO PRIE VIDAUS REIKALŲ MINISTERIJOS DIREKTORIAUS 2016 M. SAUSIO 6 D. ĮSAKYMO </w:t>
          </w:r>
          <w:r>
            <w:rPr>
              <w:b/>
              <w:caps/>
              <w:szCs w:val="24"/>
              <w:lang w:val="pt-BR"/>
            </w:rPr>
            <w:br/>
            <w:t xml:space="preserve">NR. 1-1 </w:t>
          </w:r>
          <w:r>
            <w:rPr>
              <w:b/>
              <w:szCs w:val="24"/>
              <w:lang w:val="pt-BR"/>
            </w:rPr>
            <w:t>„</w:t>
          </w:r>
          <w:r>
            <w:rPr>
              <w:b/>
              <w:caps/>
              <w:szCs w:val="24"/>
              <w:lang w:val="pt-BR"/>
            </w:rPr>
            <w:t xml:space="preserve">DĖL </w:t>
          </w:r>
          <w:r>
            <w:rPr>
              <w:b/>
              <w:szCs w:val="24"/>
              <w:lang w:val="pt-BR"/>
            </w:rPr>
            <w:t>STACIONARIŲJŲ GAISRŲ GESINIMO SISTEMŲ PROJEKTAVIMO IR ĮRENGIMO TAISYKLIŲ PATVIRTINIMO“ PAKEITIMO</w:t>
          </w:r>
        </w:p>
        <w:p w:rsidR="00D65517" w:rsidRDefault="00D65517">
          <w:pPr>
            <w:spacing w:line="20" w:lineRule="atLeast"/>
            <w:rPr>
              <w:szCs w:val="24"/>
            </w:rPr>
          </w:pPr>
        </w:p>
        <w:p w:rsidR="00D65517" w:rsidRDefault="00A0522B">
          <w:pPr>
            <w:ind w:firstLine="248"/>
            <w:jc w:val="center"/>
            <w:rPr>
              <w:szCs w:val="24"/>
            </w:rPr>
          </w:pPr>
          <w:r>
            <w:rPr>
              <w:szCs w:val="24"/>
            </w:rPr>
            <w:t xml:space="preserve">2024 m. balandžio </w:t>
          </w:r>
          <w:r>
            <w:rPr>
              <w:szCs w:val="24"/>
              <w:lang w:val="en-US"/>
            </w:rPr>
            <w:t xml:space="preserve">23 d. </w:t>
          </w:r>
          <w:r>
            <w:rPr>
              <w:szCs w:val="24"/>
            </w:rPr>
            <w:t xml:space="preserve">Nr. </w:t>
          </w:r>
          <w:r w:rsidRPr="00A0522B">
            <w:rPr>
              <w:szCs w:val="24"/>
            </w:rPr>
            <w:t>1-274 /2024 (1.4 E)</w:t>
          </w:r>
        </w:p>
        <w:p w:rsidR="00D65517" w:rsidRDefault="00A0522B">
          <w:pPr>
            <w:jc w:val="center"/>
            <w:rPr>
              <w:szCs w:val="24"/>
            </w:rPr>
          </w:pPr>
          <w:r>
            <w:rPr>
              <w:szCs w:val="24"/>
            </w:rPr>
            <w:t>Vilnius</w:t>
          </w:r>
        </w:p>
        <w:p w:rsidR="00D65517" w:rsidRDefault="00D65517">
          <w:pPr>
            <w:tabs>
              <w:tab w:val="left" w:pos="993"/>
            </w:tabs>
            <w:spacing w:line="276" w:lineRule="auto"/>
            <w:ind w:firstLine="720"/>
            <w:jc w:val="both"/>
            <w:rPr>
              <w:szCs w:val="24"/>
            </w:rPr>
          </w:pPr>
        </w:p>
        <w:sdt>
          <w:sdtPr>
            <w:alias w:val="pastraipa"/>
            <w:tag w:val="part_237977aa456948e787c3bdd3d70caa08"/>
            <w:id w:val="-698552780"/>
            <w:lock w:val="sdtLocked"/>
          </w:sdtPr>
          <w:sdtEndPr/>
          <w:sdtContent>
            <w:p w:rsidR="00D65517" w:rsidRDefault="00A0522B">
              <w:pPr>
                <w:spacing w:line="276" w:lineRule="auto"/>
                <w:ind w:firstLine="567"/>
                <w:jc w:val="both"/>
                <w:rPr>
                  <w:szCs w:val="24"/>
                </w:rPr>
              </w:pPr>
              <w:r>
                <w:rPr>
                  <w:szCs w:val="24"/>
                </w:rPr>
                <w:t>P a k e i č i u Stacionariųjų gaisrų gesinimo sistemų projektavimo ir įrengimo taisykles, patvirtintas Priešgaisrinės apsaugos ir gelbėjimo departamento prie Vidaus reikalų ministerijos direktoriaus 2016 m. sausio 6 d. įsakymu Nr. 1-1 „Dėl Stacionariųjų gaisrų gesinimo sistemų projektavimo ir įrengimo taisyklių patvirtinimo“, ir 26 punkto 1 lentelę išdėstau taip:</w:t>
              </w:r>
            </w:p>
            <w:p w:rsidR="00D65517" w:rsidRDefault="00D65517">
              <w:pPr>
                <w:spacing w:line="276" w:lineRule="auto"/>
                <w:ind w:firstLine="567"/>
                <w:jc w:val="both"/>
                <w:rPr>
                  <w:szCs w:val="24"/>
                </w:rPr>
              </w:pPr>
            </w:p>
            <w:sdt>
              <w:sdtPr>
                <w:alias w:val="citata"/>
                <w:tag w:val="part_106bd924ce724bdab444378f11e13e47"/>
                <w:id w:val="-1058168743"/>
                <w:lock w:val="sdtLocked"/>
              </w:sdtPr>
              <w:sdtEndPr/>
              <w:sdtContent>
                <w:sdt>
                  <w:sdtPr>
                    <w:alias w:val="pastraipa"/>
                    <w:tag w:val="part_3a7617beee8441dab2535334e9048cf0"/>
                    <w:id w:val="-1588300121"/>
                    <w:lock w:val="sdtLocked"/>
                  </w:sdtPr>
                  <w:sdtEndPr/>
                  <w:sdtContent>
                    <w:p w:rsidR="00D65517" w:rsidRDefault="00A0522B">
                      <w:pPr>
                        <w:spacing w:line="276" w:lineRule="auto"/>
                        <w:ind w:firstLine="567"/>
                        <w:jc w:val="both"/>
                        <w:rPr>
                          <w:color w:val="000000"/>
                          <w:szCs w:val="24"/>
                          <w:lang w:eastAsia="lt-LT"/>
                        </w:rPr>
                      </w:pPr>
                      <w:r>
                        <w:rPr>
                          <w:color w:val="000000"/>
                          <w:szCs w:val="24"/>
                          <w:lang w:eastAsia="lt-LT"/>
                        </w:rPr>
                        <w:t>„1 lentelė. Inžineriniai statiniai</w:t>
                      </w:r>
                    </w:p>
                  </w:sdtContent>
                </w:sdt>
                <w:sdt>
                  <w:sdtPr>
                    <w:rPr>
                      <w:szCs w:val="24"/>
                      <w:lang w:eastAsia="lt-LT"/>
                    </w:rPr>
                    <w:alias w:val="lentele"/>
                    <w:tag w:val="part_23b81e2893774eae8b51692b14a0eecd"/>
                    <w:id w:val="1240980693"/>
                    <w:lock w:val="sdtLocked"/>
                    <w:placeholder>
                      <w:docPart w:val="DefaultPlaceholder_-1854013440"/>
                    </w:placeholder>
                  </w:sdtPr>
                  <w:sdtEndPr>
                    <w:rPr>
                      <w:szCs w:val="20"/>
                      <w:lang w:eastAsia="en-US"/>
                    </w:rPr>
                  </w:sdtEndPr>
                  <w:sdtContent>
                    <w:tbl>
                      <w:tblPr>
                        <w:tblW w:w="9620" w:type="dxa"/>
                        <w:tblCellMar>
                          <w:left w:w="0" w:type="dxa"/>
                          <w:right w:w="0" w:type="dxa"/>
                        </w:tblCellMar>
                        <w:tblLook w:val="04A0" w:firstRow="1" w:lastRow="0" w:firstColumn="1" w:lastColumn="0" w:noHBand="0" w:noVBand="1"/>
                      </w:tblPr>
                      <w:tblGrid>
                        <w:gridCol w:w="579"/>
                        <w:gridCol w:w="3101"/>
                        <w:gridCol w:w="1350"/>
                        <w:gridCol w:w="1170"/>
                        <w:gridCol w:w="1080"/>
                        <w:gridCol w:w="2340"/>
                      </w:tblGrid>
                      <w:tr w:rsidR="00D65517">
                        <w:trPr>
                          <w:trHeight w:val="255"/>
                        </w:trPr>
                        <w:tc>
                          <w:tcPr>
                            <w:tcW w:w="579"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Eil. Nr.</w:t>
                            </w:r>
                          </w:p>
                        </w:tc>
                        <w:tc>
                          <w:tcPr>
                            <w:tcW w:w="3101" w:type="dxa"/>
                            <w:vMerge w:val="restart"/>
                            <w:tcBorders>
                              <w:top w:val="single" w:sz="8" w:space="0" w:color="auto"/>
                              <w:left w:val="nil"/>
                              <w:bottom w:val="single" w:sz="8" w:space="0" w:color="000000"/>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Paskirtis</w:t>
                            </w:r>
                          </w:p>
                        </w:tc>
                        <w:tc>
                          <w:tcPr>
                            <w:tcW w:w="5940"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 xml:space="preserve">Rodikliai, kuriuos viršijus privaloma įrengti SGG sistemas </w:t>
                            </w:r>
                            <w:r>
                              <w:rPr>
                                <w:color w:val="000000"/>
                                <w:szCs w:val="24"/>
                              </w:rPr>
                              <w:t>(1 pastaba)</w:t>
                            </w:r>
                          </w:p>
                        </w:tc>
                      </w:tr>
                      <w:tr w:rsidR="00D65517">
                        <w:trPr>
                          <w:trHeight w:val="690"/>
                        </w:trPr>
                        <w:tc>
                          <w:tcPr>
                            <w:tcW w:w="0" w:type="auto"/>
                            <w:vMerge/>
                            <w:tcBorders>
                              <w:top w:val="single" w:sz="8" w:space="0" w:color="auto"/>
                              <w:left w:val="single" w:sz="8" w:space="0" w:color="auto"/>
                              <w:bottom w:val="single" w:sz="8" w:space="0" w:color="auto"/>
                              <w:right w:val="single" w:sz="8" w:space="0" w:color="auto"/>
                            </w:tcBorders>
                            <w:vAlign w:val="center"/>
                            <w:hideMark/>
                          </w:tcPr>
                          <w:p w:rsidR="00D65517" w:rsidRDefault="00D65517">
                            <w:pPr>
                              <w:rPr>
                                <w:szCs w:val="24"/>
                                <w:lang w:eastAsia="lt-LT"/>
                              </w:rPr>
                            </w:pPr>
                          </w:p>
                        </w:tc>
                        <w:tc>
                          <w:tcPr>
                            <w:tcW w:w="3101" w:type="dxa"/>
                            <w:vMerge/>
                            <w:tcBorders>
                              <w:top w:val="single" w:sz="8" w:space="0" w:color="auto"/>
                              <w:left w:val="nil"/>
                              <w:bottom w:val="single" w:sz="8" w:space="0" w:color="000000"/>
                              <w:right w:val="single" w:sz="8" w:space="0" w:color="auto"/>
                            </w:tcBorders>
                            <w:vAlign w:val="center"/>
                            <w:hideMark/>
                          </w:tcPr>
                          <w:p w:rsidR="00D65517" w:rsidRDefault="00D65517">
                            <w:pPr>
                              <w:jc w:val="center"/>
                              <w:rPr>
                                <w:szCs w:val="24"/>
                                <w:lang w:eastAsia="lt-LT"/>
                              </w:rPr>
                            </w:pPr>
                          </w:p>
                        </w:tc>
                        <w:tc>
                          <w:tcPr>
                            <w:tcW w:w="13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 xml:space="preserve">Plotas </w:t>
                            </w:r>
                          </w:p>
                          <w:p w:rsidR="00D65517" w:rsidRDefault="00A0522B">
                            <w:pPr>
                              <w:jc w:val="center"/>
                              <w:rPr>
                                <w:color w:val="000000"/>
                                <w:szCs w:val="24"/>
                              </w:rPr>
                            </w:pPr>
                            <w:r>
                              <w:rPr>
                                <w:szCs w:val="24"/>
                                <w:lang w:eastAsia="lt-LT"/>
                              </w:rPr>
                              <w:t>(kv. m)</w:t>
                            </w:r>
                            <w:r>
                              <w:rPr>
                                <w:color w:val="000000"/>
                                <w:szCs w:val="24"/>
                              </w:rPr>
                              <w:t xml:space="preserve"> </w:t>
                            </w:r>
                          </w:p>
                          <w:p w:rsidR="00D65517" w:rsidRDefault="00A0522B">
                            <w:pPr>
                              <w:jc w:val="center"/>
                              <w:rPr>
                                <w:szCs w:val="24"/>
                                <w:lang w:eastAsia="lt-LT"/>
                              </w:rPr>
                            </w:pPr>
                            <w:r>
                              <w:rPr>
                                <w:color w:val="000000"/>
                                <w:szCs w:val="24"/>
                              </w:rPr>
                              <w:t>(2 pastaba)</w:t>
                            </w:r>
                          </w:p>
                          <w:p w:rsidR="00D65517" w:rsidRDefault="00D65517">
                            <w:pPr>
                              <w:jc w:val="center"/>
                              <w:rPr>
                                <w:szCs w:val="24"/>
                                <w:lang w:eastAsia="lt-LT"/>
                              </w:rPr>
                            </w:pPr>
                          </w:p>
                        </w:tc>
                        <w:tc>
                          <w:tcPr>
                            <w:tcW w:w="11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ilgis (m)</w:t>
                            </w:r>
                          </w:p>
                        </w:tc>
                        <w:tc>
                          <w:tcPr>
                            <w:tcW w:w="10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tūris (kub. m)</w:t>
                            </w: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kiti rodikliai</w:t>
                            </w:r>
                          </w:p>
                        </w:tc>
                      </w:tr>
                      <w:tr w:rsidR="00D65517">
                        <w:trPr>
                          <w:trHeight w:val="315"/>
                        </w:trPr>
                        <w:tc>
                          <w:tcPr>
                            <w:tcW w:w="57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1.</w:t>
                            </w:r>
                          </w:p>
                        </w:tc>
                        <w:tc>
                          <w:tcPr>
                            <w:tcW w:w="9041" w:type="dxa"/>
                            <w:gridSpan w:val="5"/>
                            <w:tcBorders>
                              <w:top w:val="nil"/>
                              <w:left w:val="nil"/>
                              <w:bottom w:val="single" w:sz="4"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Susisiekimo komunikacijos</w:t>
                            </w:r>
                          </w:p>
                        </w:tc>
                      </w:tr>
                      <w:tr w:rsidR="00D65517">
                        <w:trPr>
                          <w:trHeight w:val="676"/>
                        </w:trPr>
                        <w:tc>
                          <w:tcPr>
                            <w:tcW w:w="579" w:type="dxa"/>
                            <w:tcBorders>
                              <w:top w:val="nil"/>
                              <w:left w:val="single" w:sz="8" w:space="0" w:color="auto"/>
                              <w:bottom w:val="single" w:sz="8" w:space="0" w:color="auto"/>
                              <w:right w:val="single" w:sz="4"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1.1.</w:t>
                            </w:r>
                          </w:p>
                        </w:tc>
                        <w:tc>
                          <w:tcPr>
                            <w:tcW w:w="3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kelių</w:t>
                            </w:r>
                          </w:p>
                        </w:tc>
                        <w:tc>
                          <w:tcPr>
                            <w:tcW w:w="13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17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 1 000</w:t>
                            </w:r>
                          </w:p>
                        </w:tc>
                        <w:tc>
                          <w:tcPr>
                            <w:tcW w:w="108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2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rPr>
                                <w:szCs w:val="24"/>
                                <w:lang w:eastAsia="lt-LT"/>
                              </w:rPr>
                            </w:pPr>
                            <w:r>
                              <w:rPr>
                                <w:szCs w:val="24"/>
                                <w:lang w:eastAsia="lt-LT"/>
                              </w:rPr>
                              <w:t>tuneliuose</w:t>
                            </w:r>
                          </w:p>
                        </w:tc>
                      </w:tr>
                      <w:tr w:rsidR="00D65517">
                        <w:trPr>
                          <w:trHeight w:val="558"/>
                        </w:trPr>
                        <w:tc>
                          <w:tcPr>
                            <w:tcW w:w="579" w:type="dxa"/>
                            <w:tcBorders>
                              <w:top w:val="nil"/>
                              <w:left w:val="single" w:sz="8" w:space="0" w:color="auto"/>
                              <w:bottom w:val="single" w:sz="8" w:space="0" w:color="000000"/>
                              <w:right w:val="single" w:sz="4"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1.2.</w:t>
                            </w:r>
                          </w:p>
                        </w:tc>
                        <w:tc>
                          <w:tcPr>
                            <w:tcW w:w="31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geležinkelių</w:t>
                            </w:r>
                          </w:p>
                        </w:tc>
                        <w:tc>
                          <w:tcPr>
                            <w:tcW w:w="13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17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 1 000</w:t>
                            </w:r>
                          </w:p>
                        </w:tc>
                        <w:tc>
                          <w:tcPr>
                            <w:tcW w:w="108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2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rPr>
                                <w:szCs w:val="24"/>
                                <w:lang w:eastAsia="lt-LT"/>
                              </w:rPr>
                            </w:pPr>
                            <w:r>
                              <w:rPr>
                                <w:szCs w:val="24"/>
                                <w:lang w:eastAsia="lt-LT"/>
                              </w:rPr>
                              <w:t>tuneliuose</w:t>
                            </w:r>
                          </w:p>
                        </w:tc>
                      </w:tr>
                      <w:tr w:rsidR="00D65517">
                        <w:trPr>
                          <w:trHeight w:val="315"/>
                        </w:trPr>
                        <w:tc>
                          <w:tcPr>
                            <w:tcW w:w="57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2.</w:t>
                            </w:r>
                          </w:p>
                        </w:tc>
                        <w:tc>
                          <w:tcPr>
                            <w:tcW w:w="9041" w:type="dxa"/>
                            <w:gridSpan w:val="5"/>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Inžineriniai tinklai</w:t>
                            </w:r>
                          </w:p>
                        </w:tc>
                      </w:tr>
                      <w:tr w:rsidR="00D65517">
                        <w:trPr>
                          <w:trHeight w:val="942"/>
                        </w:trPr>
                        <w:tc>
                          <w:tcPr>
                            <w:tcW w:w="579" w:type="dxa"/>
                            <w:vMerge w:val="restart"/>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2.1.</w:t>
                            </w:r>
                          </w:p>
                        </w:tc>
                        <w:tc>
                          <w:tcPr>
                            <w:tcW w:w="3101"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naftos tinklų</w:t>
                            </w:r>
                          </w:p>
                        </w:tc>
                        <w:tc>
                          <w:tcPr>
                            <w:tcW w:w="13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17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0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≥20 000</w:t>
                            </w: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D65517" w:rsidRDefault="00A0522B">
                            <w:pPr>
                              <w:rPr>
                                <w:szCs w:val="24"/>
                                <w:lang w:eastAsia="lt-LT"/>
                              </w:rPr>
                            </w:pPr>
                            <w:r>
                              <w:rPr>
                                <w:szCs w:val="24"/>
                                <w:lang w:eastAsia="lt-LT"/>
                              </w:rPr>
                              <w:t>antžeminiuose rezervuaruose, kai juose laikomų skysčių pliūpsnio temperatūra 120 °C ir didesnė</w:t>
                            </w:r>
                          </w:p>
                        </w:tc>
                      </w:tr>
                      <w:tr w:rsidR="00D65517">
                        <w:trPr>
                          <w:trHeight w:val="998"/>
                        </w:trPr>
                        <w:tc>
                          <w:tcPr>
                            <w:tcW w:w="0" w:type="auto"/>
                            <w:vMerge/>
                            <w:tcBorders>
                              <w:top w:val="single" w:sz="8" w:space="0" w:color="auto"/>
                              <w:left w:val="single" w:sz="8" w:space="0" w:color="auto"/>
                              <w:bottom w:val="single" w:sz="4" w:space="0" w:color="auto"/>
                              <w:right w:val="single" w:sz="4" w:space="0" w:color="auto"/>
                            </w:tcBorders>
                            <w:vAlign w:val="center"/>
                            <w:hideMark/>
                          </w:tcPr>
                          <w:p w:rsidR="00D65517" w:rsidRDefault="00D65517">
                            <w:pPr>
                              <w:rPr>
                                <w:szCs w:val="24"/>
                                <w:lang w:eastAsia="lt-LT"/>
                              </w:rPr>
                            </w:pPr>
                          </w:p>
                        </w:tc>
                        <w:tc>
                          <w:tcPr>
                            <w:tcW w:w="3101" w:type="dxa"/>
                            <w:vMerge/>
                            <w:tcBorders>
                              <w:top w:val="single" w:sz="4" w:space="0" w:color="auto"/>
                              <w:left w:val="single" w:sz="4" w:space="0" w:color="auto"/>
                              <w:bottom w:val="single" w:sz="4" w:space="0" w:color="auto"/>
                              <w:right w:val="single" w:sz="4" w:space="0" w:color="auto"/>
                            </w:tcBorders>
                            <w:vAlign w:val="center"/>
                            <w:hideMark/>
                          </w:tcPr>
                          <w:p w:rsidR="00D65517" w:rsidRDefault="00D65517">
                            <w:pPr>
                              <w:jc w:val="center"/>
                              <w:rPr>
                                <w:szCs w:val="24"/>
                                <w:lang w:eastAsia="lt-LT"/>
                              </w:rPr>
                            </w:pPr>
                          </w:p>
                        </w:tc>
                        <w:tc>
                          <w:tcPr>
                            <w:tcW w:w="13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170" w:type="dxa"/>
                            <w:tcBorders>
                              <w:top w:val="nil"/>
                              <w:left w:val="single" w:sz="4" w:space="0" w:color="auto"/>
                              <w:bottom w:val="single" w:sz="4" w:space="0" w:color="auto"/>
                              <w:right w:val="single" w:sz="8" w:space="0" w:color="auto"/>
                            </w:tcBorders>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080" w:type="dxa"/>
                            <w:tcBorders>
                              <w:top w:val="nil"/>
                              <w:left w:val="nil"/>
                              <w:bottom w:val="single" w:sz="4" w:space="0" w:color="auto"/>
                              <w:right w:val="single" w:sz="8" w:space="0" w:color="auto"/>
                            </w:tcBorders>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≥10 000</w:t>
                            </w:r>
                          </w:p>
                        </w:tc>
                        <w:tc>
                          <w:tcPr>
                            <w:tcW w:w="2340" w:type="dxa"/>
                            <w:tcBorders>
                              <w:top w:val="nil"/>
                              <w:left w:val="nil"/>
                              <w:bottom w:val="single" w:sz="4" w:space="0" w:color="auto"/>
                              <w:right w:val="single" w:sz="8" w:space="0" w:color="auto"/>
                            </w:tcBorders>
                            <w:tcMar>
                              <w:top w:w="0" w:type="dxa"/>
                              <w:left w:w="108" w:type="dxa"/>
                              <w:bottom w:w="0" w:type="dxa"/>
                              <w:right w:w="108" w:type="dxa"/>
                            </w:tcMar>
                            <w:vAlign w:val="center"/>
                            <w:hideMark/>
                          </w:tcPr>
                          <w:p w:rsidR="00D65517" w:rsidRDefault="00A0522B">
                            <w:pPr>
                              <w:rPr>
                                <w:szCs w:val="24"/>
                                <w:lang w:eastAsia="lt-LT"/>
                              </w:rPr>
                            </w:pPr>
                            <w:r>
                              <w:rPr>
                                <w:szCs w:val="24"/>
                                <w:lang w:eastAsia="lt-LT"/>
                              </w:rPr>
                              <w:t xml:space="preserve">antžeminiuose rezervuaruose, kai juose laikomų skysčių pliūpsnio temperatūra iki </w:t>
                            </w:r>
                          </w:p>
                          <w:p w:rsidR="00D65517" w:rsidRDefault="00A0522B">
                            <w:pPr>
                              <w:rPr>
                                <w:szCs w:val="24"/>
                                <w:lang w:eastAsia="lt-LT"/>
                              </w:rPr>
                            </w:pPr>
                            <w:r>
                              <w:rPr>
                                <w:szCs w:val="24"/>
                                <w:lang w:eastAsia="lt-LT"/>
                              </w:rPr>
                              <w:t>120 °C</w:t>
                            </w:r>
                          </w:p>
                        </w:tc>
                      </w:tr>
                      <w:tr w:rsidR="00D65517">
                        <w:trPr>
                          <w:trHeight w:val="630"/>
                        </w:trPr>
                        <w:tc>
                          <w:tcPr>
                            <w:tcW w:w="0" w:type="auto"/>
                            <w:vMerge/>
                            <w:tcBorders>
                              <w:top w:val="single" w:sz="8" w:space="0" w:color="auto"/>
                              <w:left w:val="single" w:sz="8" w:space="0" w:color="auto"/>
                              <w:bottom w:val="single" w:sz="4" w:space="0" w:color="auto"/>
                              <w:right w:val="single" w:sz="4" w:space="0" w:color="auto"/>
                            </w:tcBorders>
                            <w:vAlign w:val="center"/>
                            <w:hideMark/>
                          </w:tcPr>
                          <w:p w:rsidR="00D65517" w:rsidRDefault="00D65517">
                            <w:pPr>
                              <w:rPr>
                                <w:szCs w:val="24"/>
                                <w:lang w:eastAsia="lt-LT"/>
                              </w:rPr>
                            </w:pPr>
                          </w:p>
                        </w:tc>
                        <w:tc>
                          <w:tcPr>
                            <w:tcW w:w="3101" w:type="dxa"/>
                            <w:vMerge/>
                            <w:tcBorders>
                              <w:top w:val="single" w:sz="4" w:space="0" w:color="auto"/>
                              <w:left w:val="single" w:sz="4" w:space="0" w:color="auto"/>
                              <w:bottom w:val="single" w:sz="4" w:space="0" w:color="auto"/>
                              <w:right w:val="single" w:sz="4" w:space="0" w:color="auto"/>
                            </w:tcBorders>
                            <w:vAlign w:val="center"/>
                            <w:hideMark/>
                          </w:tcPr>
                          <w:p w:rsidR="00D65517" w:rsidRDefault="00D65517">
                            <w:pPr>
                              <w:jc w:val="center"/>
                              <w:rPr>
                                <w:szCs w:val="24"/>
                                <w:lang w:eastAsia="lt-LT"/>
                              </w:rPr>
                            </w:pPr>
                          </w:p>
                        </w:tc>
                        <w:tc>
                          <w:tcPr>
                            <w:tcW w:w="13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rsidR="00D65517" w:rsidRDefault="00A0522B">
                            <w:pPr>
                              <w:jc w:val="center"/>
                              <w:rPr>
                                <w:szCs w:val="24"/>
                                <w:lang w:eastAsia="lt-LT"/>
                              </w:rPr>
                            </w:pPr>
                            <w:r>
                              <w:rPr>
                                <w:szCs w:val="24"/>
                                <w:lang w:eastAsia="lt-LT"/>
                              </w:rPr>
                              <w:t>≥ 100</w:t>
                            </w:r>
                          </w:p>
                        </w:tc>
                        <w:tc>
                          <w:tcPr>
                            <w:tcW w:w="11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10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D65517">
                            <w:pPr>
                              <w:ind w:firstLine="60"/>
                              <w:jc w:val="center"/>
                              <w:rPr>
                                <w:szCs w:val="24"/>
                                <w:lang w:eastAsia="lt-LT"/>
                              </w:rPr>
                            </w:pPr>
                          </w:p>
                        </w:tc>
                        <w:tc>
                          <w:tcPr>
                            <w:tcW w:w="2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D65517" w:rsidRDefault="00A0522B">
                            <w:pPr>
                              <w:rPr>
                                <w:szCs w:val="24"/>
                                <w:lang w:eastAsia="lt-LT"/>
                              </w:rPr>
                            </w:pPr>
                            <w:r>
                              <w:rPr>
                                <w:szCs w:val="24"/>
                                <w:lang w:eastAsia="lt-LT"/>
                              </w:rPr>
                              <w:t>ypač degių ir labai degių skysčių siurblinėse</w:t>
                            </w:r>
                          </w:p>
                        </w:tc>
                      </w:tr>
                      <w:tr w:rsidR="00D65517">
                        <w:trPr>
                          <w:trHeight w:val="630"/>
                        </w:trPr>
                        <w:tc>
                          <w:tcPr>
                            <w:tcW w:w="0" w:type="auto"/>
                            <w:vMerge w:val="restart"/>
                            <w:tcBorders>
                              <w:top w:val="single" w:sz="4" w:space="0" w:color="auto"/>
                              <w:left w:val="single" w:sz="8" w:space="0" w:color="auto"/>
                              <w:right w:val="single" w:sz="8" w:space="0" w:color="auto"/>
                            </w:tcBorders>
                            <w:vAlign w:val="center"/>
                          </w:tcPr>
                          <w:p w:rsidR="00D65517" w:rsidRDefault="00A0522B">
                            <w:pPr>
                              <w:jc w:val="center"/>
                              <w:rPr>
                                <w:szCs w:val="24"/>
                                <w:lang w:eastAsia="lt-LT"/>
                              </w:rPr>
                            </w:pPr>
                            <w:r>
                              <w:rPr>
                                <w:szCs w:val="24"/>
                                <w:lang w:eastAsia="lt-LT"/>
                              </w:rPr>
                              <w:t>2.2.</w:t>
                            </w:r>
                          </w:p>
                        </w:tc>
                        <w:tc>
                          <w:tcPr>
                            <w:tcW w:w="3101" w:type="dxa"/>
                            <w:vMerge w:val="restart"/>
                            <w:tcBorders>
                              <w:top w:val="single" w:sz="4" w:space="0" w:color="auto"/>
                              <w:left w:val="nil"/>
                              <w:right w:val="single" w:sz="8" w:space="0" w:color="auto"/>
                            </w:tcBorders>
                            <w:vAlign w:val="center"/>
                          </w:tcPr>
                          <w:p w:rsidR="00D65517" w:rsidRDefault="00A0522B">
                            <w:pPr>
                              <w:jc w:val="center"/>
                              <w:rPr>
                                <w:szCs w:val="24"/>
                                <w:lang w:eastAsia="lt-LT"/>
                              </w:rPr>
                            </w:pPr>
                            <w:r>
                              <w:rPr>
                                <w:szCs w:val="24"/>
                                <w:lang w:eastAsia="lt-LT"/>
                              </w:rPr>
                              <w:t>elektros tinklų</w:t>
                            </w:r>
                          </w:p>
                        </w:tc>
                        <w:tc>
                          <w:tcPr>
                            <w:tcW w:w="1350" w:type="dxa"/>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tcPr>
                          <w:p w:rsidR="00D65517" w:rsidRDefault="00D65517">
                            <w:pPr>
                              <w:jc w:val="center"/>
                              <w:rPr>
                                <w:szCs w:val="24"/>
                                <w:lang w:eastAsia="lt-LT"/>
                              </w:rPr>
                            </w:pPr>
                          </w:p>
                        </w:tc>
                        <w:tc>
                          <w:tcPr>
                            <w:tcW w:w="117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szCs w:val="24"/>
                                <w:lang w:eastAsia="lt-LT"/>
                              </w:rPr>
                            </w:pPr>
                            <w:r>
                              <w:rPr>
                                <w:szCs w:val="24"/>
                                <w:lang w:eastAsia="lt-LT"/>
                              </w:rPr>
                              <w:t xml:space="preserve">vertikaliose kabelių šachtose, kuriose tiesiami aukštesnės kaip 1 000 V įtampos kabeliai ir gaisro apkrova viršija </w:t>
                            </w:r>
                            <w:r>
                              <w:rPr>
                                <w:szCs w:val="24"/>
                                <w:lang w:eastAsia="lt-LT"/>
                              </w:rPr>
                              <w:br/>
                              <w:t>1 200 MJ/kv. m</w:t>
                            </w:r>
                          </w:p>
                        </w:tc>
                      </w:tr>
                      <w:tr w:rsidR="00D65517">
                        <w:trPr>
                          <w:trHeight w:val="630"/>
                        </w:trPr>
                        <w:tc>
                          <w:tcPr>
                            <w:tcW w:w="0" w:type="auto"/>
                            <w:vMerge/>
                            <w:tcBorders>
                              <w:left w:val="single" w:sz="8" w:space="0" w:color="auto"/>
                              <w:right w:val="single" w:sz="8" w:space="0" w:color="auto"/>
                            </w:tcBorders>
                            <w:vAlign w:val="center"/>
                          </w:tcPr>
                          <w:p w:rsidR="00D65517" w:rsidRDefault="00D65517">
                            <w:pPr>
                              <w:rPr>
                                <w:szCs w:val="24"/>
                                <w:lang w:eastAsia="lt-LT"/>
                              </w:rPr>
                            </w:pPr>
                          </w:p>
                        </w:tc>
                        <w:tc>
                          <w:tcPr>
                            <w:tcW w:w="3101" w:type="dxa"/>
                            <w:vMerge/>
                            <w:tcBorders>
                              <w:left w:val="nil"/>
                              <w:right w:val="single" w:sz="8" w:space="0" w:color="auto"/>
                            </w:tcBorders>
                            <w:vAlign w:val="center"/>
                          </w:tcPr>
                          <w:p w:rsidR="00D65517" w:rsidRDefault="00D65517">
                            <w:pPr>
                              <w:jc w:val="center"/>
                              <w:rPr>
                                <w:szCs w:val="24"/>
                                <w:lang w:eastAsia="lt-LT"/>
                              </w:rPr>
                            </w:pPr>
                          </w:p>
                        </w:tc>
                        <w:tc>
                          <w:tcPr>
                            <w:tcW w:w="1350"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65517" w:rsidRDefault="00D65517">
                            <w:pPr>
                              <w:jc w:val="center"/>
                              <w:rPr>
                                <w:szCs w:val="24"/>
                                <w:lang w:eastAsia="lt-LT"/>
                              </w:rPr>
                            </w:pPr>
                          </w:p>
                        </w:tc>
                        <w:tc>
                          <w:tcPr>
                            <w:tcW w:w="117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szCs w:val="24"/>
                                <w:lang w:eastAsia="lt-LT"/>
                              </w:rPr>
                            </w:pPr>
                            <w:r>
                              <w:rPr>
                                <w:szCs w:val="24"/>
                                <w:lang w:eastAsia="lt-LT"/>
                              </w:rPr>
                              <w:t xml:space="preserve">horizontaliuose kabelių tuneliuose, kuriuose tiesiami aukštesnės kaip 1 000 V įtampos kabeliai ir gaisro apkrova viršija </w:t>
                            </w:r>
                          </w:p>
                          <w:p w:rsidR="00D65517" w:rsidRDefault="00A0522B">
                            <w:pPr>
                              <w:rPr>
                                <w:szCs w:val="24"/>
                                <w:lang w:eastAsia="lt-LT"/>
                              </w:rPr>
                            </w:pPr>
                            <w:r>
                              <w:rPr>
                                <w:szCs w:val="24"/>
                                <w:lang w:eastAsia="lt-LT"/>
                              </w:rPr>
                              <w:t>1 200 MJ/kv. m</w:t>
                            </w:r>
                          </w:p>
                        </w:tc>
                      </w:tr>
                      <w:tr w:rsidR="00D65517">
                        <w:trPr>
                          <w:trHeight w:val="630"/>
                        </w:trPr>
                        <w:tc>
                          <w:tcPr>
                            <w:tcW w:w="0" w:type="auto"/>
                            <w:vMerge/>
                            <w:tcBorders>
                              <w:left w:val="single" w:sz="8" w:space="0" w:color="auto"/>
                              <w:right w:val="single" w:sz="8" w:space="0" w:color="auto"/>
                            </w:tcBorders>
                            <w:vAlign w:val="center"/>
                          </w:tcPr>
                          <w:p w:rsidR="00D65517" w:rsidRDefault="00D65517">
                            <w:pPr>
                              <w:rPr>
                                <w:szCs w:val="24"/>
                                <w:lang w:eastAsia="lt-LT"/>
                              </w:rPr>
                            </w:pPr>
                          </w:p>
                        </w:tc>
                        <w:tc>
                          <w:tcPr>
                            <w:tcW w:w="3101" w:type="dxa"/>
                            <w:vMerge/>
                            <w:tcBorders>
                              <w:left w:val="nil"/>
                              <w:right w:val="single" w:sz="8" w:space="0" w:color="auto"/>
                            </w:tcBorders>
                            <w:vAlign w:val="center"/>
                          </w:tcPr>
                          <w:p w:rsidR="00D65517" w:rsidRDefault="00D65517">
                            <w:pPr>
                              <w:jc w:val="center"/>
                              <w:rPr>
                                <w:szCs w:val="24"/>
                                <w:lang w:eastAsia="lt-LT"/>
                              </w:rPr>
                            </w:pPr>
                          </w:p>
                        </w:tc>
                        <w:tc>
                          <w:tcPr>
                            <w:tcW w:w="1350"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65517" w:rsidRDefault="00D65517">
                            <w:pPr>
                              <w:jc w:val="center"/>
                              <w:rPr>
                                <w:szCs w:val="24"/>
                                <w:lang w:eastAsia="lt-LT"/>
                              </w:rPr>
                            </w:pPr>
                          </w:p>
                        </w:tc>
                        <w:tc>
                          <w:tcPr>
                            <w:tcW w:w="117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szCs w:val="24"/>
                                <w:lang w:eastAsia="lt-LT"/>
                              </w:rPr>
                            </w:pPr>
                            <w:r>
                              <w:rPr>
                                <w:spacing w:val="-4"/>
                                <w:szCs w:val="24"/>
                                <w:lang w:eastAsia="lt-LT"/>
                              </w:rPr>
                              <w:t xml:space="preserve">automatizuotose hidroelektrinėse </w:t>
                            </w:r>
                            <w:proofErr w:type="spellStart"/>
                            <w:r>
                              <w:rPr>
                                <w:spacing w:val="-4"/>
                                <w:szCs w:val="24"/>
                                <w:lang w:eastAsia="lt-LT"/>
                              </w:rPr>
                              <w:t>hidrogeneratoriams</w:t>
                            </w:r>
                            <w:proofErr w:type="spellEnd"/>
                            <w:r>
                              <w:rPr>
                                <w:spacing w:val="-4"/>
                                <w:szCs w:val="24"/>
                                <w:lang w:eastAsia="lt-LT"/>
                              </w:rPr>
                              <w:t xml:space="preserve"> ir oru aušinamiems sinchroniniams kompensatoriams gesinti</w:t>
                            </w:r>
                          </w:p>
                        </w:tc>
                      </w:tr>
                      <w:tr w:rsidR="00D65517">
                        <w:trPr>
                          <w:trHeight w:val="48"/>
                        </w:trPr>
                        <w:tc>
                          <w:tcPr>
                            <w:tcW w:w="0" w:type="auto"/>
                            <w:vMerge/>
                            <w:tcBorders>
                              <w:left w:val="single" w:sz="8" w:space="0" w:color="auto"/>
                              <w:bottom w:val="single" w:sz="4" w:space="0" w:color="auto"/>
                              <w:right w:val="single" w:sz="8" w:space="0" w:color="auto"/>
                            </w:tcBorders>
                            <w:vAlign w:val="center"/>
                          </w:tcPr>
                          <w:p w:rsidR="00D65517" w:rsidRDefault="00D65517">
                            <w:pPr>
                              <w:rPr>
                                <w:szCs w:val="24"/>
                                <w:lang w:eastAsia="lt-LT"/>
                              </w:rPr>
                            </w:pPr>
                          </w:p>
                        </w:tc>
                        <w:tc>
                          <w:tcPr>
                            <w:tcW w:w="3101" w:type="dxa"/>
                            <w:vMerge/>
                            <w:tcBorders>
                              <w:left w:val="nil"/>
                              <w:bottom w:val="single" w:sz="4" w:space="0" w:color="auto"/>
                              <w:right w:val="single" w:sz="8" w:space="0" w:color="auto"/>
                            </w:tcBorders>
                            <w:vAlign w:val="center"/>
                          </w:tcPr>
                          <w:p w:rsidR="00D65517" w:rsidRDefault="00D65517">
                            <w:pPr>
                              <w:jc w:val="center"/>
                              <w:rPr>
                                <w:szCs w:val="24"/>
                                <w:lang w:eastAsia="lt-LT"/>
                              </w:rPr>
                            </w:pPr>
                          </w:p>
                        </w:tc>
                        <w:tc>
                          <w:tcPr>
                            <w:tcW w:w="1350" w:type="dxa"/>
                            <w:tcBorders>
                              <w:top w:val="nil"/>
                              <w:left w:val="nil"/>
                              <w:bottom w:val="single" w:sz="4" w:space="0" w:color="auto"/>
                              <w:right w:val="single" w:sz="8" w:space="0" w:color="auto"/>
                            </w:tcBorders>
                            <w:noWrap/>
                            <w:tcMar>
                              <w:top w:w="0" w:type="dxa"/>
                              <w:left w:w="108" w:type="dxa"/>
                              <w:bottom w:w="0" w:type="dxa"/>
                              <w:right w:w="108" w:type="dxa"/>
                            </w:tcMar>
                            <w:vAlign w:val="center"/>
                          </w:tcPr>
                          <w:p w:rsidR="00D65517" w:rsidRDefault="00D65517">
                            <w:pPr>
                              <w:jc w:val="center"/>
                              <w:rPr>
                                <w:szCs w:val="24"/>
                                <w:lang w:eastAsia="lt-LT"/>
                              </w:rPr>
                            </w:pPr>
                          </w:p>
                        </w:tc>
                        <w:tc>
                          <w:tcPr>
                            <w:tcW w:w="1170" w:type="dxa"/>
                            <w:tcBorders>
                              <w:top w:val="nil"/>
                              <w:left w:val="nil"/>
                              <w:bottom w:val="single" w:sz="4"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nil"/>
                              <w:left w:val="nil"/>
                              <w:bottom w:val="single" w:sz="4"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nil"/>
                              <w:left w:val="nil"/>
                              <w:bottom w:val="single" w:sz="4" w:space="0" w:color="auto"/>
                              <w:right w:val="single" w:sz="8" w:space="0" w:color="auto"/>
                            </w:tcBorders>
                            <w:tcMar>
                              <w:top w:w="0" w:type="dxa"/>
                              <w:left w:w="108" w:type="dxa"/>
                              <w:bottom w:w="0" w:type="dxa"/>
                              <w:right w:w="108" w:type="dxa"/>
                            </w:tcMar>
                            <w:vAlign w:val="center"/>
                          </w:tcPr>
                          <w:p w:rsidR="00D65517" w:rsidRDefault="00A0522B">
                            <w:pPr>
                              <w:rPr>
                                <w:szCs w:val="24"/>
                                <w:lang w:eastAsia="lt-LT"/>
                              </w:rPr>
                            </w:pPr>
                            <w:r>
                              <w:rPr>
                                <w:szCs w:val="24"/>
                                <w:lang w:eastAsia="lt-LT"/>
                              </w:rPr>
                              <w:t>aukštesnių nei vieno aukšto statinių pirmojo aukšto lygyje esančiose patalpose su transformatorinių, transformatorių pastočių arba keitiklių įrenginiais, pripildytais alyvos, kai bendras alyvos kiekis didesnis kaip 10 t;</w:t>
                            </w:r>
                          </w:p>
                          <w:p w:rsidR="00D65517" w:rsidRDefault="00A0522B">
                            <w:pPr>
                              <w:rPr>
                                <w:szCs w:val="24"/>
                                <w:lang w:eastAsia="lt-LT"/>
                              </w:rPr>
                            </w:pPr>
                            <w:r>
                              <w:rPr>
                                <w:szCs w:val="24"/>
                                <w:lang w:eastAsia="lt-LT"/>
                              </w:rPr>
                              <w:t>žemiau pirmojo aukšto lygio esančiose patalpose su transformatorinių, transformatorių pastočių arba keitiklių įrenginiais, pripildytais alyvos, virš kurių yra kitos patalpos, kai bendras alyvos kiekis didesnis kaip 0,6 t</w:t>
                            </w:r>
                          </w:p>
                        </w:tc>
                      </w:tr>
                      <w:tr w:rsidR="00D65517">
                        <w:trPr>
                          <w:trHeight w:val="295"/>
                        </w:trPr>
                        <w:tc>
                          <w:tcPr>
                            <w:tcW w:w="0" w:type="auto"/>
                            <w:tcBorders>
                              <w:top w:val="single" w:sz="4" w:space="0" w:color="auto"/>
                              <w:left w:val="single" w:sz="4" w:space="0" w:color="auto"/>
                              <w:bottom w:val="single" w:sz="4" w:space="0" w:color="auto"/>
                              <w:right w:val="single" w:sz="4" w:space="0" w:color="auto"/>
                            </w:tcBorders>
                            <w:vAlign w:val="center"/>
                          </w:tcPr>
                          <w:p w:rsidR="00D65517" w:rsidRDefault="00A0522B">
                            <w:pPr>
                              <w:jc w:val="center"/>
                              <w:rPr>
                                <w:szCs w:val="24"/>
                                <w:lang w:eastAsia="lt-LT"/>
                              </w:rPr>
                            </w:pPr>
                            <w:r>
                              <w:rPr>
                                <w:color w:val="000000"/>
                                <w:szCs w:val="24"/>
                              </w:rPr>
                              <w:t>3.</w:t>
                            </w:r>
                          </w:p>
                        </w:tc>
                        <w:tc>
                          <w:tcPr>
                            <w:tcW w:w="9041" w:type="dxa"/>
                            <w:gridSpan w:val="5"/>
                            <w:tcBorders>
                              <w:top w:val="single" w:sz="4" w:space="0" w:color="auto"/>
                              <w:left w:val="single" w:sz="4" w:space="0" w:color="auto"/>
                              <w:bottom w:val="single" w:sz="4" w:space="0" w:color="auto"/>
                              <w:right w:val="single" w:sz="4" w:space="0" w:color="auto"/>
                            </w:tcBorders>
                            <w:vAlign w:val="center"/>
                          </w:tcPr>
                          <w:p w:rsidR="00D65517" w:rsidRDefault="00A0522B">
                            <w:pPr>
                              <w:jc w:val="center"/>
                              <w:rPr>
                                <w:szCs w:val="24"/>
                                <w:lang w:eastAsia="lt-LT"/>
                              </w:rPr>
                            </w:pPr>
                            <w:r>
                              <w:rPr>
                                <w:szCs w:val="24"/>
                                <w:lang w:eastAsia="lt-LT"/>
                              </w:rPr>
                              <w:t>Kiti inžineriniai statiniai</w:t>
                            </w:r>
                          </w:p>
                        </w:tc>
                      </w:tr>
                      <w:tr w:rsidR="00D65517">
                        <w:trPr>
                          <w:trHeight w:val="630"/>
                        </w:trPr>
                        <w:tc>
                          <w:tcPr>
                            <w:tcW w:w="0" w:type="auto"/>
                            <w:vMerge w:val="restart"/>
                            <w:tcBorders>
                              <w:top w:val="single" w:sz="4" w:space="0" w:color="auto"/>
                              <w:left w:val="single" w:sz="8" w:space="0" w:color="auto"/>
                              <w:right w:val="single" w:sz="8" w:space="0" w:color="auto"/>
                            </w:tcBorders>
                            <w:vAlign w:val="center"/>
                          </w:tcPr>
                          <w:p w:rsidR="00D65517" w:rsidRDefault="00D65517">
                            <w:pPr>
                              <w:rPr>
                                <w:szCs w:val="24"/>
                                <w:lang w:eastAsia="lt-LT"/>
                              </w:rPr>
                            </w:pPr>
                          </w:p>
                        </w:tc>
                        <w:tc>
                          <w:tcPr>
                            <w:tcW w:w="3101" w:type="dxa"/>
                            <w:vMerge w:val="restart"/>
                            <w:tcBorders>
                              <w:top w:val="single" w:sz="4" w:space="0" w:color="auto"/>
                              <w:left w:val="nil"/>
                              <w:right w:val="single" w:sz="8" w:space="0" w:color="auto"/>
                            </w:tcBorders>
                            <w:vAlign w:val="center"/>
                          </w:tcPr>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A0522B">
                            <w:pPr>
                              <w:jc w:val="center"/>
                              <w:rPr>
                                <w:szCs w:val="24"/>
                                <w:lang w:eastAsia="lt-LT"/>
                              </w:rPr>
                            </w:pPr>
                            <w:r>
                              <w:rPr>
                                <w:color w:val="000000"/>
                                <w:szCs w:val="24"/>
                              </w:rPr>
                              <w:t>automatizuoti sandėliavimo sistemų statiniai (3 pastaba)</w:t>
                            </w:r>
                          </w:p>
                        </w:tc>
                        <w:tc>
                          <w:tcPr>
                            <w:tcW w:w="1350" w:type="dxa"/>
                            <w:vMerge w:val="restart"/>
                            <w:tcBorders>
                              <w:top w:val="single" w:sz="4" w:space="0" w:color="auto"/>
                              <w:left w:val="nil"/>
                              <w:right w:val="single" w:sz="4" w:space="0" w:color="auto"/>
                            </w:tcBorders>
                            <w:noWrap/>
                            <w:tcMar>
                              <w:top w:w="0" w:type="dxa"/>
                              <w:left w:w="108" w:type="dxa"/>
                              <w:bottom w:w="0" w:type="dxa"/>
                              <w:right w:w="108" w:type="dxa"/>
                            </w:tcMar>
                            <w:vAlign w:val="center"/>
                          </w:tcPr>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D65517">
                            <w:pPr>
                              <w:jc w:val="center"/>
                              <w:rPr>
                                <w:color w:val="000000"/>
                                <w:szCs w:val="24"/>
                              </w:rPr>
                            </w:pPr>
                          </w:p>
                          <w:p w:rsidR="00D65517" w:rsidRDefault="00A0522B">
                            <w:pPr>
                              <w:jc w:val="center"/>
                              <w:rPr>
                                <w:szCs w:val="24"/>
                                <w:lang w:eastAsia="lt-LT"/>
                              </w:rPr>
                            </w:pPr>
                            <w:r>
                              <w:rPr>
                                <w:color w:val="000000"/>
                                <w:szCs w:val="24"/>
                              </w:rPr>
                              <w:t>≥ 750</w:t>
                            </w:r>
                          </w:p>
                        </w:tc>
                        <w:tc>
                          <w:tcPr>
                            <w:tcW w:w="11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color w:val="000000"/>
                                <w:szCs w:val="24"/>
                              </w:rPr>
                            </w:pPr>
                            <w:r>
                              <w:rPr>
                                <w:color w:val="000000"/>
                                <w:szCs w:val="24"/>
                              </w:rPr>
                              <w:t xml:space="preserve">statiniai priskiriami </w:t>
                            </w:r>
                            <w:proofErr w:type="spellStart"/>
                            <w:r>
                              <w:rPr>
                                <w:color w:val="000000"/>
                                <w:szCs w:val="24"/>
                              </w:rPr>
                              <w:t>Asg</w:t>
                            </w:r>
                            <w:proofErr w:type="spellEnd"/>
                            <w:r>
                              <w:rPr>
                                <w:color w:val="000000"/>
                                <w:szCs w:val="24"/>
                              </w:rPr>
                              <w:t xml:space="preserve"> ir </w:t>
                            </w:r>
                            <w:proofErr w:type="spellStart"/>
                            <w:r>
                              <w:rPr>
                                <w:color w:val="000000"/>
                                <w:szCs w:val="24"/>
                              </w:rPr>
                              <w:t>Bsg</w:t>
                            </w:r>
                            <w:proofErr w:type="spellEnd"/>
                            <w:r>
                              <w:rPr>
                                <w:color w:val="000000"/>
                                <w:szCs w:val="24"/>
                              </w:rPr>
                              <w:t xml:space="preserve"> kategorijai pagal sprogimo ar gaisro kilimo pavojų</w:t>
                            </w:r>
                          </w:p>
                        </w:tc>
                      </w:tr>
                      <w:tr w:rsidR="00D65517">
                        <w:trPr>
                          <w:trHeight w:val="630"/>
                        </w:trPr>
                        <w:tc>
                          <w:tcPr>
                            <w:tcW w:w="0" w:type="auto"/>
                            <w:vMerge/>
                            <w:tcBorders>
                              <w:left w:val="single" w:sz="8" w:space="0" w:color="auto"/>
                              <w:right w:val="single" w:sz="8" w:space="0" w:color="auto"/>
                            </w:tcBorders>
                            <w:vAlign w:val="center"/>
                          </w:tcPr>
                          <w:p w:rsidR="00D65517" w:rsidRDefault="00D65517">
                            <w:pPr>
                              <w:rPr>
                                <w:szCs w:val="24"/>
                                <w:lang w:eastAsia="lt-LT"/>
                              </w:rPr>
                            </w:pPr>
                          </w:p>
                        </w:tc>
                        <w:tc>
                          <w:tcPr>
                            <w:tcW w:w="3101" w:type="dxa"/>
                            <w:vMerge/>
                            <w:tcBorders>
                              <w:left w:val="nil"/>
                              <w:right w:val="single" w:sz="8" w:space="0" w:color="auto"/>
                            </w:tcBorders>
                            <w:vAlign w:val="center"/>
                          </w:tcPr>
                          <w:p w:rsidR="00D65517" w:rsidRDefault="00D65517">
                            <w:pPr>
                              <w:jc w:val="center"/>
                              <w:rPr>
                                <w:szCs w:val="24"/>
                                <w:lang w:eastAsia="lt-LT"/>
                              </w:rPr>
                            </w:pPr>
                          </w:p>
                        </w:tc>
                        <w:tc>
                          <w:tcPr>
                            <w:tcW w:w="1350" w:type="dxa"/>
                            <w:vMerge/>
                            <w:tcBorders>
                              <w:left w:val="nil"/>
                              <w:bottom w:val="single" w:sz="8" w:space="0" w:color="auto"/>
                              <w:right w:val="single" w:sz="4" w:space="0" w:color="auto"/>
                            </w:tcBorders>
                            <w:noWrap/>
                            <w:tcMar>
                              <w:top w:w="0" w:type="dxa"/>
                              <w:left w:w="108" w:type="dxa"/>
                              <w:bottom w:w="0" w:type="dxa"/>
                              <w:right w:w="108" w:type="dxa"/>
                            </w:tcMar>
                            <w:vAlign w:val="center"/>
                          </w:tcPr>
                          <w:p w:rsidR="00D65517" w:rsidRDefault="00D65517">
                            <w:pPr>
                              <w:jc w:val="center"/>
                              <w:rPr>
                                <w:szCs w:val="24"/>
                                <w:lang w:eastAsia="lt-LT"/>
                              </w:rPr>
                            </w:pPr>
                          </w:p>
                        </w:tc>
                        <w:tc>
                          <w:tcPr>
                            <w:tcW w:w="1170" w:type="dxa"/>
                            <w:tcBorders>
                              <w:left w:val="single" w:sz="4" w:space="0" w:color="auto"/>
                              <w:bottom w:val="single" w:sz="4" w:space="0" w:color="auto"/>
                              <w:right w:val="single" w:sz="4"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color w:val="000000"/>
                                <w:szCs w:val="24"/>
                              </w:rPr>
                            </w:pPr>
                            <w:r>
                              <w:rPr>
                                <w:color w:val="000000"/>
                                <w:szCs w:val="24"/>
                              </w:rPr>
                              <w:t>kaučiuko, gumos ar šių medžiagų gaminių, vaistų ir reagentų gaminių, taroje laikomų naftos ir jos produktų gaminių, ypač degių, labai degių ir degių skysčių sandėliavimas ir laikymas</w:t>
                            </w:r>
                          </w:p>
                        </w:tc>
                      </w:tr>
                      <w:tr w:rsidR="00D65517">
                        <w:trPr>
                          <w:trHeight w:val="630"/>
                        </w:trPr>
                        <w:tc>
                          <w:tcPr>
                            <w:tcW w:w="0" w:type="auto"/>
                            <w:vMerge/>
                            <w:tcBorders>
                              <w:left w:val="single" w:sz="8" w:space="0" w:color="auto"/>
                              <w:right w:val="single" w:sz="8" w:space="0" w:color="auto"/>
                            </w:tcBorders>
                            <w:vAlign w:val="center"/>
                          </w:tcPr>
                          <w:p w:rsidR="00D65517" w:rsidRDefault="00D65517">
                            <w:pPr>
                              <w:rPr>
                                <w:szCs w:val="24"/>
                                <w:lang w:eastAsia="lt-LT"/>
                              </w:rPr>
                            </w:pPr>
                          </w:p>
                        </w:tc>
                        <w:tc>
                          <w:tcPr>
                            <w:tcW w:w="3101" w:type="dxa"/>
                            <w:vMerge/>
                            <w:tcBorders>
                              <w:left w:val="nil"/>
                              <w:right w:val="single" w:sz="8" w:space="0" w:color="auto"/>
                            </w:tcBorders>
                            <w:vAlign w:val="center"/>
                          </w:tcPr>
                          <w:p w:rsidR="00D65517" w:rsidRDefault="00D65517">
                            <w:pPr>
                              <w:rPr>
                                <w:szCs w:val="24"/>
                                <w:lang w:eastAsia="lt-LT"/>
                              </w:rPr>
                            </w:pPr>
                          </w:p>
                        </w:tc>
                        <w:tc>
                          <w:tcPr>
                            <w:tcW w:w="1350"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65517" w:rsidRDefault="00A0522B">
                            <w:pPr>
                              <w:jc w:val="center"/>
                              <w:rPr>
                                <w:szCs w:val="24"/>
                                <w:lang w:eastAsia="lt-LT"/>
                              </w:rPr>
                            </w:pPr>
                            <w:r>
                              <w:rPr>
                                <w:color w:val="000000"/>
                                <w:szCs w:val="24"/>
                              </w:rPr>
                              <w:t>≥ 2 000</w:t>
                            </w:r>
                          </w:p>
                        </w:tc>
                        <w:tc>
                          <w:tcPr>
                            <w:tcW w:w="117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color w:val="000000"/>
                                <w:szCs w:val="24"/>
                              </w:rPr>
                            </w:pPr>
                            <w:r>
                              <w:rPr>
                                <w:color w:val="000000"/>
                                <w:szCs w:val="24"/>
                              </w:rPr>
                              <w:t>statiniai priskiriami Cg kategorijai pagal sprogimo ar gaisro kilimo pavojų</w:t>
                            </w:r>
                          </w:p>
                        </w:tc>
                      </w:tr>
                      <w:tr w:rsidR="00D65517">
                        <w:trPr>
                          <w:trHeight w:val="630"/>
                        </w:trPr>
                        <w:tc>
                          <w:tcPr>
                            <w:tcW w:w="0" w:type="auto"/>
                            <w:vMerge/>
                            <w:tcBorders>
                              <w:left w:val="single" w:sz="8" w:space="0" w:color="auto"/>
                              <w:bottom w:val="single" w:sz="8" w:space="0" w:color="auto"/>
                              <w:right w:val="single" w:sz="8" w:space="0" w:color="auto"/>
                            </w:tcBorders>
                            <w:vAlign w:val="center"/>
                          </w:tcPr>
                          <w:p w:rsidR="00D65517" w:rsidRDefault="00D65517">
                            <w:pPr>
                              <w:rPr>
                                <w:szCs w:val="24"/>
                                <w:lang w:eastAsia="lt-LT"/>
                              </w:rPr>
                            </w:pPr>
                          </w:p>
                        </w:tc>
                        <w:tc>
                          <w:tcPr>
                            <w:tcW w:w="3101" w:type="dxa"/>
                            <w:vMerge/>
                            <w:tcBorders>
                              <w:left w:val="nil"/>
                              <w:bottom w:val="single" w:sz="8" w:space="0" w:color="auto"/>
                              <w:right w:val="single" w:sz="8" w:space="0" w:color="auto"/>
                            </w:tcBorders>
                            <w:vAlign w:val="center"/>
                          </w:tcPr>
                          <w:p w:rsidR="00D65517" w:rsidRDefault="00D65517">
                            <w:pPr>
                              <w:rPr>
                                <w:szCs w:val="24"/>
                                <w:lang w:eastAsia="lt-LT"/>
                              </w:rPr>
                            </w:pPr>
                          </w:p>
                        </w:tc>
                        <w:tc>
                          <w:tcPr>
                            <w:tcW w:w="1350"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65517" w:rsidRDefault="00A0522B">
                            <w:pPr>
                              <w:jc w:val="center"/>
                              <w:rPr>
                                <w:szCs w:val="24"/>
                                <w:lang w:eastAsia="lt-LT"/>
                              </w:rPr>
                            </w:pPr>
                            <w:r>
                              <w:rPr>
                                <w:color w:val="000000"/>
                                <w:szCs w:val="24"/>
                              </w:rPr>
                              <w:t>≥ 250</w:t>
                            </w:r>
                          </w:p>
                        </w:tc>
                        <w:tc>
                          <w:tcPr>
                            <w:tcW w:w="117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108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D65517">
                            <w:pPr>
                              <w:ind w:firstLine="60"/>
                              <w:jc w:val="center"/>
                              <w:rPr>
                                <w:szCs w:val="24"/>
                                <w:lang w:eastAsia="lt-LT"/>
                              </w:rPr>
                            </w:pP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tcPr>
                          <w:p w:rsidR="00D65517" w:rsidRDefault="00A0522B">
                            <w:pPr>
                              <w:rPr>
                                <w:color w:val="000000"/>
                                <w:szCs w:val="24"/>
                              </w:rPr>
                            </w:pPr>
                            <w:r>
                              <w:rPr>
                                <w:color w:val="000000"/>
                                <w:szCs w:val="24"/>
                              </w:rPr>
                              <w:t xml:space="preserve">statiniai priskiriami </w:t>
                            </w:r>
                            <w:proofErr w:type="spellStart"/>
                            <w:r>
                              <w:rPr>
                                <w:color w:val="000000"/>
                                <w:szCs w:val="24"/>
                              </w:rPr>
                              <w:t>Asg</w:t>
                            </w:r>
                            <w:proofErr w:type="spellEnd"/>
                            <w:r>
                              <w:rPr>
                                <w:color w:val="000000"/>
                                <w:szCs w:val="24"/>
                              </w:rPr>
                              <w:t xml:space="preserve">, </w:t>
                            </w:r>
                            <w:proofErr w:type="spellStart"/>
                            <w:r>
                              <w:rPr>
                                <w:color w:val="000000"/>
                                <w:szCs w:val="24"/>
                              </w:rPr>
                              <w:t>Bsg</w:t>
                            </w:r>
                            <w:proofErr w:type="spellEnd"/>
                            <w:r>
                              <w:rPr>
                                <w:color w:val="000000"/>
                                <w:szCs w:val="24"/>
                              </w:rPr>
                              <w:t xml:space="preserve"> ir Cg kategorijai pagal sprogimo ar gaisro kilimo pavojų, produkcija ir medžiagos juose laikomos stelažuose (lentynose), kai produkcijos ir medžiagų sandėliavimo aukštis nuo grindų viršija </w:t>
                            </w:r>
                          </w:p>
                          <w:p w:rsidR="00D65517" w:rsidRDefault="00A0522B">
                            <w:pPr>
                              <w:rPr>
                                <w:color w:val="000000"/>
                                <w:szCs w:val="24"/>
                              </w:rPr>
                            </w:pPr>
                            <w:r>
                              <w:rPr>
                                <w:color w:val="000000"/>
                                <w:szCs w:val="24"/>
                              </w:rPr>
                              <w:t>5,5 m</w:t>
                            </w:r>
                          </w:p>
                        </w:tc>
                      </w:tr>
                    </w:tbl>
                    <w:p w:rsidR="00D65517" w:rsidRDefault="00D65517"/>
                    <w:p w:rsidR="00D65517" w:rsidRDefault="00A0522B">
                      <w:pPr>
                        <w:spacing w:line="276" w:lineRule="auto"/>
                        <w:ind w:firstLine="744"/>
                        <w:jc w:val="both"/>
                        <w:rPr>
                          <w:b/>
                          <w:bCs/>
                          <w:color w:val="000000"/>
                          <w:szCs w:val="24"/>
                        </w:rPr>
                      </w:pPr>
                      <w:r>
                        <w:rPr>
                          <w:b/>
                          <w:bCs/>
                          <w:color w:val="000000"/>
                          <w:szCs w:val="24"/>
                        </w:rPr>
                        <w:t>Pastabos:</w:t>
                      </w:r>
                    </w:p>
                    <w:sdt>
                      <w:sdtPr>
                        <w:alias w:val="1 p."/>
                        <w:tag w:val="part_9ab05895acb24003b8e350eb49e9afe9"/>
                        <w:id w:val="1993137759"/>
                        <w:lock w:val="sdtLocked"/>
                      </w:sdtPr>
                      <w:sdtEndPr/>
                      <w:sdtContent>
                        <w:p w:rsidR="00D65517" w:rsidRDefault="003C4AD3">
                          <w:pPr>
                            <w:spacing w:line="276" w:lineRule="auto"/>
                            <w:ind w:right="15" w:firstLine="720"/>
                            <w:jc w:val="both"/>
                            <w:rPr>
                              <w:color w:val="000000"/>
                              <w:szCs w:val="24"/>
                              <w:lang w:eastAsia="lt-LT"/>
                            </w:rPr>
                          </w:pPr>
                          <w:sdt>
                            <w:sdtPr>
                              <w:alias w:val="Numeris"/>
                              <w:tag w:val="nr_9ab05895acb24003b8e350eb49e9afe9"/>
                              <w:id w:val="1999530307"/>
                              <w:lock w:val="sdtLocked"/>
                            </w:sdtPr>
                            <w:sdtEndPr/>
                            <w:sdtContent>
                              <w:r w:rsidR="00A0522B">
                                <w:rPr>
                                  <w:color w:val="000000"/>
                                  <w:szCs w:val="24"/>
                                </w:rPr>
                                <w:t>1</w:t>
                              </w:r>
                            </w:sdtContent>
                          </w:sdt>
                          <w:r w:rsidR="00A0522B">
                            <w:rPr>
                              <w:color w:val="000000"/>
                              <w:szCs w:val="24"/>
                            </w:rPr>
                            <w:t>. Nustatant SGG sistemos poreikį, turi būti vertinami visi vienoje eilutėje nurodyt</w:t>
                          </w:r>
                          <w:r w:rsidR="00A0522B">
                            <w:rPr>
                              <w:color w:val="000000"/>
                              <w:szCs w:val="24"/>
                              <w:lang w:eastAsia="lt-LT"/>
                            </w:rPr>
                            <w:t>i rodikliai.</w:t>
                          </w:r>
                        </w:p>
                      </w:sdtContent>
                    </w:sdt>
                    <w:sdt>
                      <w:sdtPr>
                        <w:alias w:val="2 p."/>
                        <w:tag w:val="part_eba7b285acdd424e93dd0484b20f662e"/>
                        <w:id w:val="1794328747"/>
                        <w:lock w:val="sdtLocked"/>
                      </w:sdtPr>
                      <w:sdtEndPr/>
                      <w:sdtContent>
                        <w:p w:rsidR="00D65517" w:rsidRDefault="003C4AD3">
                          <w:pPr>
                            <w:spacing w:line="276" w:lineRule="auto"/>
                            <w:ind w:right="15" w:firstLine="720"/>
                            <w:jc w:val="both"/>
                            <w:rPr>
                              <w:color w:val="000000"/>
                              <w:szCs w:val="24"/>
                            </w:rPr>
                          </w:pPr>
                          <w:sdt>
                            <w:sdtPr>
                              <w:alias w:val="Numeris"/>
                              <w:tag w:val="nr_eba7b285acdd424e93dd0484b20f662e"/>
                              <w:id w:val="1122035076"/>
                              <w:lock w:val="sdtLocked"/>
                            </w:sdtPr>
                            <w:sdtEndPr/>
                            <w:sdtContent>
                              <w:r w:rsidR="00A0522B">
                                <w:rPr>
                                  <w:color w:val="000000"/>
                                  <w:szCs w:val="24"/>
                                </w:rPr>
                                <w:t>2</w:t>
                              </w:r>
                            </w:sdtContent>
                          </w:sdt>
                          <w:r w:rsidR="00A0522B">
                            <w:rPr>
                              <w:color w:val="000000"/>
                              <w:szCs w:val="24"/>
                            </w:rPr>
                            <w:t xml:space="preserve">. Plotas vertinamas pagal užstatymo arba stogo </w:t>
                          </w:r>
                          <w:r w:rsidR="00A0522B">
                            <w:rPr>
                              <w:szCs w:val="24"/>
                            </w:rPr>
                            <w:t xml:space="preserve">projekcijos į žemės paviršių </w:t>
                          </w:r>
                          <w:r w:rsidR="00A0522B">
                            <w:rPr>
                              <w:color w:val="000000"/>
                              <w:szCs w:val="24"/>
                            </w:rPr>
                            <w:t>plotą.</w:t>
                          </w:r>
                        </w:p>
                      </w:sdtContent>
                    </w:sdt>
                    <w:sdt>
                      <w:sdtPr>
                        <w:alias w:val="3 p."/>
                        <w:tag w:val="part_15f3c20c2a2849f49493d4f79a557939"/>
                        <w:id w:val="1319457524"/>
                        <w:lock w:val="sdtLocked"/>
                      </w:sdtPr>
                      <w:sdtEndPr/>
                      <w:sdtContent>
                        <w:p w:rsidR="00D65517" w:rsidRDefault="003C4AD3">
                          <w:pPr>
                            <w:spacing w:line="276" w:lineRule="auto"/>
                            <w:ind w:right="15" w:firstLine="720"/>
                            <w:jc w:val="both"/>
                            <w:rPr>
                              <w:color w:val="000000"/>
                              <w:szCs w:val="24"/>
                            </w:rPr>
                          </w:pPr>
                          <w:sdt>
                            <w:sdtPr>
                              <w:alias w:val="Numeris"/>
                              <w:tag w:val="nr_15f3c20c2a2849f49493d4f79a557939"/>
                              <w:id w:val="334973127"/>
                              <w:lock w:val="sdtLocked"/>
                            </w:sdtPr>
                            <w:sdtEndPr/>
                            <w:sdtContent>
                              <w:r w:rsidR="00A0522B">
                                <w:rPr>
                                  <w:color w:val="000000"/>
                                  <w:szCs w:val="24"/>
                                </w:rPr>
                                <w:t>3</w:t>
                              </w:r>
                            </w:sdtContent>
                          </w:sdt>
                          <w:r w:rsidR="00A0522B">
                            <w:rPr>
                              <w:color w:val="000000"/>
                              <w:szCs w:val="24"/>
                            </w:rPr>
                            <w:t xml:space="preserve">. Automatizuotų sandėliavimo sistemų statinių plieninėms laikančiosioms konstrukcijoms, taip pat, kai produkcijos ir medžiagų laikymas numatomas plieniniuose stelažuose (lentynose), kurių konstrukcijos naudojamos kaip statinį laikančiosios konstrukcijos, atsparumo ugniai reikalavimai, nustatyti Gaisrinės saugos pagrindiniuose reikalavimuose [15.6], </w:t>
                          </w:r>
                          <w:r w:rsidR="00A0522B">
                            <w:rPr>
                              <w:szCs w:val="24"/>
                              <w:lang w:eastAsia="lt-LT"/>
                            </w:rPr>
                            <w:t>neprivalomi</w:t>
                          </w:r>
                          <w:r w:rsidR="00A0522B">
                            <w:rPr>
                              <w:color w:val="000000"/>
                              <w:szCs w:val="24"/>
                            </w:rPr>
                            <w:t>, kai, vadovaujantis LST EN 12845 serijos standartais, stacionariosios gaisro gesinimo sistemos įrengiamos tarp stelažų (lentynų) ir numatoma papildoma apsauga automatiniais purkštuvais (</w:t>
                          </w:r>
                          <w:proofErr w:type="spellStart"/>
                          <w:r w:rsidR="00A0522B">
                            <w:rPr>
                              <w:color w:val="000000"/>
                              <w:szCs w:val="24"/>
                            </w:rPr>
                            <w:t>sprinkleriais</w:t>
                          </w:r>
                          <w:proofErr w:type="spellEnd"/>
                          <w:r w:rsidR="00A0522B">
                            <w:rPr>
                              <w:color w:val="000000"/>
                              <w:szCs w:val="24"/>
                            </w:rPr>
                            <w:t>), laikantis vieno iš nurodytų reikalavimų:</w:t>
                          </w:r>
                        </w:p>
                        <w:p w:rsidR="00D65517" w:rsidRDefault="00A0522B">
                          <w:pPr>
                            <w:spacing w:line="276" w:lineRule="auto"/>
                            <w:ind w:right="15" w:firstLine="720"/>
                            <w:jc w:val="both"/>
                            <w:rPr>
                              <w:color w:val="000000"/>
                              <w:szCs w:val="24"/>
                            </w:rPr>
                          </w:pPr>
                          <w:r>
                            <w:rPr>
                              <w:color w:val="000000"/>
                              <w:szCs w:val="24"/>
                            </w:rPr>
                            <w:t>a. įrengiami šoniniai purkštuvai (</w:t>
                          </w:r>
                          <w:proofErr w:type="spellStart"/>
                          <w:r>
                            <w:rPr>
                              <w:color w:val="000000"/>
                              <w:szCs w:val="24"/>
                            </w:rPr>
                            <w:t>sprinkleriai</w:t>
                          </w:r>
                          <w:proofErr w:type="spellEnd"/>
                          <w:r>
                            <w:rPr>
                              <w:color w:val="000000"/>
                              <w:szCs w:val="24"/>
                            </w:rPr>
                            <w:t>) yra nukreipti į ne mažiau kaip vieną statinį laikančios konstrukcijos pusę ir</w:t>
                          </w:r>
                          <w:r>
                            <w:rPr>
                              <w:szCs w:val="24"/>
                            </w:rPr>
                            <w:t xml:space="preserve"> </w:t>
                          </w:r>
                          <w:r>
                            <w:rPr>
                              <w:color w:val="000000"/>
                              <w:szCs w:val="24"/>
                            </w:rPr>
                            <w:t>išdėstomi tolygiai per visą statinį laikančiosios konstrukcijos aukštį ne rečiau kaip kas 4,6 m, skaičiuojant nuo grindų.</w:t>
                          </w:r>
                          <w:r>
                            <w:rPr>
                              <w:b/>
                              <w:bCs/>
                              <w:color w:val="000000"/>
                              <w:szCs w:val="24"/>
                            </w:rPr>
                            <w:t xml:space="preserve"> </w:t>
                          </w:r>
                          <w:r>
                            <w:rPr>
                              <w:color w:val="000000"/>
                              <w:szCs w:val="24"/>
                            </w:rPr>
                            <w:t>Šiuo atveju šoniniais purkštuvais (</w:t>
                          </w:r>
                          <w:proofErr w:type="spellStart"/>
                          <w:r>
                            <w:rPr>
                              <w:color w:val="000000"/>
                              <w:szCs w:val="24"/>
                            </w:rPr>
                            <w:t>sprinkleriais</w:t>
                          </w:r>
                          <w:proofErr w:type="spellEnd"/>
                          <w:r>
                            <w:rPr>
                              <w:color w:val="000000"/>
                              <w:szCs w:val="24"/>
                            </w:rPr>
                            <w:t xml:space="preserve">) leidžiama apsaugoti neriboto aukščio automatizuotų sandėliavimo sistemų statinių plienines laikančiąsias konstrukcijas; </w:t>
                          </w:r>
                        </w:p>
                        <w:p w:rsidR="00D65517" w:rsidRDefault="00A0522B">
                          <w:pPr>
                            <w:spacing w:line="276" w:lineRule="auto"/>
                            <w:ind w:right="15" w:firstLine="720"/>
                            <w:jc w:val="both"/>
                            <w:rPr>
                              <w:color w:val="000000"/>
                            </w:rPr>
                          </w:pPr>
                          <w:r>
                            <w:t>b. stacionariosios gaisro gesinimo sistemos įrengiamos prie lubų su purkštuvais (</w:t>
                          </w:r>
                          <w:proofErr w:type="spellStart"/>
                          <w:r>
                            <w:t>sprinkleriais</w:t>
                          </w:r>
                          <w:proofErr w:type="spellEnd"/>
                          <w:r>
                            <w:t xml:space="preserve">), kurių </w:t>
                          </w:r>
                          <w:r>
                            <w:rPr>
                              <w:color w:val="000000"/>
                            </w:rPr>
                            <w:t>nominalios temperatūros rodiklis</w:t>
                          </w:r>
                          <w:r>
                            <w:t xml:space="preserve"> 68 ºC ar 79 ºC,</w:t>
                          </w:r>
                          <w:r>
                            <w:rPr>
                              <w:color w:val="000000"/>
                            </w:rPr>
                            <w:t xml:space="preserve"> </w:t>
                          </w:r>
                          <w:r>
                            <w:t>skaičiuojant minimalų skaičiuojamąjį gesinimo plotą – 260 kv. m. K</w:t>
                          </w:r>
                          <w:r>
                            <w:rPr>
                              <w:color w:val="000000"/>
                            </w:rPr>
                            <w:t xml:space="preserve">ai medžiagų sandėliavimo aukštis, jį skaičiuojant nuo grindų, yra nuo 4,6 m iki 6,1 m, šie </w:t>
                          </w:r>
                          <w:r>
                            <w:t>purkštuvai (</w:t>
                          </w:r>
                          <w:proofErr w:type="spellStart"/>
                          <w:r>
                            <w:t>sprinkleriai</w:t>
                          </w:r>
                          <w:proofErr w:type="spellEnd"/>
                          <w:r>
                            <w:t xml:space="preserve">) gali būti su </w:t>
                          </w:r>
                          <w:r>
                            <w:rPr>
                              <w:color w:val="000000"/>
                            </w:rPr>
                            <w:t>aukštesniu kaip 141 ºC nominalios temperatūros rodikliu</w:t>
                          </w:r>
                          <w:r>
                            <w:t>,</w:t>
                          </w:r>
                          <w:r>
                            <w:rPr>
                              <w:color w:val="000000"/>
                            </w:rPr>
                            <w:t xml:space="preserve"> skaičiuojant pagal</w:t>
                          </w:r>
                          <w:r>
                            <w:t xml:space="preserve"> LST EN 12845:2015+A1:2020 standarto </w:t>
                          </w:r>
                          <w:r>
                            <w:br/>
                            <w:t>7.2 dalyje nurodytus projektavimo rodiklius;</w:t>
                          </w:r>
                        </w:p>
                        <w:p w:rsidR="00D65517" w:rsidRDefault="00A0522B" w:rsidP="00A0522B">
                          <w:pPr>
                            <w:spacing w:line="276" w:lineRule="auto"/>
                            <w:ind w:right="15" w:firstLine="720"/>
                            <w:jc w:val="both"/>
                          </w:pPr>
                          <w:r>
                            <w:rPr>
                              <w:color w:val="000000"/>
                              <w:szCs w:val="24"/>
                            </w:rPr>
                            <w:t xml:space="preserve">c. </w:t>
                          </w:r>
                          <w:bookmarkStart w:id="0" w:name="_GoBack"/>
                          <w:r w:rsidRPr="003C4AD3">
                            <w:rPr>
                              <w:color w:val="000000"/>
                              <w:szCs w:val="24"/>
                            </w:rPr>
                            <w:t>prie lubų įrengiamos ankstyvojo slopinimo greito suveikimo ESFR (angl.</w:t>
                          </w:r>
                          <w:r w:rsidRPr="003C4AD3">
                            <w:rPr>
                              <w:i/>
                              <w:iCs/>
                              <w:color w:val="000000"/>
                              <w:szCs w:val="24"/>
                            </w:rPr>
                            <w:t xml:space="preserve"> </w:t>
                          </w:r>
                          <w:proofErr w:type="spellStart"/>
                          <w:r w:rsidRPr="003C4AD3">
                            <w:rPr>
                              <w:i/>
                              <w:iCs/>
                              <w:color w:val="000000"/>
                              <w:szCs w:val="24"/>
                            </w:rPr>
                            <w:t>Early</w:t>
                          </w:r>
                          <w:proofErr w:type="spellEnd"/>
                          <w:r w:rsidRPr="003C4AD3">
                            <w:rPr>
                              <w:i/>
                              <w:iCs/>
                              <w:color w:val="000000"/>
                              <w:szCs w:val="24"/>
                            </w:rPr>
                            <w:t xml:space="preserve"> </w:t>
                          </w:r>
                          <w:proofErr w:type="spellStart"/>
                          <w:r w:rsidRPr="003C4AD3">
                            <w:rPr>
                              <w:i/>
                              <w:iCs/>
                              <w:color w:val="000000"/>
                              <w:szCs w:val="24"/>
                            </w:rPr>
                            <w:t>Suppression</w:t>
                          </w:r>
                          <w:proofErr w:type="spellEnd"/>
                          <w:r w:rsidRPr="003C4AD3">
                            <w:rPr>
                              <w:i/>
                              <w:iCs/>
                              <w:color w:val="000000"/>
                              <w:szCs w:val="24"/>
                            </w:rPr>
                            <w:t xml:space="preserve"> </w:t>
                          </w:r>
                          <w:proofErr w:type="spellStart"/>
                          <w:r w:rsidRPr="003C4AD3">
                            <w:rPr>
                              <w:i/>
                              <w:iCs/>
                              <w:color w:val="000000"/>
                              <w:szCs w:val="24"/>
                            </w:rPr>
                            <w:t>Fast</w:t>
                          </w:r>
                          <w:proofErr w:type="spellEnd"/>
                          <w:r w:rsidRPr="003C4AD3">
                            <w:rPr>
                              <w:i/>
                              <w:iCs/>
                              <w:color w:val="000000"/>
                              <w:szCs w:val="24"/>
                            </w:rPr>
                            <w:t xml:space="preserve"> </w:t>
                          </w:r>
                          <w:proofErr w:type="spellStart"/>
                          <w:r w:rsidRPr="003C4AD3">
                            <w:rPr>
                              <w:i/>
                              <w:iCs/>
                              <w:color w:val="000000"/>
                              <w:szCs w:val="24"/>
                            </w:rPr>
                            <w:t>Response</w:t>
                          </w:r>
                          <w:proofErr w:type="spellEnd"/>
                          <w:r w:rsidRPr="003C4AD3">
                            <w:rPr>
                              <w:color w:val="000000"/>
                              <w:szCs w:val="24"/>
                            </w:rPr>
                            <w:t>) purkštuvų (</w:t>
                          </w:r>
                          <w:proofErr w:type="spellStart"/>
                          <w:r w:rsidRPr="003C4AD3">
                            <w:rPr>
                              <w:color w:val="000000"/>
                              <w:szCs w:val="24"/>
                            </w:rPr>
                            <w:t>sprinklerių</w:t>
                          </w:r>
                          <w:proofErr w:type="spellEnd"/>
                          <w:r w:rsidRPr="003C4AD3">
                            <w:rPr>
                              <w:color w:val="000000"/>
                              <w:szCs w:val="24"/>
                            </w:rPr>
                            <w:t>) sistemos arba CMSA (angl.</w:t>
                          </w:r>
                          <w:r w:rsidRPr="003C4AD3">
                            <w:rPr>
                              <w:i/>
                              <w:iCs/>
                              <w:color w:val="000000"/>
                              <w:szCs w:val="24"/>
                            </w:rPr>
                            <w:t xml:space="preserve"> </w:t>
                          </w:r>
                          <w:proofErr w:type="spellStart"/>
                          <w:r w:rsidRPr="003C4AD3">
                            <w:rPr>
                              <w:i/>
                              <w:iCs/>
                              <w:color w:val="000000"/>
                              <w:szCs w:val="24"/>
                            </w:rPr>
                            <w:t>Control</w:t>
                          </w:r>
                          <w:proofErr w:type="spellEnd"/>
                          <w:r w:rsidRPr="003C4AD3">
                            <w:rPr>
                              <w:i/>
                              <w:iCs/>
                              <w:color w:val="000000"/>
                              <w:szCs w:val="24"/>
                            </w:rPr>
                            <w:t xml:space="preserve"> </w:t>
                          </w:r>
                          <w:proofErr w:type="spellStart"/>
                          <w:r w:rsidRPr="003C4AD3">
                            <w:rPr>
                              <w:i/>
                              <w:iCs/>
                              <w:color w:val="000000"/>
                              <w:szCs w:val="24"/>
                            </w:rPr>
                            <w:t>Mode</w:t>
                          </w:r>
                          <w:proofErr w:type="spellEnd"/>
                          <w:r w:rsidRPr="003C4AD3">
                            <w:rPr>
                              <w:i/>
                              <w:iCs/>
                              <w:color w:val="000000"/>
                              <w:szCs w:val="24"/>
                            </w:rPr>
                            <w:t xml:space="preserve"> </w:t>
                          </w:r>
                          <w:proofErr w:type="spellStart"/>
                          <w:r w:rsidRPr="003C4AD3">
                            <w:rPr>
                              <w:i/>
                              <w:iCs/>
                              <w:color w:val="000000"/>
                              <w:szCs w:val="24"/>
                            </w:rPr>
                            <w:t>Specific</w:t>
                          </w:r>
                          <w:proofErr w:type="spellEnd"/>
                          <w:r w:rsidRPr="003C4AD3">
                            <w:rPr>
                              <w:i/>
                              <w:iCs/>
                              <w:color w:val="000000"/>
                              <w:szCs w:val="24"/>
                            </w:rPr>
                            <w:t xml:space="preserve"> </w:t>
                          </w:r>
                          <w:proofErr w:type="spellStart"/>
                          <w:r w:rsidRPr="003C4AD3">
                            <w:rPr>
                              <w:i/>
                              <w:iCs/>
                              <w:color w:val="000000"/>
                              <w:szCs w:val="24"/>
                            </w:rPr>
                            <w:t>Application</w:t>
                          </w:r>
                          <w:proofErr w:type="spellEnd"/>
                          <w:r w:rsidRPr="003C4AD3">
                            <w:rPr>
                              <w:i/>
                              <w:iCs/>
                              <w:color w:val="000000"/>
                              <w:szCs w:val="24"/>
                            </w:rPr>
                            <w:t xml:space="preserve"> </w:t>
                          </w:r>
                          <w:proofErr w:type="spellStart"/>
                          <w:r w:rsidRPr="003C4AD3">
                            <w:rPr>
                              <w:i/>
                              <w:iCs/>
                              <w:color w:val="000000"/>
                              <w:szCs w:val="24"/>
                            </w:rPr>
                            <w:t>Sprinklers</w:t>
                          </w:r>
                          <w:proofErr w:type="spellEnd"/>
                          <w:r w:rsidRPr="003C4AD3">
                            <w:rPr>
                              <w:color w:val="000000"/>
                              <w:szCs w:val="24"/>
                            </w:rPr>
                            <w:t>) purkštuvų (</w:t>
                          </w:r>
                          <w:proofErr w:type="spellStart"/>
                          <w:r w:rsidRPr="003C4AD3">
                            <w:rPr>
                              <w:color w:val="000000"/>
                              <w:szCs w:val="24"/>
                            </w:rPr>
                            <w:t>sprinklerių</w:t>
                          </w:r>
                          <w:proofErr w:type="spellEnd"/>
                          <w:r w:rsidRPr="003C4AD3">
                            <w:rPr>
                              <w:color w:val="000000"/>
                              <w:szCs w:val="24"/>
                            </w:rPr>
                            <w:t>) sistemos.“</w:t>
                          </w:r>
                        </w:p>
                        <w:bookmarkEnd w:id="0" w:displacedByCustomXml="next"/>
                      </w:sdtContent>
                    </w:sdt>
                  </w:sdtContent>
                </w:sdt>
              </w:sdtContent>
            </w:sdt>
          </w:sdtContent>
        </w:sdt>
        <w:sdt>
          <w:sdtPr>
            <w:alias w:val="signatura"/>
            <w:tag w:val="part_864f8a1193204e9fb993e0405fad73c3"/>
            <w:id w:val="-1540657376"/>
            <w:lock w:val="sdtLocked"/>
          </w:sdtPr>
          <w:sdtEndPr/>
          <w:sdtContent>
            <w:p w:rsidR="00A0522B" w:rsidRDefault="00A0522B">
              <w:pPr>
                <w:tabs>
                  <w:tab w:val="right" w:pos="9808"/>
                </w:tabs>
                <w:spacing w:line="20" w:lineRule="atLeast"/>
              </w:pPr>
            </w:p>
            <w:p w:rsidR="00A0522B" w:rsidRDefault="00A0522B">
              <w:pPr>
                <w:tabs>
                  <w:tab w:val="right" w:pos="9808"/>
                </w:tabs>
                <w:spacing w:line="20" w:lineRule="atLeast"/>
              </w:pPr>
            </w:p>
            <w:p w:rsidR="00A0522B" w:rsidRDefault="00A0522B">
              <w:pPr>
                <w:tabs>
                  <w:tab w:val="right" w:pos="9808"/>
                </w:tabs>
                <w:spacing w:line="20" w:lineRule="atLeast"/>
              </w:pPr>
            </w:p>
            <w:p w:rsidR="00D65517" w:rsidRDefault="00A0522B">
              <w:pPr>
                <w:tabs>
                  <w:tab w:val="right" w:pos="9808"/>
                </w:tabs>
                <w:spacing w:line="20" w:lineRule="atLeast"/>
                <w:rPr>
                  <w:szCs w:val="24"/>
                </w:rPr>
              </w:pPr>
              <w:r>
                <w:rPr>
                  <w:szCs w:val="24"/>
                </w:rPr>
                <w:t>Direktorius</w:t>
              </w:r>
            </w:p>
            <w:p w:rsidR="00D65517" w:rsidRDefault="00A0522B" w:rsidP="00A0522B">
              <w:pPr>
                <w:tabs>
                  <w:tab w:val="left" w:pos="7088"/>
                  <w:tab w:val="left" w:pos="7513"/>
                  <w:tab w:val="right" w:pos="9639"/>
                </w:tabs>
                <w:spacing w:line="20" w:lineRule="atLeast"/>
                <w:rPr>
                  <w:b/>
                  <w:bCs/>
                  <w:color w:val="000000"/>
                  <w:szCs w:val="24"/>
                </w:rPr>
              </w:pPr>
              <w:r>
                <w:rPr>
                  <w:szCs w:val="24"/>
                </w:rPr>
                <w:t>vidaus tarnybos generolas</w:t>
              </w:r>
              <w:r>
                <w:rPr>
                  <w:szCs w:val="24"/>
                </w:rPr>
                <w:tab/>
              </w:r>
              <w:r>
                <w:rPr>
                  <w:szCs w:val="24"/>
                </w:rPr>
                <w:tab/>
              </w:r>
              <w:r>
                <w:rPr>
                  <w:szCs w:val="24"/>
                </w:rPr>
                <w:tab/>
                <w:t>Saulius Greičius</w:t>
              </w:r>
            </w:p>
          </w:sdtContent>
        </w:sdt>
      </w:sdtContent>
    </w:sdt>
    <w:sectPr w:rsidR="00D65517" w:rsidSect="00A0522B">
      <w:headerReference w:type="even" r:id="rId9"/>
      <w:headerReference w:type="default" r:id="rId10"/>
      <w:footerReference w:type="even" r:id="rId11"/>
      <w:footerReference w:type="default" r:id="rId12"/>
      <w:footerReference w:type="first" r:id="rId13"/>
      <w:pgSz w:w="11906" w:h="16838"/>
      <w:pgMar w:top="1560" w:right="562" w:bottom="1440" w:left="1699" w:header="283" w:footer="562"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5517" w:rsidRDefault="00A0522B">
      <w:r>
        <w:separator/>
      </w:r>
    </w:p>
  </w:endnote>
  <w:endnote w:type="continuationSeparator" w:id="0">
    <w:p w:rsidR="00D65517" w:rsidRDefault="00A0522B">
      <w:r>
        <w:continuationSeparator/>
      </w:r>
    </w:p>
  </w:endnote>
  <w:endnote w:type="continuationNotice" w:id="1">
    <w:p w:rsidR="00D65517" w:rsidRDefault="00D655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517" w:rsidRDefault="00D65517">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517" w:rsidRDefault="00D65517">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517" w:rsidRDefault="00D65517">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5517" w:rsidRDefault="00A0522B">
      <w:r>
        <w:separator/>
      </w:r>
    </w:p>
  </w:footnote>
  <w:footnote w:type="continuationSeparator" w:id="0">
    <w:p w:rsidR="00D65517" w:rsidRDefault="00A0522B">
      <w:r>
        <w:continuationSeparator/>
      </w:r>
    </w:p>
  </w:footnote>
  <w:footnote w:type="continuationNotice" w:id="1">
    <w:p w:rsidR="00D65517" w:rsidRDefault="00D6551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517" w:rsidRDefault="00D65517">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5517" w:rsidRDefault="00A0522B">
    <w:pPr>
      <w:tabs>
        <w:tab w:val="center" w:pos="4513"/>
        <w:tab w:val="right" w:pos="9026"/>
      </w:tabs>
      <w:jc w:val="center"/>
    </w:pPr>
    <w:r>
      <w:fldChar w:fldCharType="begin"/>
    </w:r>
    <w:r>
      <w:instrText>PAGE   \* MERGEFORMAT</w:instrText>
    </w:r>
    <w:r>
      <w:fldChar w:fldCharType="separate"/>
    </w:r>
    <w:r w:rsidR="003C4AD3">
      <w:rPr>
        <w:noProof/>
      </w:rPr>
      <w:t>4</w:t>
    </w:r>
    <w:r>
      <w:fldChar w:fldCharType="end"/>
    </w:r>
  </w:p>
  <w:p w:rsidR="00D65517" w:rsidRDefault="00D65517">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C17"/>
    <w:rsid w:val="003C4AD3"/>
    <w:rsid w:val="006A2C17"/>
    <w:rsid w:val="00A0522B"/>
    <w:rsid w:val="00D6551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2B4989BA-D8A9-4074-AC1D-2EE74350B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semiHidden/>
    <w:unhideWhenUsed/>
    <w:rsid w:val="00A0522B"/>
    <w:pPr>
      <w:tabs>
        <w:tab w:val="center" w:pos="4819"/>
        <w:tab w:val="right" w:pos="9638"/>
      </w:tabs>
    </w:pPr>
  </w:style>
  <w:style w:type="character" w:customStyle="1" w:styleId="AntratsDiagrama">
    <w:name w:val="Antraštės Diagrama"/>
    <w:basedOn w:val="Numatytasispastraiposriftas"/>
    <w:link w:val="Antrats"/>
    <w:semiHidden/>
    <w:rsid w:val="00A0522B"/>
  </w:style>
  <w:style w:type="character" w:styleId="Vietosrezervavimoenklotekstas">
    <w:name w:val="Placeholder Text"/>
    <w:basedOn w:val="Numatytasispastraiposriftas"/>
    <w:rsid w:val="00A052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372316">
      <w:bodyDiv w:val="1"/>
      <w:marLeft w:val="0"/>
      <w:marRight w:val="0"/>
      <w:marTop w:val="0"/>
      <w:marBottom w:val="0"/>
      <w:divBdr>
        <w:top w:val="none" w:sz="0" w:space="0" w:color="auto"/>
        <w:left w:val="none" w:sz="0" w:space="0" w:color="auto"/>
        <w:bottom w:val="none" w:sz="0" w:space="0" w:color="auto"/>
        <w:right w:val="none" w:sz="0" w:space="0" w:color="auto"/>
      </w:divBdr>
    </w:div>
    <w:div w:id="765922720">
      <w:bodyDiv w:val="1"/>
      <w:marLeft w:val="0"/>
      <w:marRight w:val="0"/>
      <w:marTop w:val="0"/>
      <w:marBottom w:val="0"/>
      <w:divBdr>
        <w:top w:val="none" w:sz="0" w:space="0" w:color="auto"/>
        <w:left w:val="none" w:sz="0" w:space="0" w:color="auto"/>
        <w:bottom w:val="none" w:sz="0" w:space="0" w:color="auto"/>
        <w:right w:val="none" w:sz="0" w:space="0" w:color="auto"/>
      </w:divBdr>
    </w:div>
    <w:div w:id="886406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64D40AE-5E24-4A4E-8380-35742CD4FD36}"/>
      </w:docPartPr>
      <w:docPartBody>
        <w:p w:rsidR="002D6A43" w:rsidRDefault="009525CE">
          <w:r w:rsidRPr="00C7396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5CE"/>
    <w:rsid w:val="002D6A43"/>
    <w:rsid w:val="009525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25C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e838096c7f24b11b56fe4115c2c1cd8" PartId="7e3d90b30bde4cf1b1c5ddf02e356464">
    <Part Type="pastraipa" DocPartId="bb4370dae0df47698aae6f55791100b6" PartId="237977aa456948e787c3bdd3d70caa08">
      <Part Type="citata" DocPartId="53e16d22d50b47939aed70178eed48d0" PartId="106bd924ce724bdab444378f11e13e47">
        <Part Type="pastraipa" DocPartId="83b42feaa66f4c77a733981a59d8d1cc" PartId="3a7617beee8441dab2535334e9048cf0"/>
        <Part Type="lentele" DocPartId="b308324daea844d980bb1a2acce71251" PartId="23b81e2893774eae8b51692b14a0eecd">
          <Part Type="punktas" Nr="1" Abbr="1 p." DocPartId="fe5c2a907bbf41ae9a384ef380947a82" PartId="9ab05895acb24003b8e350eb49e9afe9"/>
          <Part Type="punktas" Nr="2" Abbr="2 p." DocPartId="60706d7a5a744e129224d438d89b52b8" PartId="eba7b285acdd424e93dd0484b20f662e"/>
          <Part Type="punktas" Nr="3" Abbr="3 p." DocPartId="4379a8adf1cd47cb81861ebfa18ec845" PartId="15f3c20c2a2849f49493d4f79a557939"/>
        </Part>
      </Part>
    </Part>
    <Part Type="signatura" DocPartId="7a3e136b0329458287a976e2c183d2db" PartId="864f8a1193204e9fb993e0405fad73c3"/>
  </Part>
</Parts>
</file>

<file path=customXml/itemProps1.xml><?xml version="1.0" encoding="utf-8"?>
<ds:datastoreItem xmlns:ds="http://schemas.openxmlformats.org/officeDocument/2006/customXml" ds:itemID="{2756BCF8-0EFE-4B6E-92A3-8E8091D580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3205</Words>
  <Characters>1827</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Aurimas Gudžiauskas</dc:creator>
  <cp:lastModifiedBy>GRINKEVIČIŪTĖ Agnė</cp:lastModifiedBy>
  <cp:revision>4</cp:revision>
  <dcterms:created xsi:type="dcterms:W3CDTF">2024-04-23T13:12:00Z</dcterms:created>
  <dcterms:modified xsi:type="dcterms:W3CDTF">2024-04-23T14:02:00Z</dcterms:modified>
</cp:coreProperties>
</file>