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sdt>
      <w:sdtPr>
        <w:alias w:val="pagrindine"/>
        <w:tag w:val="part_d2f677da450e4feeb76ab6186a23f196"/>
        <w:id w:val="1979875238"/>
        <w:lock w:val="sdtLocked"/>
      </w:sdtPr>
      <w:sdtEndPr/>
      <w:sdtContent>
        <w:p w14:paraId="29B5E9B9" w14:textId="77777777" w:rsidR="00D35F31" w:rsidRDefault="00D35F31">
          <w:pPr>
            <w:tabs>
              <w:tab w:val="center" w:pos="4819"/>
              <w:tab w:val="right" w:pos="9638"/>
            </w:tabs>
          </w:pPr>
        </w:p>
        <w:p w14:paraId="29B5E9BA" w14:textId="77777777" w:rsidR="00D35F31" w:rsidRDefault="001008FA">
          <w:pPr>
            <w:suppressAutoHyphens/>
            <w:jc w:val="center"/>
            <w:rPr>
              <w:rFonts w:cs="Tahoma"/>
              <w:lang w:eastAsia="ar-SA"/>
            </w:rPr>
          </w:pPr>
          <w:r>
            <w:rPr>
              <w:noProof/>
              <w:lang w:eastAsia="lt-LT"/>
            </w:rPr>
            <w:drawing>
              <wp:inline distT="0" distB="0" distL="0" distR="0" wp14:anchorId="29B5E9D9" wp14:editId="29B5E9DA">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29B5E9BB" w14:textId="77777777" w:rsidR="00D35F31" w:rsidRDefault="001008FA">
          <w:pPr>
            <w:suppressAutoHyphens/>
            <w:jc w:val="center"/>
            <w:rPr>
              <w:b/>
              <w:lang w:eastAsia="ar-SA"/>
            </w:rPr>
          </w:pPr>
          <w:r>
            <w:rPr>
              <w:b/>
              <w:lang w:eastAsia="ar-SA"/>
            </w:rPr>
            <w:t>LIETUVOS RESPUBLIKOS APLINKOS MINISTRAS</w:t>
          </w:r>
        </w:p>
        <w:p w14:paraId="29B5E9BC" w14:textId="77777777" w:rsidR="00D35F31" w:rsidRDefault="00D35F31">
          <w:pPr>
            <w:suppressAutoHyphens/>
            <w:jc w:val="center"/>
            <w:rPr>
              <w:lang w:eastAsia="ar-SA"/>
            </w:rPr>
          </w:pPr>
        </w:p>
        <w:p w14:paraId="29B5E9BD" w14:textId="77777777" w:rsidR="00D35F31" w:rsidRDefault="001008FA">
          <w:pPr>
            <w:suppressAutoHyphens/>
            <w:jc w:val="center"/>
            <w:rPr>
              <w:lang w:eastAsia="ar-SA"/>
            </w:rPr>
          </w:pPr>
          <w:r>
            <w:rPr>
              <w:b/>
              <w:bCs/>
              <w:lang w:eastAsia="ar-SA"/>
            </w:rPr>
            <w:t>ĮSAKYMAS</w:t>
          </w:r>
        </w:p>
        <w:p w14:paraId="29B5E9BE" w14:textId="77777777" w:rsidR="00D35F31" w:rsidRDefault="001008FA">
          <w:pPr>
            <w:suppressAutoHyphens/>
            <w:jc w:val="center"/>
            <w:rPr>
              <w:lang w:eastAsia="ar-SA"/>
            </w:rPr>
          </w:pPr>
          <w:r>
            <w:rPr>
              <w:b/>
              <w:lang w:eastAsia="ar-SA"/>
            </w:rPr>
            <w:t xml:space="preserve">DĖL LIETUVOS RESPUBLIKOS APLINKOS MINISTRO 2014 M. BALANDŽIO 8 D. ĮSAKYMO NR. D1-337 „DĖL </w:t>
          </w:r>
          <w:r>
            <w:rPr>
              <w:b/>
              <w:bCs/>
              <w:caps/>
              <w:lang w:eastAsia="ar-SA"/>
            </w:rPr>
            <w:t xml:space="preserve">Vandens telkinių, kuriuose plaukiojimas tam tikro tipo plaukiojimo priemonėmis draudžiamas ar ribojamas, sąrašo </w:t>
          </w:r>
          <w:r>
            <w:rPr>
              <w:b/>
              <w:bCs/>
              <w:caps/>
              <w:lang w:eastAsia="ar-SA"/>
            </w:rPr>
            <w:t>patvirtinimo“ PAKEITIMO</w:t>
          </w:r>
        </w:p>
        <w:p w14:paraId="29B5E9BF" w14:textId="77777777" w:rsidR="00D35F31" w:rsidRDefault="00D35F31">
          <w:pPr>
            <w:suppressAutoHyphens/>
            <w:jc w:val="center"/>
            <w:rPr>
              <w:lang w:eastAsia="ar-SA"/>
            </w:rPr>
          </w:pPr>
        </w:p>
        <w:p w14:paraId="29B5E9C0" w14:textId="409CE106" w:rsidR="00D35F31" w:rsidRDefault="001008FA">
          <w:pPr>
            <w:suppressAutoHyphens/>
            <w:jc w:val="center"/>
            <w:rPr>
              <w:lang w:eastAsia="ar-SA"/>
            </w:rPr>
          </w:pPr>
          <w:r>
            <w:rPr>
              <w:lang w:eastAsia="ar-SA"/>
            </w:rPr>
            <w:t>2020 m. rugsėjo 2 d.</w:t>
          </w:r>
          <w:r>
            <w:rPr>
              <w:lang w:eastAsia="ar-SA"/>
            </w:rPr>
            <w:t xml:space="preserve"> Nr. D1-5</w:t>
          </w:r>
          <w:bookmarkStart w:id="0" w:name="_GoBack"/>
          <w:bookmarkEnd w:id="0"/>
          <w:r>
            <w:rPr>
              <w:lang w:eastAsia="ar-SA"/>
            </w:rPr>
            <w:t>18</w:t>
          </w:r>
        </w:p>
        <w:p w14:paraId="29B5E9C1" w14:textId="77777777" w:rsidR="00D35F31" w:rsidRDefault="001008FA">
          <w:pPr>
            <w:suppressAutoHyphens/>
            <w:jc w:val="center"/>
            <w:rPr>
              <w:lang w:eastAsia="ar-SA"/>
            </w:rPr>
          </w:pPr>
          <w:r>
            <w:rPr>
              <w:lang w:eastAsia="ar-SA"/>
            </w:rPr>
            <w:t>Vilnius</w:t>
          </w:r>
        </w:p>
        <w:p w14:paraId="29B5E9C2" w14:textId="77777777" w:rsidR="00D35F31" w:rsidRDefault="00D35F31">
          <w:pPr>
            <w:suppressAutoHyphens/>
            <w:jc w:val="center"/>
            <w:rPr>
              <w:lang w:eastAsia="ar-SA"/>
            </w:rPr>
          </w:pPr>
        </w:p>
        <w:p w14:paraId="29B5E9C3" w14:textId="77777777" w:rsidR="00D35F31" w:rsidRDefault="00D35F31">
          <w:pPr>
            <w:suppressAutoHyphens/>
            <w:jc w:val="center"/>
            <w:rPr>
              <w:lang w:eastAsia="ar-SA"/>
            </w:rPr>
          </w:pPr>
        </w:p>
        <w:sdt>
          <w:sdtPr>
            <w:alias w:val="pastraipa"/>
            <w:tag w:val="part_afcd15adc38b4e5f87f951f1128b150e"/>
            <w:id w:val="1492455390"/>
            <w:lock w:val="sdtLocked"/>
          </w:sdtPr>
          <w:sdtEndPr/>
          <w:sdtContent>
            <w:p w14:paraId="29B5E9C4" w14:textId="77777777" w:rsidR="00D35F31" w:rsidRDefault="001008FA">
              <w:pPr>
                <w:suppressAutoHyphens/>
                <w:ind w:firstLine="720"/>
                <w:jc w:val="both"/>
                <w:rPr>
                  <w:bCs/>
                  <w:lang w:eastAsia="ar-SA"/>
                </w:rPr>
              </w:pPr>
              <w:r>
                <w:rPr>
                  <w:lang w:eastAsia="ar-SA"/>
                </w:rPr>
                <w:t>P a k e i č i u Vandens telkinių, kuriuose plaukiojimas tam tikro tipo plaukiojimo priemonėmis draudžiamas ar ribojamas, sąrašą, patvirtintą Lietuvos Respublikos aplinkos</w:t>
              </w:r>
              <w:r>
                <w:rPr>
                  <w:lang w:eastAsia="ar-SA"/>
                </w:rPr>
                <w:t xml:space="preserve"> ministro 2014 m. balandžio 8 d. įsakymu Nr. D1-337 „Dėl </w:t>
              </w:r>
              <w:r>
                <w:rPr>
                  <w:bCs/>
                  <w:lang w:eastAsia="ar-SA"/>
                </w:rPr>
                <w:t>Vandens telkinių, kuriuose plaukiojimas tam tikro tipo plaukiojimo priemonėmis draudžiamas ar ribojamas, sąrašo patvirtinimo“, ir 7 punktą išdėstau taip:</w:t>
              </w:r>
            </w:p>
            <w:p w14:paraId="29B5E9C5" w14:textId="77777777" w:rsidR="00D35F31" w:rsidRDefault="001008FA">
              <w:pPr>
                <w:suppressAutoHyphens/>
                <w:jc w:val="both"/>
                <w:rPr>
                  <w:lang w:eastAsia="ar-SA"/>
                </w:rPr>
              </w:pPr>
              <w:r>
                <w:rPr>
                  <w:lang w:eastAsia="ar-SA"/>
                </w:rPr>
                <w:t>„</w:t>
              </w:r>
            </w:p>
            <w:sdt>
              <w:sdtPr>
                <w:alias w:val="citata"/>
                <w:tag w:val="part_3aa12212a91e42e2b140c7c9119685ed"/>
                <w:id w:val="493992224"/>
                <w:lock w:val="sdtLocked"/>
              </w:sdtPr>
              <w:sdtEndPr/>
              <w:sdtContent>
                <w:sdt>
                  <w:sdtPr>
                    <w:alias w:val="pastraipa"/>
                    <w:tag w:val="part_8c40d424bc3f42c9976ee0fa06689579"/>
                    <w:id w:val="1233281757"/>
                    <w:lock w:val="sdtLocked"/>
                  </w:sdtPr>
                  <w:sdtEndPr/>
                  <w:sdtContent>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426"/>
                        <w:gridCol w:w="1134"/>
                        <w:gridCol w:w="1134"/>
                        <w:gridCol w:w="1275"/>
                        <w:gridCol w:w="993"/>
                        <w:gridCol w:w="708"/>
                        <w:gridCol w:w="3828"/>
                      </w:tblGrid>
                      <w:tr w:rsidR="00D35F31" w14:paraId="29B5E9D2" w14:textId="77777777">
                        <w:trPr>
                          <w:trHeight w:val="541"/>
                        </w:trPr>
                        <w:tc>
                          <w:tcPr>
                            <w:tcW w:w="426" w:type="dxa"/>
                            <w:tcBorders>
                              <w:top w:val="single" w:sz="4" w:space="0" w:color="auto"/>
                              <w:left w:val="single" w:sz="4" w:space="0" w:color="auto"/>
                              <w:bottom w:val="single" w:sz="4" w:space="0" w:color="auto"/>
                              <w:right w:val="single" w:sz="4" w:space="0" w:color="auto"/>
                            </w:tcBorders>
                          </w:tcPr>
                          <w:p w14:paraId="29B5E9C6" w14:textId="77777777" w:rsidR="00D35F31" w:rsidRDefault="001008FA">
                            <w:pPr>
                              <w:snapToGrid w:val="0"/>
                              <w:jc w:val="both"/>
                              <w:rPr>
                                <w:color w:val="000000"/>
                              </w:rPr>
                            </w:pPr>
                            <w:r>
                              <w:rPr>
                                <w:color w:val="000000"/>
                              </w:rPr>
                              <w:t>7.</w:t>
                            </w:r>
                          </w:p>
                        </w:tc>
                        <w:tc>
                          <w:tcPr>
                            <w:tcW w:w="1134" w:type="dxa"/>
                            <w:tcBorders>
                              <w:top w:val="single" w:sz="4" w:space="0" w:color="auto"/>
                              <w:left w:val="single" w:sz="4" w:space="0" w:color="auto"/>
                              <w:bottom w:val="single" w:sz="4" w:space="0" w:color="auto"/>
                              <w:right w:val="single" w:sz="4" w:space="0" w:color="auto"/>
                            </w:tcBorders>
                          </w:tcPr>
                          <w:p w14:paraId="29B5E9C7" w14:textId="77777777" w:rsidR="00D35F31" w:rsidRDefault="001008FA">
                            <w:pPr>
                              <w:snapToGrid w:val="0"/>
                              <w:rPr>
                                <w:sz w:val="23"/>
                                <w:szCs w:val="23"/>
                              </w:rPr>
                            </w:pPr>
                            <w:r>
                              <w:rPr>
                                <w:sz w:val="23"/>
                                <w:szCs w:val="23"/>
                              </w:rPr>
                              <w:t>Lazdijų r.</w:t>
                            </w:r>
                          </w:p>
                        </w:tc>
                        <w:tc>
                          <w:tcPr>
                            <w:tcW w:w="1134" w:type="dxa"/>
                            <w:tcBorders>
                              <w:top w:val="single" w:sz="4" w:space="0" w:color="auto"/>
                              <w:left w:val="single" w:sz="4" w:space="0" w:color="auto"/>
                              <w:bottom w:val="single" w:sz="4" w:space="0" w:color="auto"/>
                              <w:right w:val="single" w:sz="4" w:space="0" w:color="auto"/>
                            </w:tcBorders>
                          </w:tcPr>
                          <w:p w14:paraId="29B5E9C8" w14:textId="77777777" w:rsidR="00D35F31" w:rsidRDefault="001008FA">
                            <w:pPr>
                              <w:snapToGrid w:val="0"/>
                              <w:rPr>
                                <w:color w:val="000000"/>
                                <w:sz w:val="23"/>
                                <w:szCs w:val="23"/>
                              </w:rPr>
                            </w:pPr>
                            <w:r>
                              <w:rPr>
                                <w:color w:val="000000"/>
                                <w:sz w:val="23"/>
                                <w:szCs w:val="23"/>
                              </w:rPr>
                              <w:t>Dusios ežeras (Metelių RP)</w:t>
                            </w:r>
                          </w:p>
                        </w:tc>
                        <w:tc>
                          <w:tcPr>
                            <w:tcW w:w="1275" w:type="dxa"/>
                            <w:tcBorders>
                              <w:top w:val="single" w:sz="4" w:space="0" w:color="auto"/>
                              <w:left w:val="single" w:sz="4" w:space="0" w:color="auto"/>
                              <w:bottom w:val="single" w:sz="4" w:space="0" w:color="auto"/>
                              <w:right w:val="single" w:sz="4" w:space="0" w:color="auto"/>
                            </w:tcBorders>
                          </w:tcPr>
                          <w:p w14:paraId="29B5E9C9" w14:textId="77777777" w:rsidR="00D35F31" w:rsidRDefault="001008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23</w:t>
                            </w:r>
                            <w:r>
                              <w:rPr>
                                <w:sz w:val="23"/>
                                <w:szCs w:val="23"/>
                                <w:lang w:eastAsia="lt-LT"/>
                              </w:rPr>
                              <w:t>34</w:t>
                            </w:r>
                          </w:p>
                        </w:tc>
                        <w:tc>
                          <w:tcPr>
                            <w:tcW w:w="993" w:type="dxa"/>
                            <w:tcBorders>
                              <w:top w:val="single" w:sz="4" w:space="0" w:color="auto"/>
                              <w:left w:val="single" w:sz="4" w:space="0" w:color="auto"/>
                              <w:bottom w:val="single" w:sz="4" w:space="0" w:color="auto"/>
                              <w:right w:val="single" w:sz="4" w:space="0" w:color="auto"/>
                            </w:tcBorders>
                          </w:tcPr>
                          <w:p w14:paraId="29B5E9CA" w14:textId="77777777" w:rsidR="00D35F31" w:rsidRDefault="001008FA">
                            <w:pPr>
                              <w:snapToGrid w:val="0"/>
                              <w:rPr>
                                <w:sz w:val="23"/>
                                <w:szCs w:val="23"/>
                                <w:lang w:eastAsia="lt-LT"/>
                              </w:rPr>
                            </w:pPr>
                            <w:r>
                              <w:rPr>
                                <w:sz w:val="23"/>
                                <w:szCs w:val="23"/>
                                <w:lang w:eastAsia="lt-LT"/>
                              </w:rPr>
                              <w:t>15040123</w:t>
                            </w:r>
                          </w:p>
                        </w:tc>
                        <w:tc>
                          <w:tcPr>
                            <w:tcW w:w="708" w:type="dxa"/>
                            <w:tcBorders>
                              <w:top w:val="single" w:sz="4" w:space="0" w:color="auto"/>
                              <w:left w:val="single" w:sz="4" w:space="0" w:color="auto"/>
                              <w:bottom w:val="single" w:sz="4" w:space="0" w:color="auto"/>
                              <w:right w:val="single" w:sz="4" w:space="0" w:color="auto"/>
                            </w:tcBorders>
                          </w:tcPr>
                          <w:p w14:paraId="29B5E9CB" w14:textId="77777777" w:rsidR="00D35F31" w:rsidRDefault="001008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61-12</w:t>
                            </w:r>
                          </w:p>
                        </w:tc>
                        <w:tc>
                          <w:tcPr>
                            <w:tcW w:w="3828" w:type="dxa"/>
                            <w:tcBorders>
                              <w:top w:val="single" w:sz="4" w:space="0" w:color="auto"/>
                              <w:left w:val="single" w:sz="4" w:space="0" w:color="auto"/>
                              <w:bottom w:val="single" w:sz="4" w:space="0" w:color="auto"/>
                              <w:right w:val="single" w:sz="4" w:space="0" w:color="auto"/>
                            </w:tcBorders>
                          </w:tcPr>
                          <w:p w14:paraId="29B5E9CC" w14:textId="77777777" w:rsidR="00D35F31" w:rsidRDefault="001008FA">
                            <w:pPr>
                              <w:rPr>
                                <w:color w:val="000000"/>
                                <w:sz w:val="23"/>
                                <w:szCs w:val="23"/>
                                <w:lang w:eastAsia="lt-LT"/>
                              </w:rPr>
                            </w:pPr>
                            <w:r>
                              <w:rPr>
                                <w:color w:val="000000"/>
                                <w:sz w:val="23"/>
                                <w:szCs w:val="23"/>
                                <w:lang w:eastAsia="lt-LT"/>
                              </w:rPr>
                              <w:t xml:space="preserve">Nuo plaukiojimo sezono pradžios iki birželio 20 d. draudžiama plaukioti savaeigėmis plaukiojimo priemonėmis. Nuo birželio 21 d. iki plaukiojimo sezono pabaigos leidžiama plaukioti savaeigėmis plaukiojimo priemonėmis, kurių galingumas 10 </w:t>
                            </w:r>
                            <w:r>
                              <w:rPr>
                                <w:color w:val="000000"/>
                                <w:sz w:val="23"/>
                                <w:szCs w:val="23"/>
                                <w:lang w:eastAsia="lt-LT"/>
                              </w:rPr>
                              <w:t>AG (8 kW) ir mažesnis, laikantis šių sąlygų:</w:t>
                            </w:r>
                          </w:p>
                          <w:p w14:paraId="29B5E9CD" w14:textId="77777777" w:rsidR="00D35F31" w:rsidRDefault="001008FA">
                            <w:pPr>
                              <w:rPr>
                                <w:color w:val="000000"/>
                                <w:sz w:val="23"/>
                                <w:szCs w:val="23"/>
                                <w:lang w:eastAsia="lt-LT"/>
                              </w:rPr>
                            </w:pPr>
                            <w:r>
                              <w:rPr>
                                <w:color w:val="000000"/>
                                <w:sz w:val="23"/>
                                <w:szCs w:val="23"/>
                                <w:lang w:eastAsia="lt-LT"/>
                              </w:rPr>
                              <w:t>1. neplaukiojama mažesniu nei 300 m atstumu nuo kranto, išskyrus išplaukimą ar parplaukimą mažiausiuoju savaeigės plaukiojimo priemonės greičiu;</w:t>
                            </w:r>
                          </w:p>
                          <w:p w14:paraId="29B5E9CE" w14:textId="77777777" w:rsidR="00D35F31" w:rsidRDefault="001008FA">
                            <w:pPr>
                              <w:rPr>
                                <w:color w:val="000000"/>
                                <w:sz w:val="23"/>
                                <w:szCs w:val="23"/>
                                <w:lang w:eastAsia="lt-LT"/>
                              </w:rPr>
                            </w:pPr>
                            <w:r>
                              <w:rPr>
                                <w:color w:val="000000"/>
                                <w:sz w:val="23"/>
                                <w:szCs w:val="23"/>
                                <w:lang w:eastAsia="lt-LT"/>
                              </w:rPr>
                              <w:t xml:space="preserve">2. išplaukiama ir parplaukiama tik Metelių regioninio parko </w:t>
                            </w:r>
                            <w:r>
                              <w:rPr>
                                <w:color w:val="000000"/>
                                <w:sz w:val="23"/>
                                <w:szCs w:val="23"/>
                                <w:lang w:eastAsia="lt-LT"/>
                              </w:rPr>
                              <w:t>teritorijų planavimo dokumentuose nustatytose išplaukimo ir parplaukimo vietose (prieplaukose).</w:t>
                            </w:r>
                          </w:p>
                          <w:p w14:paraId="29B5E9CF" w14:textId="77777777" w:rsidR="00D35F31" w:rsidRDefault="001008FA">
                            <w:pPr>
                              <w:rPr>
                                <w:color w:val="000000"/>
                                <w:sz w:val="23"/>
                                <w:szCs w:val="23"/>
                                <w:lang w:eastAsia="lt-LT"/>
                              </w:rPr>
                            </w:pPr>
                            <w:r>
                              <w:rPr>
                                <w:color w:val="000000"/>
                                <w:sz w:val="23"/>
                                <w:szCs w:val="23"/>
                                <w:lang w:eastAsia="lt-LT"/>
                              </w:rPr>
                              <w:t>Plaukiojant nesavaeigėmis plaukiojimo priemonėmis su elektriniais varikliais ir burinėmis plaukiojimo priemonėmis su elektriniais varikliais, privalu laikytis 1</w:t>
                            </w:r>
                            <w:r>
                              <w:rPr>
                                <w:color w:val="000000"/>
                                <w:sz w:val="23"/>
                                <w:szCs w:val="23"/>
                                <w:lang w:eastAsia="lt-LT"/>
                              </w:rPr>
                              <w:t xml:space="preserve"> ir 2 punktuose nurodytų sąlygų visą plaukiojimo sezoną.</w:t>
                            </w:r>
                          </w:p>
                          <w:p w14:paraId="29B5E9D0" w14:textId="77777777" w:rsidR="00D35F31" w:rsidRDefault="001008FA">
                            <w:pPr>
                              <w:rPr>
                                <w:color w:val="000000"/>
                                <w:sz w:val="23"/>
                                <w:szCs w:val="23"/>
                                <w:lang w:eastAsia="lt-LT"/>
                              </w:rPr>
                            </w:pPr>
                            <w:r>
                              <w:rPr>
                                <w:color w:val="000000"/>
                                <w:sz w:val="23"/>
                                <w:szCs w:val="23"/>
                                <w:lang w:eastAsia="lt-LT"/>
                              </w:rPr>
                              <w:t>Draudimas netaikomas teikiant viešąsias paslaugas savaeigėmis plaukiojimo priemonėmis, kurių bendras variklių galingumas neviršija 150 AG (110 kW), pažintinio vandens turizmo trasa, nustatyta Metelių</w:t>
                            </w:r>
                            <w:r>
                              <w:rPr>
                                <w:color w:val="000000"/>
                                <w:sz w:val="23"/>
                                <w:szCs w:val="23"/>
                                <w:lang w:eastAsia="lt-LT"/>
                              </w:rPr>
                              <w:t xml:space="preserve"> regioninio parko teritorijų planavimo dokumentuose ir vadovaujantis Valstybinės saugomų teritorijų tarnybos prie Aplinkos </w:t>
                            </w:r>
                            <w:r>
                              <w:rPr>
                                <w:color w:val="000000"/>
                                <w:sz w:val="23"/>
                                <w:szCs w:val="23"/>
                                <w:lang w:eastAsia="lt-LT"/>
                              </w:rPr>
                              <w:lastRenderedPageBreak/>
                              <w:t>ministerijos patvirtintu Metelių regioninio parko pažintinio vandens turizmo schemos Dusios ežere tvarkos aprašu.</w:t>
                            </w:r>
                          </w:p>
                          <w:p w14:paraId="29B5E9D1" w14:textId="77777777" w:rsidR="00D35F31" w:rsidRDefault="001008FA">
                            <w:pPr>
                              <w:rPr>
                                <w:bCs/>
                                <w:color w:val="000000"/>
                                <w:sz w:val="23"/>
                                <w:szCs w:val="23"/>
                                <w:lang w:eastAsia="lt-LT"/>
                              </w:rPr>
                            </w:pPr>
                            <w:r>
                              <w:rPr>
                                <w:bCs/>
                                <w:color w:val="000000"/>
                                <w:sz w:val="23"/>
                                <w:szCs w:val="23"/>
                                <w:lang w:eastAsia="lt-LT"/>
                              </w:rPr>
                              <w:t xml:space="preserve">Nuo birželio 21 d. </w:t>
                            </w:r>
                            <w:r>
                              <w:rPr>
                                <w:bCs/>
                                <w:color w:val="000000"/>
                                <w:sz w:val="23"/>
                                <w:szCs w:val="23"/>
                                <w:lang w:eastAsia="lt-LT"/>
                              </w:rPr>
                              <w:t>iki plaukiojimo sezono pabaigos plaukiojimo saugumui užtikrinti burinių jachtų varžybų ir regatų metu jų organizatoriams leidžiama plaukioti savaeigėmis plaukiojimo priemonėmis, kurių bendras variklių galingumas neviršija 75 AG (60 kW), laikantis 1 ir 2 pu</w:t>
                            </w:r>
                            <w:r>
                              <w:rPr>
                                <w:bCs/>
                                <w:color w:val="000000"/>
                                <w:sz w:val="23"/>
                                <w:szCs w:val="23"/>
                                <w:lang w:eastAsia="lt-LT"/>
                              </w:rPr>
                              <w:t>nktuose nustatytų sąlygų ir kitų teisės aktuose nustatytų aplinkosauginių reikalavimų. Varžybų ir regatų organizatoriai šių renginių laiką, vietą ir aptarnausiančių savaeigių plaukiojimo priemonių sąrašą turi suderinti su Metelių regioninio parko direkcija</w:t>
                            </w:r>
                            <w:r>
                              <w:rPr>
                                <w:bCs/>
                                <w:color w:val="000000"/>
                                <w:sz w:val="23"/>
                                <w:szCs w:val="23"/>
                                <w:lang w:eastAsia="lt-LT"/>
                              </w:rPr>
                              <w:t xml:space="preserve"> ir informuoti AAD.</w:t>
                            </w:r>
                          </w:p>
                        </w:tc>
                      </w:tr>
                    </w:tbl>
                    <w:p w14:paraId="29B5E9D3" w14:textId="77777777" w:rsidR="00D35F31" w:rsidRDefault="001008FA">
                      <w:pPr>
                        <w:suppressAutoHyphens/>
                        <w:jc w:val="right"/>
                        <w:rPr>
                          <w:lang w:eastAsia="ar-SA"/>
                        </w:rPr>
                      </w:pPr>
                      <w:r>
                        <w:rPr>
                          <w:lang w:eastAsia="ar-SA"/>
                        </w:rPr>
                        <w:lastRenderedPageBreak/>
                        <w:t>“</w:t>
                      </w:r>
                    </w:p>
                    <w:p w14:paraId="29B5E9D4" w14:textId="77777777" w:rsidR="00D35F31" w:rsidRDefault="00D35F31"/>
                    <w:p w14:paraId="29B5E9D5" w14:textId="77777777" w:rsidR="00D35F31" w:rsidRDefault="00D35F31"/>
                    <w:p w14:paraId="29B5E9D6" w14:textId="77777777" w:rsidR="00D35F31" w:rsidRDefault="001008FA"/>
                  </w:sdtContent>
                </w:sdt>
              </w:sdtContent>
            </w:sdt>
          </w:sdtContent>
        </w:sdt>
        <w:sdt>
          <w:sdtPr>
            <w:alias w:val="signatura"/>
            <w:tag w:val="part_189cd336276f4d7f9a3b7f3b4fb2bd5f"/>
            <w:id w:val="-45615872"/>
            <w:lock w:val="sdtLocked"/>
          </w:sdtPr>
          <w:sdtEndPr/>
          <w:sdtContent>
            <w:p w14:paraId="29B5E9D7" w14:textId="77777777" w:rsidR="00D35F31" w:rsidRDefault="001008FA">
              <w:r>
                <w:t xml:space="preserve">Aplinkos ministras </w:t>
              </w:r>
              <w:r>
                <w:tab/>
              </w:r>
              <w:r>
                <w:tab/>
              </w:r>
              <w:r>
                <w:tab/>
              </w:r>
              <w:r>
                <w:tab/>
              </w:r>
              <w:r>
                <w:tab/>
              </w:r>
              <w:r>
                <w:tab/>
              </w:r>
              <w:r>
                <w:tab/>
                <w:t xml:space="preserve">                     Kęstutis Mažeika</w:t>
              </w:r>
            </w:p>
            <w:p w14:paraId="29B5E9D8" w14:textId="77777777" w:rsidR="00D35F31" w:rsidRDefault="001008FA">
              <w:pPr>
                <w:rPr>
                  <w:spacing w:val="10"/>
                  <w:szCs w:val="24"/>
                  <w:lang w:eastAsia="ar-SA"/>
                </w:rPr>
              </w:pPr>
            </w:p>
          </w:sdtContent>
        </w:sdt>
      </w:sdtContent>
    </w:sdt>
    <w:sectPr w:rsidR="00D35F31">
      <w:headerReference w:type="even" r:id="rId10"/>
      <w:headerReference w:type="default" r:id="rId11"/>
      <w:footerReference w:type="even" r:id="rId12"/>
      <w:footerReference w:type="default" r:id="rId13"/>
      <w:headerReference w:type="first" r:id="rId14"/>
      <w:footerReference w:type="first" r:id="rId15"/>
      <w:pgSz w:w="11905" w:h="16837"/>
      <w:pgMar w:top="993" w:right="709" w:bottom="794" w:left="1701" w:header="720" w:footer="71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B5E9DD" w14:textId="77777777" w:rsidR="00D35F31" w:rsidRDefault="001008FA">
      <w:pPr>
        <w:suppressAutoHyphens/>
        <w:rPr>
          <w:lang w:eastAsia="ar-SA"/>
        </w:rPr>
      </w:pPr>
      <w:r>
        <w:rPr>
          <w:lang w:eastAsia="ar-SA"/>
        </w:rPr>
        <w:separator/>
      </w:r>
    </w:p>
  </w:endnote>
  <w:endnote w:type="continuationSeparator" w:id="0">
    <w:p w14:paraId="29B5E9DE" w14:textId="77777777" w:rsidR="00D35F31" w:rsidRDefault="001008FA">
      <w:pPr>
        <w:suppressAutoHyphens/>
        <w:rPr>
          <w:lang w:eastAsia="ar-SA"/>
        </w:rPr>
      </w:pPr>
      <w:r>
        <w:rPr>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E9E2" w14:textId="77777777" w:rsidR="00D35F31" w:rsidRDefault="00D35F31">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E9E3" w14:textId="77777777" w:rsidR="00D35F31" w:rsidRDefault="00D35F3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E9E5" w14:textId="77777777" w:rsidR="00D35F31" w:rsidRDefault="00D35F31">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B5E9DB" w14:textId="77777777" w:rsidR="00D35F31" w:rsidRDefault="001008FA">
      <w:pPr>
        <w:suppressAutoHyphens/>
        <w:rPr>
          <w:lang w:eastAsia="ar-SA"/>
        </w:rPr>
      </w:pPr>
      <w:r>
        <w:rPr>
          <w:lang w:eastAsia="ar-SA"/>
        </w:rPr>
        <w:separator/>
      </w:r>
    </w:p>
  </w:footnote>
  <w:footnote w:type="continuationSeparator" w:id="0">
    <w:p w14:paraId="29B5E9DC" w14:textId="77777777" w:rsidR="00D35F31" w:rsidRDefault="001008FA">
      <w:pPr>
        <w:suppressAutoHyphens/>
        <w:rPr>
          <w:lang w:eastAsia="ar-SA"/>
        </w:rPr>
      </w:pPr>
      <w:r>
        <w:rPr>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E9DF" w14:textId="77777777" w:rsidR="00D35F31" w:rsidRDefault="00D35F31">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E9E0" w14:textId="77777777" w:rsidR="00D35F31" w:rsidRDefault="001008FA">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p w14:paraId="29B5E9E1" w14:textId="77777777" w:rsidR="00D35F31" w:rsidRDefault="00D35F31">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E9E4" w14:textId="77777777" w:rsidR="00D35F31" w:rsidRDefault="00D35F3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A64"/>
    <w:rsid w:val="001008FA"/>
    <w:rsid w:val="00760A64"/>
    <w:rsid w:val="00D35F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9B5E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5710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3a3886e792a43bf9f975340f3610280" PartId="d2f677da450e4feeb76ab6186a23f196">
    <Part Type="pastraipa" DocPartId="284c77b06c424ac1b2927e3bdd69d16e" PartId="afcd15adc38b4e5f87f951f1128b150e">
      <Part Type="citata" DocPartId="0de8673bfc3247faada52efce2fc589f" PartId="3aa12212a91e42e2b140c7c9119685ed">
        <Part Type="pastraipa" DocPartId="8daf58f5a26c4f6a91b1559eafee285d" PartId="8c40d424bc3f42c9976ee0fa06689579"/>
      </Part>
    </Part>
    <Part Type="signatura" DocPartId="8ba3314c58804bd2b6aa4db6090a95dc" PartId="189cd336276f4d7f9a3b7f3b4fb2bd5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D5DE41-83E8-462D-8297-59E8454D0B6C}">
  <ds:schemaRefs>
    <ds:schemaRef ds:uri="http://lrs.lt/TAIS/DocParts"/>
  </ds:schemaRefs>
</ds:datastoreItem>
</file>

<file path=customXml/itemProps2.xml><?xml version="1.0" encoding="utf-8"?>
<ds:datastoreItem xmlns:ds="http://schemas.openxmlformats.org/officeDocument/2006/customXml" ds:itemID="{8FED9EAD-BACF-4404-B983-A06581F96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1677</Words>
  <Characters>957</Characters>
  <Application>Microsoft Office Word</Application>
  <DocSecurity>0</DocSecurity>
  <Lines>7</Lines>
  <Paragraphs>5</Paragraphs>
  <ScaleCrop>false</ScaleCrop>
  <HeadingPairs>
    <vt:vector size="2" baseType="variant">
      <vt:variant>
        <vt:lpstr>Title</vt:lpstr>
      </vt:variant>
      <vt:variant>
        <vt:i4>1</vt:i4>
      </vt:variant>
    </vt:vector>
  </HeadingPairs>
  <TitlesOfParts>
    <vt:vector size="1" baseType="lpstr">
      <vt:lpstr>&lt;Adresatas&gt;</vt:lpstr>
    </vt:vector>
  </TitlesOfParts>
  <Company>Hewlett-Packard Company</Company>
  <LinksUpToDate>false</LinksUpToDate>
  <CharactersWithSpaces>2629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AM</dc:creator>
  <cp:lastModifiedBy>Loreta RAKAUSKIENĖ </cp:lastModifiedBy>
  <cp:revision>3</cp:revision>
  <cp:lastPrinted>2017-01-03T07:34:00Z</cp:lastPrinted>
  <dcterms:created xsi:type="dcterms:W3CDTF">2020-09-02T08:25:00Z</dcterms:created>
  <dcterms:modified xsi:type="dcterms:W3CDTF">2020-09-02T11:29:00Z</dcterms:modified>
</cp:coreProperties>
</file>