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B6BD423" wp14:editId="12B5F78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VIETOS SAVIVALDOS ĮSTATYMO NR. I-533 39, 40 IR 41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spalio</w:t>
      </w:r>
      <w:r>
        <w:rPr>
          <w:szCs w:val="24"/>
        </w:rPr>
        <w:t xml:space="preserve"> </w:t>
      </w:r>
      <w:r>
        <w:rPr>
          <w:szCs w:val="24"/>
          <w:lang w:val="en-US"/>
        </w:rPr>
        <w:t>17</w:t>
      </w:r>
      <w:r>
        <w:rPr>
          <w:szCs w:val="24"/>
        </w:rPr>
        <w:t xml:space="preserve"> d. Nr. </w:t>
      </w:r>
      <w:r>
        <w:rPr>
          <w:szCs w:val="24"/>
          <w:lang w:val="en-US"/>
        </w:rPr>
        <w:t>XIII-2496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39 straipsnio pakeitimas</w:t>
      </w:r>
    </w:p>
    <w:p>
      <w:pPr>
        <w:spacing w:line="360" w:lineRule="auto"/>
        <w:ind w:firstLine="720"/>
        <w:jc w:val="both"/>
        <w:rPr>
          <w:szCs w:val="24"/>
        </w:rPr>
      </w:pPr>
      <w:r>
        <w:rPr>
          <w:bCs/>
          <w:szCs w:val="24"/>
        </w:rPr>
        <w:t xml:space="preserve">Pakeisti 39 straipsnį </w:t>
      </w:r>
      <w:r>
        <w:rPr>
          <w:szCs w:val="24"/>
        </w:rPr>
        <w:t>ir jį išdėstyti taip:</w:t>
      </w:r>
    </w:p>
    <w:p>
      <w:pPr>
        <w:spacing w:line="360" w:lineRule="auto"/>
        <w:ind w:firstLine="720"/>
        <w:jc w:val="both"/>
        <w:rPr>
          <w:bCs/>
          <w:szCs w:val="24"/>
        </w:rPr>
      </w:pPr>
      <w:r>
        <w:rPr>
          <w:bCs/>
          <w:szCs w:val="24"/>
        </w:rPr>
        <w:t>„</w:t>
      </w:r>
      <w:r>
        <w:rPr>
          <w:b/>
          <w:bCs/>
          <w:szCs w:val="24"/>
        </w:rPr>
        <w:t>39</w:t>
      </w:r>
      <w:r>
        <w:rPr>
          <w:b/>
          <w:bCs/>
          <w:szCs w:val="24"/>
        </w:rPr>
        <w:t xml:space="preserve"> straipsnis. </w:t>
      </w:r>
      <w:r>
        <w:rPr>
          <w:b/>
          <w:bCs/>
          <w:szCs w:val="24"/>
        </w:rPr>
        <w:t>Apklausos teritorija</w:t>
      </w:r>
    </w:p>
    <w:p>
      <w:pPr>
        <w:spacing w:line="360" w:lineRule="auto"/>
        <w:ind w:firstLine="720"/>
        <w:jc w:val="both"/>
        <w:rPr>
          <w:color w:val="000000"/>
          <w:szCs w:val="24"/>
        </w:rPr>
      </w:pPr>
      <w:r>
        <w:rPr>
          <w:color w:val="000000"/>
          <w:szCs w:val="24"/>
        </w:rPr>
        <w:t>Apklausa gali būti surengta visoje savivaldybės teritorijoje, seniūnijos (kelių seniūnijų) aptarnaujamoje teritorijoje (aptarnaujamose teritorijose) ar jos (jų) dalyse arba gyvenamosios vietovės teritorijoje ar jos dalyje. Kai apklausą inicijuoja savivaldybės taryba, meras ar seniūnas, apklausos teritorija nustatoma atsižvelgiant į tai, kokios teritorijos gyventojams yra aktualūs apklausai teikiami klausimai. Kai apklausą inicijuoja savivaldybės gyventojai, apklausos teritoriją pasiūlo apklausos iniciatorius, atsižvelgdamas į teritorinį suskirstymą ir į tai, kokios teritorijos gyventojams yra aktualūs apklausai teikiami klausimai. Galutinį sprendimą dėl apklausos teritorijos priima savivaldybės taryba. Savivaldybės taryba po to, kai yra surinktas reikiamas parašų dėl reikalavimo paskelbti apklausą skaičius ir nenustatyta parašų rinkimo pažeidimų, turi teisę parinkti kitą negu apklausos iniciatoriaus pasiūlyta apklausos teritorija. Tokiu atveju netaikomas 40 straipsnio 2 dalyje nustatytas reikalavimas.“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40 straipsnio pakeitimas</w:t>
      </w:r>
    </w:p>
    <w:p>
      <w:pPr>
        <w:spacing w:line="360" w:lineRule="auto"/>
        <w:ind w:firstLine="720"/>
        <w:jc w:val="both"/>
        <w:rPr>
          <w:color w:val="000000"/>
          <w:szCs w:val="24"/>
        </w:rPr>
      </w:pPr>
      <w:r>
        <w:rPr>
          <w:color w:val="000000"/>
          <w:szCs w:val="24"/>
        </w:rPr>
        <w:t>Pakeisti 40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Gyventojai apklausos paskelbimo iniciatyvos teisę įgyvendina ne mažiau kaip 5 procentų siūlomos apklausos teritorijos gyventojų, turinčių teisę rinkti šios savivaldybės tarybą, reikalavimu.“</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41 straipsnio pakeitimas</w:t>
      </w:r>
    </w:p>
    <w:p>
      <w:pPr>
        <w:spacing w:line="360" w:lineRule="auto"/>
        <w:ind w:firstLine="720"/>
        <w:jc w:val="both"/>
        <w:rPr>
          <w:color w:val="000000"/>
          <w:szCs w:val="24"/>
        </w:rPr>
      </w:pPr>
      <w:r>
        <w:rPr>
          <w:color w:val="000000"/>
          <w:szCs w:val="24"/>
        </w:rPr>
        <w:t xml:space="preserve">Pakeisti 41 straipsnio 2 dalį </w:t>
      </w:r>
      <w:r>
        <w:rPr>
          <w:szCs w:val="24"/>
        </w:rPr>
        <w:t>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Iniciatyvinės grupės prašyme turi būti nurodyta: preliminarus arba galutinis apklausai teikiamo (teikiamų) klausimo (klausimų) tekstas, siūlomas apklausos būdas, siūloma apklausos teritorija ir iniciatyvinės grupės atstovas (atstovai). Prašymą pasirašo visi iniciatyvinės grupės nariai.“</w:t>
      </w:r>
    </w:p>
    <w:p>
      <w:pPr>
        <w:spacing w:line="360" w:lineRule="auto"/>
        <w:ind w:firstLine="720"/>
        <w:jc w:val="both"/>
        <w:rPr>
          <w:b/>
          <w:color w:val="000000"/>
          <w:szCs w:val="24"/>
        </w:rPr>
      </w:pPr>
    </w:p>
    <w:p>
      <w:pPr>
        <w:spacing w:line="360" w:lineRule="auto"/>
        <w:ind w:firstLine="720"/>
        <w:jc w:val="both"/>
        <w:rPr>
          <w:color w:val="000000"/>
          <w:szCs w:val="24"/>
        </w:rPr>
      </w:pPr>
      <w:r>
        <w:rPr>
          <w:b/>
          <w:color w:val="000000"/>
          <w:szCs w:val="24"/>
        </w:rPr>
        <w:t>4</w:t>
      </w:r>
      <w:r>
        <w:rPr>
          <w:b/>
          <w:color w:val="000000"/>
          <w:szCs w:val="24"/>
        </w:rPr>
        <w:t xml:space="preserve"> straipsnis. </w:t>
      </w:r>
      <w:r>
        <w:rPr>
          <w:b/>
          <w:color w:val="000000"/>
          <w:szCs w:val="24"/>
        </w:rPr>
        <w:t>Įstatymo įsigaliojimas ir įgyvendinimas</w:t>
      </w:r>
    </w:p>
    <w:p>
      <w:pPr>
        <w:spacing w:line="360" w:lineRule="auto"/>
        <w:ind w:firstLine="720"/>
        <w:jc w:val="both"/>
        <w:rPr>
          <w:color w:val="000000"/>
          <w:szCs w:val="24"/>
        </w:rPr>
      </w:pPr>
      <w:r>
        <w:rPr>
          <w:color w:val="000000"/>
          <w:szCs w:val="24"/>
        </w:rPr>
        <w:t>1</w:t>
      </w:r>
      <w:r>
        <w:rPr>
          <w:color w:val="000000"/>
          <w:szCs w:val="24"/>
        </w:rPr>
        <w:t>. Šis įstatymas, išskyrus šio straipsnio 2 dalį, įsigalioja 2020 m. sausio 1 d.</w:t>
      </w:r>
    </w:p>
    <w:p>
      <w:pPr>
        <w:spacing w:line="360" w:lineRule="auto"/>
        <w:ind w:firstLine="720"/>
        <w:jc w:val="both"/>
        <w:rPr>
          <w:color w:val="000000"/>
          <w:szCs w:val="24"/>
        </w:rPr>
      </w:pPr>
      <w:r>
        <w:rPr>
          <w:color w:val="000000"/>
          <w:szCs w:val="24"/>
        </w:rPr>
        <w:t>2</w:t>
      </w:r>
      <w:r>
        <w:rPr>
          <w:color w:val="000000"/>
          <w:szCs w:val="24"/>
        </w:rPr>
        <w:t>. Savivaldybių tarybos iki 2019 m. gruodžio 31 d. priima šio įstatymo įgyvendinamuosius teisės aktus.</w:t>
      </w:r>
    </w:p>
    <w:p>
      <w:pPr>
        <w:spacing w:line="360" w:lineRule="auto"/>
        <w:ind w:firstLine="720"/>
        <w:jc w:val="both"/>
        <w:rPr>
          <w:color w:val="000000"/>
          <w:szCs w:val="24"/>
        </w:rPr>
      </w:pPr>
      <w:r>
        <w:rPr>
          <w:color w:val="000000"/>
          <w:szCs w:val="24"/>
        </w:rPr>
        <w:t>3</w:t>
      </w:r>
      <w:r>
        <w:rPr>
          <w:color w:val="000000"/>
          <w:szCs w:val="24"/>
        </w:rPr>
        <w:t>. Iki šio įstatymo įsigaliojimo pradėtos vykdyti apklausos vykdomos pagal iki šio įstatymo įsigaliojimo galiojusią tvarką.</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2122</Characters>
  <Application>Microsoft Office Word</Application>
  <DocSecurity>4</DocSecurity>
  <Lines>51</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2402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2019-10-29T14:15:00Z</dcterms:created>
  <dc:creator>MOZERIENĖ Dainora</dc:creator>
  <lastModifiedBy>adlibuser</lastModifiedBy>
  <lastPrinted>2004-12-10T05:45:00Z</lastPrinted>
  <dcterms:modified xsi:type="dcterms:W3CDTF">2019-10-29T14:15:00Z</dcterms:modified>
  <revision>2</revision>
</coreProperties>
</file>