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lentele"/>
        <w:tag w:val="part_452f7801f52a4b58962540f7112c6df0"/>
        <w:lock w:val="sdtLocked"/>
        <w:richText/>
      </w:sdtPr>
      <w:sdtContent>
        <w:tbl>
          <w:tblPr>
            <w:tblW w:w="9558" w:type="dxa"/>
            <w:jc w:val="center"/>
            <w:tblLayout w:type="fixed"/>
            <w:tblLook w:val="0000" w:firstRow="0" w:lastRow="0" w:firstColumn="0" w:lastColumn="0" w:noHBand="0" w:noVBand="0"/>
          </w:tblPr>
          <w:tblGrid>
            <w:gridCol w:w="9558"/>
          </w:tblGrid>
          <w:tr>
            <w:trPr>
              <w:trHeight w:val="284"/>
              <w:jc w:val="center"/>
            </w:trPr>
            <w:tc>
              <w:tcPr>
                <w:tcW w:w="9558" w:type="dxa"/>
                <w:vAlign w:val="bottom"/>
              </w:tcPr>
              <w:p>
                <w:pPr>
                  <w:tabs>
                    <w:tab w:val="center" w:pos="4153"/>
                    <w:tab w:val="right" w:pos="8306"/>
                  </w:tabs>
                  <w:rPr>
                    <w:rFonts w:ascii="Arial" w:hAnsi="Arial"/>
                    <w:sz w:val="22"/>
                    <w:lang w:val="en-US"/>
                  </w:rPr>
                </w:pPr>
              </w:p>
              <w:p>
                <w:pPr>
                  <w:tabs>
                    <w:tab w:val="center" w:pos="4153"/>
                    <w:tab w:val="right" w:pos="8306"/>
                  </w:tabs>
                  <w:rPr>
                    <w:rFonts w:ascii="Arial" w:hAnsi="Arial"/>
                    <w:sz w:val="22"/>
                    <w:lang w:val="en-US"/>
                  </w:rPr>
                </w:pPr>
              </w:p>
              <w:p>
                <w:pPr>
                  <w:jc w:val="right"/>
                  <w:rPr>
                    <w:b/>
                    <w:sz w:val="20"/>
                  </w:rPr>
                </w:pPr>
                <w:r>
                  <w:rPr>
                    <w:b/>
                    <w:sz w:val="20"/>
                  </w:rPr>
                  <w:t>     </w:t>
                </w:r>
              </w:p>
            </w:tc>
          </w:tr>
          <w:tr>
            <w:trPr>
              <w:trHeight w:val="284"/>
              <w:jc w:val="center"/>
            </w:trPr>
            <w:tc>
              <w:tcPr>
                <w:tcW w:w="9558" w:type="dxa"/>
                <w:vAlign w:val="bottom"/>
              </w:tcPr>
              <w:p>
                <w:pPr>
                  <w:jc w:val="center"/>
                  <w:rPr>
                    <w:b/>
                    <w:caps/>
                    <w:szCs w:val="24"/>
                  </w:rPr>
                </w:pPr>
              </w:p>
              <w:p>
                <w:pPr>
                  <w:jc w:val="center"/>
                  <w:rPr>
                    <w:b/>
                    <w:caps/>
                    <w:szCs w:val="24"/>
                  </w:rPr>
                </w:pPr>
              </w:p>
              <w:p>
                <w:pPr>
                  <w:jc w:val="center"/>
                  <w:rPr>
                    <w:b/>
                    <w:caps/>
                    <w:szCs w:val="24"/>
                  </w:rPr>
                </w:pPr>
                <w:r>
                  <w:rPr>
                    <w:spacing w:val="20"/>
                    <w:sz w:val="16"/>
                    <w:szCs w:val="24"/>
                  </w:rPr>
                  <w:object w:dxaOrig="931" w:dyaOrig="1036" w14:anchorId="7F9E05AB">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6.5pt;height:51.75pt" o:ole="" fillcolor="window">
                      <v:imagedata r:id="rId7" o:title=""/>
                    </v:shape>
                    <o:OLEObject Type="Embed" ProgID="Word.Picture.8" ShapeID="_x0000_i1025" DrawAspect="Content" ObjectID="_1845110024" r:id="rId8"/>
                  </w:object>
                </w:r>
              </w:p>
              <w:p>
                <w:pPr>
                  <w:jc w:val="center"/>
                  <w:rPr>
                    <w:b/>
                    <w:caps/>
                    <w:szCs w:val="24"/>
                  </w:rPr>
                </w:pPr>
                <w:r>
                  <w:rPr>
                    <w:b/>
                    <w:caps/>
                    <w:szCs w:val="24"/>
                  </w:rPr>
                  <w:t xml:space="preserve">TELŠIŲ RAJONO SAVIVALDYBĖS </w:t>
                </w:r>
              </w:p>
              <w:p>
                <w:pPr>
                  <w:jc w:val="center"/>
                  <w:rPr>
                    <w:b/>
                    <w:caps/>
                    <w:szCs w:val="24"/>
                  </w:rPr>
                </w:pPr>
                <w:r>
                  <w:rPr>
                    <w:b/>
                    <w:caps/>
                    <w:szCs w:val="24"/>
                  </w:rPr>
                  <w:t>MERAS</w:t>
                </w:r>
              </w:p>
              <w:p>
                <w:pPr>
                  <w:jc w:val="center"/>
                  <w:rPr>
                    <w:b/>
                    <w:caps/>
                    <w:szCs w:val="24"/>
                  </w:rPr>
                </w:pPr>
              </w:p>
              <w:p>
                <w:pPr>
                  <w:jc w:val="center"/>
                  <w:rPr>
                    <w:b/>
                    <w:caps/>
                    <w:szCs w:val="24"/>
                  </w:rPr>
                </w:pPr>
              </w:p>
            </w:tc>
          </w:tr>
          <w:tr>
            <w:trPr>
              <w:trHeight w:val="284"/>
              <w:jc w:val="center"/>
            </w:trPr>
            <w:tc>
              <w:tcPr>
                <w:tcW w:w="9558" w:type="dxa"/>
                <w:vAlign w:val="bottom"/>
              </w:tcPr>
              <w:p>
                <w:pPr>
                  <w:jc w:val="center"/>
                  <w:rPr>
                    <w:b/>
                    <w:caps/>
                    <w:szCs w:val="24"/>
                  </w:rPr>
                </w:pPr>
                <w:r>
                  <w:rPr>
                    <w:b/>
                    <w:caps/>
                    <w:szCs w:val="24"/>
                  </w:rPr>
                  <w:t>POTVARKIS</w:t>
                </w:r>
              </w:p>
            </w:tc>
          </w:tr>
          <w:tr>
            <w:trPr>
              <w:trHeight w:val="284"/>
              <w:jc w:val="center"/>
            </w:trPr>
            <w:tc>
              <w:tcPr>
                <w:tcW w:w="9558" w:type="dxa"/>
                <w:vAlign w:val="bottom"/>
              </w:tcPr>
              <w:p>
                <w:pPr>
                  <w:jc w:val="center"/>
                  <w:rPr>
                    <w:b/>
                    <w:szCs w:val="24"/>
                  </w:rPr>
                </w:pPr>
                <w:r>
                  <w:rPr>
                    <w:b/>
                    <w:szCs w:val="24"/>
                  </w:rPr>
                  <w:t xml:space="preserve">DĖL LICENCIJOS VERSTIS MAŽMENINE PREKYBA ALKOHOLINIAIS GĖRIMAIS, </w:t>
                </w:r>
                <w:r>
                  <w:rPr>
                    <w:b/>
                    <w:bCs/>
                    <w:szCs w:val="24"/>
                  </w:rPr>
                  <w:t>KURIŲ TŪRINĖ ETILO ALKOHOLIO KONCENTRACIJA NEVIRŠIJA 15 PROCENTŲ, KURORTINIO, POILSIO IR TURIZMO SEZONO LAIKOTARPIU</w:t>
                </w:r>
                <w:r>
                  <w:rPr>
                    <w:b/>
                    <w:szCs w:val="24"/>
                  </w:rPr>
                  <w:t xml:space="preserve">  </w:t>
                </w:r>
                <w:r>
                  <w:rPr>
                    <w:b/>
                  </w:rPr>
                  <w:t>MB „TOMOVI“</w:t>
                </w:r>
                <w:r>
                  <w:rPr>
                    <w:b/>
                    <w:bCs/>
                  </w:rPr>
                  <w:t xml:space="preserve">  </w:t>
                </w:r>
                <w:r>
                  <w:rPr>
                    <w:b/>
                    <w:szCs w:val="24"/>
                  </w:rPr>
                  <w:t>IŠDAVIMO</w:t>
                </w:r>
              </w:p>
            </w:tc>
          </w:tr>
          <w:tr>
            <w:trPr>
              <w:trHeight w:val="284"/>
              <w:jc w:val="center"/>
            </w:trPr>
            <w:tc>
              <w:tcPr>
                <w:tcW w:w="9558" w:type="dxa"/>
                <w:vAlign w:val="bottom"/>
              </w:tcPr>
              <w:p>
                <w:pPr>
                  <w:jc w:val="center"/>
                  <w:rPr>
                    <w:bCs/>
                    <w:szCs w:val="24"/>
                  </w:rPr>
                </w:pPr>
              </w:p>
            </w:tc>
          </w:tr>
          <w:tr>
            <w:trPr>
              <w:trHeight w:val="284"/>
              <w:jc w:val="center"/>
            </w:trPr>
            <w:tc>
              <w:tcPr>
                <w:tcW w:w="9558" w:type="dxa"/>
                <w:vAlign w:val="bottom"/>
              </w:tcPr>
              <w:p>
                <w:pPr>
                  <w:jc w:val="center"/>
                  <w:rPr>
                    <w:bCs/>
                    <w:szCs w:val="24"/>
                  </w:rPr>
                </w:pPr>
                <w:r>
                  <w:rPr>
                    <w:bCs/>
                    <w:szCs w:val="24"/>
                  </w:rPr>
                  <w:t>2026 m. liepos 3 d. Nr. M1-463</w:t>
                </w:r>
              </w:p>
            </w:tc>
          </w:tr>
          <w:tr>
            <w:trPr>
              <w:trHeight w:val="284"/>
              <w:jc w:val="center"/>
            </w:trPr>
            <w:tc>
              <w:tcPr>
                <w:tcW w:w="9558" w:type="dxa"/>
                <w:vAlign w:val="bottom"/>
              </w:tcPr>
              <w:p>
                <w:pPr>
                  <w:ind w:firstLine="62"/>
                  <w:jc w:val="center"/>
                  <w:rPr>
                    <w:bCs/>
                    <w:szCs w:val="24"/>
                  </w:rPr>
                </w:pPr>
                <w:r>
                  <w:rPr>
                    <w:bCs/>
                    <w:szCs w:val="24"/>
                  </w:rPr>
                  <w:t>Telšiai </w:t>
                </w:r>
              </w:p>
            </w:tc>
          </w:tr>
        </w:tbl>
        <w:p>
          <w:pPr>
            <w:rPr>
              <w:szCs w:val="24"/>
            </w:rPr>
            <w:sectPr>
              <w:headerReference w:type="even" r:id="rId9"/>
              <w:headerReference w:type="default" r:id="rId10"/>
              <w:footerReference w:type="even" r:id="rId11"/>
              <w:footerReference w:type="default" r:id="rId12"/>
              <w:headerReference w:type="first" r:id="rId13"/>
              <w:footerReference w:type="first" r:id="rId14"/>
              <w:pgSz w:w="11906" w:h="16838" w:code="9"/>
              <w:pgMar w:top="284" w:right="680" w:bottom="1134" w:left="1701" w:header="0" w:footer="567" w:gutter="0"/>
              <w:cols w:space="1296"/>
              <w:titlePg/>
            </w:sectPr>
          </w:pPr>
        </w:p>
        <w:p>
          <w:pPr>
            <w:tabs>
              <w:tab w:val="center" w:pos="4986"/>
              <w:tab w:val="right" w:pos="9972"/>
            </w:tabs>
          </w:pPr>
        </w:p>
        <w:p>
          <w:pPr>
            <w:tabs>
              <w:tab w:val="center" w:pos="4153"/>
              <w:tab w:val="right" w:pos="8306"/>
            </w:tabs>
            <w:rPr>
              <w:rFonts w:ascii="Arial" w:hAnsi="Arial"/>
              <w:sz w:val="22"/>
              <w:lang w:val="en-US"/>
            </w:rPr>
          </w:pPr>
        </w:p>
      </w:sdtContent>
    </w:sdt>
    <w:sdt>
      <w:sdtPr>
        <w:alias w:val="pastraipa"/>
        <w:tag w:val="part_f9b51cf01ec74e78aba4d8ce7a3fd819"/>
        <w:lock w:val="sdtLocked"/>
        <w:richText/>
      </w:sdtPr>
      <w:sdtContent>
        <w:p>
          <w:pPr>
            <w:ind w:firstLine="720"/>
            <w:jc w:val="both"/>
            <w:rPr>
              <w:szCs w:val="24"/>
            </w:rPr>
          </w:pPr>
          <w:r>
            <w:rPr>
              <w:szCs w:val="24"/>
            </w:rPr>
            <w:t>Vadovaudamasis Lietuvos Respublikos alkoholio kontrolės įstatymo 16 straipsnio 3 dalimi, Didmeninės ir mažmeninės prekybos alkoholio produktais licencijavimo taisyklių, patvirtintų Lietuvos Respublikos Vyriausybės 2004 m. gegužės 20 d. nutarimu Nr. 618 „Dėl didmeninės ir mažmeninės prekybos alkoholio produktais licencijavimo taisyklių ir mažmeninės prekybos alkoholiniais gėrimais prekybos ir viešojo maitinimo įmonėse taisyklių patvirtinimo“, 6 ir 24 punktais, Konkrečių valstybės rinkliavos dydžių sąrašo, patvirtinto Lietuvos Respublikos Vyriausybės 2000 m. gruodžio 15 d. nutarimu Nr. 1458 „Dėl konkrečių valstybės rinkliavos dydžių sąrašo ir valstybės rinkliavos mokėjimo ir grąžinimo taisyklių patvirtinimo“, 3.57</w:t>
          </w:r>
          <w:r>
            <w:rPr>
              <w:szCs w:val="24"/>
              <w:vertAlign w:val="superscript"/>
            </w:rPr>
            <w:t>1</w:t>
          </w:r>
          <w:r>
            <w:rPr>
              <w:szCs w:val="24"/>
            </w:rPr>
            <w:t xml:space="preserve"> papunkčiu:</w:t>
          </w:r>
        </w:p>
        <w:sdt>
          <w:sdtPr>
            <w:alias w:val="1 p."/>
            <w:tag w:val="part_418a9f202def451f98cac194b8bf52bf"/>
            <w:lock w:val="sdtLocked"/>
            <w:richText/>
          </w:sdtPr>
          <w:sdtContent>
            <w:p>
              <w:pPr>
                <w:ind w:firstLine="771"/>
                <w:jc w:val="both"/>
                <w:rPr>
                  <w:szCs w:val="24"/>
                </w:rPr>
              </w:pPr>
              <w:sdt>
                <w:sdtPr>
                  <w:alias w:val="Numeris"/>
                  <w:tag w:val="nr_418a9f202def451f98cac194b8bf52bf"/>
                  <w:lock w:val="sdtLocked"/>
                  <w:richText/>
                </w:sdtPr>
                <w:sdtContent>
                  <w:r>
                    <w:rPr>
                      <w:szCs w:val="24"/>
                    </w:rPr>
                    <w:t>1</w:t>
                  </w:r>
                </w:sdtContent>
              </w:sdt>
              <w:r>
                <w:rPr>
                  <w:szCs w:val="24"/>
                </w:rPr>
                <w:t xml:space="preserve">. I š d u o d u licenciją </w:t>
              </w:r>
              <w:r>
                <w:t>MB „Tomovi“,</w:t>
              </w:r>
              <w:r>
                <w:rPr>
                  <w:b/>
                  <w:bCs/>
                </w:rPr>
                <w:t xml:space="preserve"> </w:t>
              </w:r>
              <w:r>
                <w:t xml:space="preserve">juridinio asmens  kodas 306236170, buveinės adresas: Medininkų g. 3-11, Varniai, Telšių r. sav., </w:t>
              </w:r>
              <w:r>
                <w:rPr>
                  <w:szCs w:val="24"/>
                </w:rPr>
                <w:t xml:space="preserve">verstis mažmenine prekyba alkoholiniais gėrimais, </w:t>
              </w:r>
              <w:r>
                <w:rPr>
                  <w:color w:val="000000"/>
                  <w:szCs w:val="24"/>
                </w:rPr>
                <w:t xml:space="preserve">kurių tūrinė etilo alkoholio koncentracija neviršija 15 procentų </w:t>
              </w:r>
              <w:r>
                <w:rPr>
                  <w:szCs w:val="24"/>
                </w:rPr>
                <w:t>(toliau – Licencija)</w:t>
              </w:r>
              <w:r>
                <w:rPr>
                  <w:color w:val="000000"/>
                  <w:szCs w:val="24"/>
                </w:rPr>
                <w:t>, Savivaldybės tarybos nustatyto kurortinio, poilsio ir turizmo sezono laikotarpiu (iki 2026 m. spalio 31 d.)</w:t>
              </w:r>
              <w:r>
                <w:rPr>
                  <w:szCs w:val="24"/>
                </w:rPr>
                <w:t>, adresu: Telšių r. sav., Varniai, Lūksto ežero paplūdimio teritorijoje, maisto vagonėlyje (valstybinis Nr. RFB954). Sandėlio adresas: Vytauto g. 18, Varniai, Telšių r. sav.</w:t>
              </w:r>
            </w:p>
          </w:sdtContent>
        </w:sdt>
        <w:sdt>
          <w:sdtPr>
            <w:alias w:val="2 p."/>
            <w:tag w:val="part_bad96fdcfae54df29e1445fa17f8f85d"/>
            <w:lock w:val="sdtLocked"/>
            <w:richText/>
          </w:sdtPr>
          <w:sdtContent>
            <w:p>
              <w:pPr>
                <w:ind w:firstLine="833"/>
                <w:jc w:val="both"/>
                <w:rPr>
                  <w:szCs w:val="24"/>
                </w:rPr>
              </w:pPr>
              <w:sdt>
                <w:sdtPr>
                  <w:alias w:val="Numeris"/>
                  <w:tag w:val="nr_bad96fdcfae54df29e1445fa17f8f85d"/>
                  <w:lock w:val="sdtLocked"/>
                  <w:richText/>
                </w:sdtPr>
                <w:sdtContent>
                  <w:r>
                    <w:rPr>
                      <w:szCs w:val="24"/>
                    </w:rPr>
                    <w:t>2</w:t>
                  </w:r>
                </w:sdtContent>
              </w:sdt>
              <w:r>
                <w:rPr>
                  <w:szCs w:val="24"/>
                </w:rPr>
                <w:t xml:space="preserve">. </w:t>
              </w:r>
              <w:r>
                <w:rPr>
                  <w:szCs w:val="24"/>
                  <w:lang w:eastAsia="lt-LT"/>
                </w:rPr>
                <w:t>N u s t a t a u, kad Licencija išduodama naudojantis Licencijų informacine sistema.</w:t>
              </w:r>
            </w:p>
            <w:p>
              <w:pPr>
                <w:ind w:firstLine="851"/>
                <w:jc w:val="both"/>
                <w:rPr>
                  <w:szCs w:val="24"/>
                </w:rPr>
              </w:pPr>
              <w:r>
                <w:rPr>
                  <w:szCs w:val="24"/>
                </w:rPr>
                <w:t>Šis potvarkis per vieną mėnesį nuo jo paskelbimo dienos gali būti skundžiamas Lietuvos administracinių ginčų komisijos Šiaulių apygardos skyriui adresu: Dvaro g. 81, 76299 Šiauliai, Lietuvos Respublikos ikiteisminio administracinių ginčų nagrinėjimo tvarkos įstatymo nustatyta tvarka arba Regionų apygardos administracinio teismo Šiaulių rūmams adresu: Dvaro g. 80, 76298 Šiauliai, Lietuvos Respublikos administracinių bylų teisenos įstatymo nustatyta tvarka.</w:t>
              </w:r>
            </w:p>
            <w:p>
              <w:pPr>
                <w:jc w:val="both"/>
                <w:rPr>
                  <w:color w:val="EE0000"/>
                  <w:szCs w:val="24"/>
                </w:rPr>
              </w:pPr>
            </w:p>
            <w:p>
              <w:pPr>
                <w:jc w:val="both"/>
                <w:rPr>
                  <w:color w:val="EE0000"/>
                  <w:szCs w:val="24"/>
                </w:rPr>
              </w:pPr>
            </w:p>
            <w:p>
              <w:pPr>
                <w:rPr>
                  <w:sz w:val="22"/>
                  <w:szCs w:val="22"/>
                </w:rPr>
              </w:pPr>
            </w:p>
          </w:sdtContent>
        </w:sdt>
        <w:sdt>
          <w:sdtPr>
            <w:alias w:val="signatura"/>
            <w:tag w:val="part_b4406678261c413dab2f378e9aac80d7"/>
            <w:lock w:val="sdtLocked"/>
            <w:richText/>
          </w:sdtPr>
          <w:sdtContent>
            <w:p>
              <w:pPr>
                <w:rPr>
                  <w:color w:val="000000"/>
                  <w:szCs w:val="24"/>
                </w:rPr>
              </w:pPr>
              <w:r>
                <w:rPr>
                  <w:color w:val="000000"/>
                  <w:szCs w:val="24"/>
                </w:rPr>
                <w:t>Savivaldybės meras</w:t>
                <w:tab/>
                <w:tab/>
                <w:tab/>
                <w:tab/>
                <w:tab/>
                <w:tab/>
                <w:tab/>
                <w:tab/>
                <w:tab/>
                <w:t>Tomas Katkus</w:t>
              </w:r>
            </w:p>
            <w:p>
              <w:pPr>
                <w:rPr>
                  <w:bCs/>
                </w:rPr>
              </w:pPr>
            </w:p>
            <w:p>
              <w:pPr>
                <w:rPr>
                  <w:bCs/>
                </w:rPr>
              </w:pPr>
            </w:p>
            <w:p>
              <w:pPr>
                <w:rPr>
                  <w:bCs/>
                </w:rPr>
              </w:pPr>
            </w:p>
            <w:p>
              <w:pPr>
                <w:rPr>
                  <w:bCs/>
                </w:rPr>
              </w:pPr>
            </w:p>
            <w:p>
              <w:pPr>
                <w:rPr>
                  <w:bCs/>
                </w:rPr>
              </w:pPr>
            </w:p>
            <w:p>
              <w:pPr>
                <w:rPr>
                  <w:bCs/>
                </w:rPr>
              </w:pPr>
            </w:p>
            <w:p>
              <w:r>
                <w:t>Parengė</w:t>
              </w:r>
            </w:p>
            <w:p/>
            <w:p>
              <w:pPr>
                <w:rPr>
                  <w:i/>
                  <w:iCs/>
                </w:rPr>
              </w:pPr>
              <w:r>
                <w:rPr>
                  <w:i/>
                  <w:iCs/>
                </w:rPr>
                <w:t>(duomenys neskelbiami)</w:t>
              </w:r>
            </w:p>
            <w:p>
              <w:r>
                <w:t>2026-07-02</w:t>
              </w:r>
            </w:p>
          </w:sdtContent>
        </w:sdt>
      </w:sdtContent>
    </w:sdt>
    <w:sectPr>
      <w:type w:val="continuous"/>
      <w:pgSz w:w="11906" w:h="16838" w:code="9"/>
      <w:pgMar w:top="1134" w:right="680" w:bottom="1134" w:left="1701" w:header="0" w:footer="567" w:gutter="0"/>
      <w:cols w:space="1296"/>
      <w:formProt w:val="0"/>
      <w:titlePg/>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szCs w:val="24"/>
          <w:lang w:val="en-GB"/>
        </w:rPr>
      </w:pPr>
      <w:r>
        <w:rPr>
          <w:szCs w:val="24"/>
          <w:lang w:val="en-GB"/>
        </w:rPr>
        <w:separator/>
      </w:r>
    </w:p>
  </w:endnote>
  <w:endnote w:type="continuationSeparator" w:id="0">
    <w:p>
      <w:pPr>
        <w:rPr>
          <w:szCs w:val="24"/>
          <w:lang w:val="en-GB"/>
        </w:rPr>
      </w:pPr>
      <w:r>
        <w:rPr>
          <w:szCs w:val="24"/>
          <w:lang w:val="en-GB"/>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Arial">
    <w:panose1 w:val="020B0604020202020204"/>
    <w:charset w:val="BA"/>
    <w:family w:val="swiss"/>
    <w:pitch w:val="variable"/>
    <w:sig w:usb0="E0002AFF" w:usb1="C0007843"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rPr>
        <w:rFonts w:ascii="Arial" w:hAnsi="Arial"/>
        <w:sz w:val="22"/>
        <w:lang w:val="en-US"/>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rPr>
        <w:rFonts w:ascii="Arial" w:hAnsi="Arial"/>
        <w:sz w:val="22"/>
        <w:lang w:val="en-US"/>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rPr>
        <w:rFonts w:ascii="Arial" w:hAnsi="Arial"/>
        <w:sz w:val="22"/>
        <w:lang w:val="en-US"/>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szCs w:val="24"/>
          <w:lang w:val="en-GB"/>
        </w:rPr>
      </w:pPr>
      <w:r>
        <w:rPr>
          <w:szCs w:val="24"/>
          <w:lang w:val="en-GB"/>
        </w:rPr>
        <w:separator/>
      </w:r>
    </w:p>
  </w:footnote>
  <w:footnote w:type="continuationSeparator" w:id="0">
    <w:p>
      <w:pPr>
        <w:rPr>
          <w:szCs w:val="24"/>
          <w:lang w:val="en-GB"/>
        </w:rPr>
      </w:pPr>
      <w:r>
        <w:rPr>
          <w:szCs w:val="24"/>
          <w:lang w:val="en-GB"/>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153"/>
        <w:tab w:val="right" w:pos="8306"/>
      </w:tabs>
      <w:rPr>
        <w:rFonts w:ascii="Arial" w:hAnsi="Arial"/>
        <w:sz w:val="22"/>
        <w:lang w:val="en-US"/>
      </w:rPr>
    </w:pPr>
    <w:r>
      <w:rPr>
        <w:rFonts w:ascii="Arial" w:hAnsi="Arial"/>
        <w:sz w:val="22"/>
        <w:lang w:val="en-US"/>
      </w:rPr>
      <w:fldChar w:fldCharType="begin"/>
    </w:r>
    <w:r>
      <w:rPr>
        <w:rFonts w:ascii="Arial" w:hAnsi="Arial"/>
        <w:sz w:val="22"/>
        <w:lang w:val="en-US"/>
      </w:rPr>
      <w:instrText xml:space="preserve">PAGE  </w:instrText>
    </w:r>
    <w:r>
      <w:rPr>
        <w:rFonts w:ascii="Arial" w:hAnsi="Arial"/>
        <w:sz w:val="22"/>
        <w:lang w:val="en-US"/>
      </w:rPr>
      <w:fldChar w:fldCharType="end"/>
    </w:r>
  </w:p>
  <w:p>
    <w:pPr>
      <w:tabs>
        <w:tab w:val="center" w:pos="4153"/>
        <w:tab w:val="right" w:pos="8306"/>
      </w:tabs>
      <w:rPr>
        <w:rFonts w:ascii="Arial" w:hAnsi="Arial"/>
        <w:sz w:val="22"/>
        <w:lang w:val="en-US"/>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153"/>
        <w:tab w:val="right" w:pos="8306"/>
      </w:tabs>
      <w:rPr>
        <w:rFonts w:ascii="Arial" w:hAnsi="Arial"/>
        <w:sz w:val="22"/>
        <w:lang w:val="en-US"/>
      </w:rPr>
    </w:pPr>
    <w:r>
      <w:rPr>
        <w:rFonts w:ascii="Arial" w:hAnsi="Arial"/>
        <w:sz w:val="22"/>
        <w:lang w:val="en-US"/>
      </w:rPr>
      <w:fldChar w:fldCharType="begin"/>
    </w:r>
    <w:r>
      <w:rPr>
        <w:rFonts w:ascii="Arial" w:hAnsi="Arial"/>
        <w:sz w:val="22"/>
        <w:lang w:val="en-US"/>
      </w:rPr>
      <w:instrText xml:space="preserve">PAGE  </w:instrText>
    </w:r>
    <w:r>
      <w:rPr>
        <w:rFonts w:ascii="Arial" w:hAnsi="Arial"/>
        <w:sz w:val="22"/>
        <w:lang w:val="en-US"/>
      </w:rPr>
      <w:fldChar w:fldCharType="separate"/>
    </w:r>
    <w:r>
      <w:rPr>
        <w:rFonts w:ascii="Arial" w:hAnsi="Arial"/>
        <w:sz w:val="22"/>
        <w:lang w:val="en-US"/>
      </w:rPr>
      <w:t>2</w:t>
    </w:r>
    <w:r>
      <w:rPr>
        <w:rFonts w:ascii="Arial" w:hAnsi="Arial"/>
        <w:sz w:val="22"/>
        <w:lang w:val="en-US"/>
      </w:rPr>
      <w:fldChar w:fldCharType="end"/>
    </w:r>
  </w:p>
  <w:p>
    <w:pPr>
      <w:tabs>
        <w:tab w:val="center" w:pos="4153"/>
        <w:tab w:val="right" w:pos="8306"/>
      </w:tabs>
      <w:rPr>
        <w:rFonts w:ascii="Arial" w:hAnsi="Arial"/>
        <w:sz w:val="22"/>
        <w:lang w:val="en-US"/>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720"/>
  <w:hyphenationZone w:val="396"/>
  <w:doNotHyphenateCaps/>
  <w:noPunctuationKerning/>
  <w:characterSpacingControl w:val="doNotCompress"/>
  <w:hdrShapeDefaults>
    <o:shapedefaults v:ext="edit" spidmax="205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594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1"/>
    <o:shapelayout v:ext="edit">
      <o:idmap v:ext="edit" data="2"/>
    </o:shapelayout>
  </w:shapeDefaults>
  <w:decimalSymbol w:val="."/>
  <w:listSeparator w:val=","/>
  <w15:docId w15:val="{D702B833-9E1C-4DCF-BEA9-E99C48896DDC}"/>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51216940">
      <w:bodyDiv w:val="1"/>
      <w:marLeft w:val="0"/>
      <w:marRight w:val="0"/>
      <w:marTop w:val="0"/>
      <w:marBottom w:val="0"/>
      <w:divBdr>
        <w:top w:val="none" w:sz="0" w:space="0" w:color="auto"/>
        <w:left w:val="none" w:sz="0" w:space="0" w:color="auto"/>
        <w:bottom w:val="none" w:sz="0" w:space="0" w:color="auto"/>
        <w:right w:val="none" w:sz="0" w:space="0" w:color="auto"/>
      </w:divBdr>
    </w:div>
    <w:div w:id="408427644">
      <w:bodyDiv w:val="1"/>
      <w:marLeft w:val="0"/>
      <w:marRight w:val="0"/>
      <w:marTop w:val="0"/>
      <w:marBottom w:val="0"/>
      <w:divBdr>
        <w:top w:val="none" w:sz="0" w:space="0" w:color="auto"/>
        <w:left w:val="none" w:sz="0" w:space="0" w:color="auto"/>
        <w:bottom w:val="none" w:sz="0" w:space="0" w:color="auto"/>
        <w:right w:val="none" w:sz="0" w:space="0" w:color="auto"/>
      </w:divBdr>
    </w:div>
    <w:div w:id="630985995">
      <w:bodyDiv w:val="1"/>
      <w:marLeft w:val="0"/>
      <w:marRight w:val="0"/>
      <w:marTop w:val="0"/>
      <w:marBottom w:val="0"/>
      <w:divBdr>
        <w:top w:val="none" w:sz="0" w:space="0" w:color="auto"/>
        <w:left w:val="none" w:sz="0" w:space="0" w:color="auto"/>
        <w:bottom w:val="none" w:sz="0" w:space="0" w:color="auto"/>
        <w:right w:val="none" w:sz="0" w:space="0" w:color="auto"/>
      </w:divBdr>
    </w:div>
    <w:div w:id="1054427858">
      <w:bodyDiv w:val="1"/>
      <w:marLeft w:val="0"/>
      <w:marRight w:val="0"/>
      <w:marTop w:val="0"/>
      <w:marBottom w:val="0"/>
      <w:divBdr>
        <w:top w:val="none" w:sz="0" w:space="0" w:color="auto"/>
        <w:left w:val="none" w:sz="0" w:space="0" w:color="auto"/>
        <w:bottom w:val="none" w:sz="0" w:space="0" w:color="auto"/>
        <w:right w:val="none" w:sz="0" w:space="0" w:color="auto"/>
      </w:divBdr>
    </w:div>
    <w:div w:id="1144850511">
      <w:bodyDiv w:val="1"/>
      <w:marLeft w:val="0"/>
      <w:marRight w:val="0"/>
      <w:marTop w:val="0"/>
      <w:marBottom w:val="0"/>
      <w:divBdr>
        <w:top w:val="none" w:sz="0" w:space="0" w:color="auto"/>
        <w:left w:val="none" w:sz="0" w:space="0" w:color="auto"/>
        <w:bottom w:val="none" w:sz="0" w:space="0" w:color="auto"/>
        <w:right w:val="none" w:sz="0" w:space="0" w:color="auto"/>
      </w:divBdr>
    </w:div>
    <w:div w:id="1307198295">
      <w:bodyDiv w:val="1"/>
      <w:marLeft w:val="0"/>
      <w:marRight w:val="0"/>
      <w:marTop w:val="0"/>
      <w:marBottom w:val="0"/>
      <w:divBdr>
        <w:top w:val="none" w:sz="0" w:space="0" w:color="auto"/>
        <w:left w:val="none" w:sz="0" w:space="0" w:color="auto"/>
        <w:bottom w:val="none" w:sz="0" w:space="0" w:color="auto"/>
        <w:right w:val="none" w:sz="0" w:space="0" w:color="auto"/>
      </w:divBdr>
    </w:div>
    <w:div w:id="1325822288">
      <w:bodyDiv w:val="1"/>
      <w:marLeft w:val="0"/>
      <w:marRight w:val="0"/>
      <w:marTop w:val="0"/>
      <w:marBottom w:val="0"/>
      <w:divBdr>
        <w:top w:val="none" w:sz="0" w:space="0" w:color="auto"/>
        <w:left w:val="none" w:sz="0" w:space="0" w:color="auto"/>
        <w:bottom w:val="none" w:sz="0" w:space="0" w:color="auto"/>
        <w:right w:val="none" w:sz="0" w:space="0" w:color="auto"/>
      </w:divBdr>
    </w:div>
    <w:div w:id="1830711843">
      <w:bodyDiv w:val="1"/>
      <w:marLeft w:val="0"/>
      <w:marRight w:val="0"/>
      <w:marTop w:val="0"/>
      <w:marBottom w:val="0"/>
      <w:divBdr>
        <w:top w:val="none" w:sz="0" w:space="0" w:color="auto"/>
        <w:left w:val="none" w:sz="0" w:space="0" w:color="auto"/>
        <w:bottom w:val="none" w:sz="0" w:space="0" w:color="auto"/>
        <w:right w:val="none" w:sz="0" w:space="0" w:color="auto"/>
      </w:divBdr>
      <w:divsChild>
        <w:div w:id="1224096415">
          <w:marLeft w:val="0"/>
          <w:marRight w:val="0"/>
          <w:marTop w:val="0"/>
          <w:marBottom w:val="0"/>
          <w:divBdr>
            <w:top w:val="none" w:sz="0" w:space="0" w:color="auto"/>
            <w:left w:val="none" w:sz="0" w:space="0" w:color="auto"/>
            <w:bottom w:val="none" w:sz="0" w:space="0" w:color="auto"/>
            <w:right w:val="none" w:sz="0" w:space="0" w:color="auto"/>
          </w:divBdr>
          <w:divsChild>
            <w:div w:id="338627506">
              <w:marLeft w:val="0"/>
              <w:marRight w:val="0"/>
              <w:marTop w:val="0"/>
              <w:marBottom w:val="0"/>
              <w:divBdr>
                <w:top w:val="none" w:sz="0" w:space="0" w:color="auto"/>
                <w:left w:val="none" w:sz="0" w:space="0" w:color="auto"/>
                <w:bottom w:val="none" w:sz="0" w:space="0" w:color="auto"/>
                <w:right w:val="none" w:sz="0" w:space="0" w:color="auto"/>
              </w:divBdr>
              <w:divsChild>
                <w:div w:id="12360176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061441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2.xml"/>
  <Relationship Id="rId11" Type="http://schemas.openxmlformats.org/officeDocument/2006/relationships/footer" Target="footer1.xml"/>
  <Relationship Id="rId12" Type="http://schemas.openxmlformats.org/officeDocument/2006/relationships/footer" Target="footer2.xml"/>
  <Relationship Id="rId13" Type="http://schemas.openxmlformats.org/officeDocument/2006/relationships/header" Target="header3.xml"/>
  <Relationship Id="rId14" Type="http://schemas.openxmlformats.org/officeDocument/2006/relationships/footer" Target="footer3.xml"/>
  <Relationship Id="rId15" Type="http://schemas.openxmlformats.org/officeDocument/2006/relationships/fontTable" Target="fontTable.xml"/>
  <Relationship Id="rId16" Type="http://schemas.openxmlformats.org/officeDocument/2006/relationships/theme" Target="theme/theme1.xml"/>
  <Relationship Id="rId17"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image" Target="media/image1.png"/>
  <Relationship Id="rId8" Type="http://schemas.openxmlformats.org/officeDocument/2006/relationships/oleObject" Target="embeddings/oleObject1.bin"/>
  <Relationship Id="rId9" Type="http://schemas.openxmlformats.org/officeDocument/2006/relationships/header" Target="header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lentele" DocPartId="d8a795d06f8f442f883be80889776195" PartId="452f7801f52a4b58962540f7112c6df0"/>
  <Part Type="pastraipa" DocPartId="2d52a4a5427243f2832eea77be3529ab" PartId="f9b51cf01ec74e78aba4d8ce7a3fd819">
    <Part Type="punktas" Nr="1" Abbr="1 p." DocPartId="d3a3e0a951104a1d977d29e4cb0d92ec" PartId="418a9f202def451f98cac194b8bf52bf"/>
    <Part Type="punktas" Nr="2" Abbr="2 p." DocPartId="da589a73c7ea4071868d6e05acfcb251" PartId="bad96fdcfae54df29e1445fa17f8f85d"/>
    <Part Type="signatura" DocPartId="7ba7a33a0ce54782ad88e527832d56c8" PartId="b4406678261c413dab2f378e9aac80d7"/>
  </Part>
</Parts>
</file>

<file path=customXml/itemProps1.xml><?xml version="1.0" encoding="utf-8"?>
<ds:datastoreItem xmlns:ds="http://schemas.openxmlformats.org/officeDocument/2006/customXml" ds:itemID="{D7AD1A3D-1E94-47C4-95D9-479056560478}">
  <ds:schemaRefs>
    <ds:schemaRef ds:uri="http://schemas.openxmlformats.org/officeDocument/2006/bibliography"/>
  </ds:schemaRefs>
</ds:datastoreItem>
</file>

<file path=customXml/itemProps2.xml><?xml version="1.0" encoding="utf-8"?>
<ds:datastoreItem xmlns:ds="http://schemas.openxmlformats.org/officeDocument/2006/customXml" ds:itemID="{6233A7AE-D4E6-4D2C-818C-0549E3CACC4E}">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291</Words>
  <Characters>1975</Characters>
  <Application>Microsoft Office Word</Application>
  <DocSecurity>4</DocSecurity>
  <Lines>54</Lines>
  <Paragraphs>17</Paragraphs>
  <ScaleCrop>false</ScaleCrop>
  <HeadingPairs>
    <vt:vector size="2" baseType="variant">
      <vt:variant>
        <vt:lpstr>Pavadinimas</vt:lpstr>
      </vt:variant>
      <vt:variant>
        <vt:i4>1</vt:i4>
      </vt:variant>
    </vt:vector>
  </HeadingPairs>
  <TitlesOfParts>
    <vt:vector size="1" baseType="lpstr">
      <vt:lpstr>PROJEKTAS</vt:lpstr>
    </vt:vector>
  </TitlesOfParts>
  <Company>Telšių rajono savivaldybė</Company>
  <LinksUpToDate>false</LinksUpToDate>
  <CharactersWithSpaces>2249</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2026-07-09T10:45:00Z</dcterms:created>
  <dc:creator>vartotojas</dc:creator>
  <lastModifiedBy>adlibuser</lastModifiedBy>
  <lastPrinted>2025-11-21T11:52:00Z</lastPrinted>
  <dcterms:modified xsi:type="dcterms:W3CDTF">2026-07-09T10:45:00Z</dcterms:modified>
  <revision>2</revision>
  <dc:title>PROJEKTAS</dc:title>
</coreProperties>
</file>