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ef4c6200714f04a51b07487c2895fb"/>
        <w:id w:val="994610776"/>
        <w:lock w:val="sdtLocked"/>
      </w:sdtPr>
      <w:sdtEndPr/>
      <w:sdtContent>
        <w:p w:rsidR="00501D26" w:rsidRDefault="00AD58FA">
          <w:pPr>
            <w:jc w:val="center"/>
            <w:rPr>
              <w:sz w:val="14"/>
              <w:szCs w:val="14"/>
            </w:rPr>
          </w:pPr>
          <w:r>
            <w:rPr>
              <w:noProof/>
              <w:sz w:val="14"/>
              <w:szCs w:val="14"/>
              <w:lang w:eastAsia="lt-LT"/>
            </w:rPr>
            <w:drawing>
              <wp:inline distT="0" distB="0" distL="0" distR="0" wp14:anchorId="16EBA6A1" wp14:editId="30E4FB3C">
                <wp:extent cx="542290" cy="597535"/>
                <wp:effectExtent l="0" t="0" r="0" b="0"/>
                <wp:docPr id="947784491" name="Picture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784491" name="Picture 1" descr="A black and white logo  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501D26" w:rsidRDefault="00501D26">
          <w:pPr>
            <w:jc w:val="center"/>
            <w:rPr>
              <w:b/>
              <w:caps/>
              <w:szCs w:val="24"/>
            </w:rPr>
          </w:pPr>
        </w:p>
        <w:p w:rsidR="00501D26" w:rsidRDefault="00AD58FA">
          <w:pPr>
            <w:jc w:val="center"/>
            <w:rPr>
              <w:b/>
              <w:caps/>
              <w:szCs w:val="24"/>
            </w:rPr>
          </w:pPr>
          <w:r>
            <w:rPr>
              <w:b/>
              <w:caps/>
              <w:szCs w:val="24"/>
            </w:rPr>
            <w:t>LIETUVOS RESPUBLIKOS ENERGETIKOS MINISTRAS</w:t>
          </w:r>
        </w:p>
        <w:p w:rsidR="00501D26" w:rsidRDefault="00501D26">
          <w:pPr>
            <w:jc w:val="center"/>
            <w:rPr>
              <w:b/>
              <w:caps/>
              <w:szCs w:val="24"/>
            </w:rPr>
          </w:pPr>
        </w:p>
        <w:p w:rsidR="00501D26" w:rsidRDefault="00AD58FA">
          <w:pPr>
            <w:jc w:val="center"/>
            <w:rPr>
              <w:b/>
              <w:caps/>
              <w:szCs w:val="24"/>
            </w:rPr>
          </w:pPr>
          <w:r>
            <w:rPr>
              <w:b/>
              <w:caps/>
              <w:szCs w:val="24"/>
            </w:rPr>
            <w:t>ĮSAKYMAS</w:t>
          </w:r>
        </w:p>
        <w:p w:rsidR="00501D26" w:rsidRDefault="00AD58FA">
          <w:pPr>
            <w:jc w:val="center"/>
            <w:rPr>
              <w:b/>
              <w:bCs/>
              <w:caps/>
              <w:szCs w:val="24"/>
            </w:rPr>
          </w:pPr>
          <w:r>
            <w:rPr>
              <w:b/>
              <w:bCs/>
              <w:caps/>
              <w:szCs w:val="24"/>
            </w:rPr>
            <w:t>DĖL ENERGETIKOS MINISTRO 2023 M. GRUODŽIO 22 D. ĮSAKYMO NR. 1-390 „DĖL ENERGETIKOS MINISTERIJOS ENERGETIKOS PLĖTROS PROGRAMOS PAŽANGOS PRIEMONĖS NR. 03-001-06-03-02 „DIDINTI ATSINAUJINANČIŲ ENERGIJOS</w:t>
          </w:r>
          <w:r>
            <w:rPr>
              <w:b/>
              <w:bCs/>
              <w:caps/>
              <w:szCs w:val="24"/>
            </w:rPr>
            <w:t xml:space="preserve"> IŠTEKLIŲ DALĮ, UŽTIKRINANT ATSINAUJINANČIŲ IŠTEKLIŲ INTEGRACIJĄ Į ELEKTROS TINKLUS“ VEIKLOS NR. 11 „PRIVAČIŲ IR VIEŠŲJŲ JURIDINIŲ ASMENŲ INVESTICIJOS Į ELEKTROS ENERGIJOS IŠ AEI GAMYBOS ĮRENGINIUS“ VALSTYBĖS PAGALBOS TEIKIMO SCHEMOS PATVIRTINIMO“ PAKEITIM</w:t>
          </w:r>
          <w:r>
            <w:rPr>
              <w:b/>
              <w:bCs/>
              <w:caps/>
              <w:szCs w:val="24"/>
            </w:rPr>
            <w:t>O</w:t>
          </w:r>
        </w:p>
        <w:p w:rsidR="00501D26" w:rsidRDefault="00501D26">
          <w:pPr>
            <w:jc w:val="center"/>
            <w:rPr>
              <w:szCs w:val="24"/>
            </w:rPr>
          </w:pPr>
        </w:p>
        <w:p w:rsidR="00501D26" w:rsidRDefault="00AD58FA">
          <w:pPr>
            <w:jc w:val="center"/>
            <w:rPr>
              <w:color w:val="000000"/>
            </w:rPr>
          </w:pPr>
          <w:r>
            <w:rPr>
              <w:color w:val="000000"/>
            </w:rPr>
            <w:t>2025 m. sausio 24 d. Nr. 1-19</w:t>
          </w:r>
        </w:p>
        <w:p w:rsidR="00501D26" w:rsidRDefault="00AD58FA">
          <w:pPr>
            <w:jc w:val="center"/>
            <w:rPr>
              <w:szCs w:val="24"/>
            </w:rPr>
          </w:pPr>
          <w:r>
            <w:rPr>
              <w:szCs w:val="24"/>
            </w:rPr>
            <w:t>Vilnius</w:t>
          </w:r>
        </w:p>
        <w:p w:rsidR="00501D26" w:rsidRDefault="00501D26">
          <w:pPr>
            <w:rPr>
              <w:szCs w:val="24"/>
            </w:rPr>
          </w:pPr>
        </w:p>
        <w:sdt>
          <w:sdtPr>
            <w:alias w:val="1 p."/>
            <w:tag w:val="part_88ddb0c6de41469fb677b32104b133ff"/>
            <w:id w:val="1866706487"/>
            <w:lock w:val="sdtLocked"/>
          </w:sdtPr>
          <w:sdtEndPr/>
          <w:sdtContent>
            <w:p w:rsidR="00501D26" w:rsidRDefault="00AD58FA">
              <w:pPr>
                <w:ind w:firstLine="720"/>
                <w:jc w:val="both"/>
                <w:rPr>
                  <w:szCs w:val="24"/>
                </w:rPr>
              </w:pPr>
              <w:sdt>
                <w:sdtPr>
                  <w:alias w:val="Numeris"/>
                  <w:tag w:val="nr_88ddb0c6de41469fb677b32104b133ff"/>
                  <w:id w:val="491378965"/>
                  <w:lock w:val="sdtLocked"/>
                </w:sdtPr>
                <w:sdtEndPr/>
                <w:sdtContent>
                  <w:r>
                    <w:rPr>
                      <w:szCs w:val="24"/>
                    </w:rPr>
                    <w:t>1</w:t>
                  </w:r>
                </w:sdtContent>
              </w:sdt>
              <w:r>
                <w:rPr>
                  <w:szCs w:val="24"/>
                </w:rPr>
                <w:t>.</w:t>
              </w:r>
              <w:r>
                <w:rPr>
                  <w:szCs w:val="24"/>
                </w:rPr>
                <w:tab/>
              </w:r>
              <w:r>
                <w:rPr>
                  <w:spacing w:val="60"/>
                  <w:szCs w:val="24"/>
                </w:rPr>
                <w:t>Pakeičiu</w:t>
              </w:r>
              <w:r>
                <w:rPr>
                  <w:szCs w:val="24"/>
                </w:rPr>
                <w:t xml:space="preserve"> Energetikos ministerijos Energetikos plėtros programos pažangos priemonės Nr. 03-001-06-03-02 „Didinti atsinaujinančių energijos išteklių dalį, užtikrinant atsinaujinančių išteklių integraciją į elekt</w:t>
              </w:r>
              <w:r>
                <w:rPr>
                  <w:szCs w:val="24"/>
                </w:rPr>
                <w:t>ros tinklus“ veiklos Nr. 11 „Privačių ir viešųjų juridinių asmenų investicijos į elektros energijos iš AEI gamybos įrenginius“ valstybės pagalbos teikimo schemą, patvirtintą Lietuvos Respublikos energetikos ministro 2023 m. gruodžio 22 d. įsakymu Nr. 1-390</w:t>
              </w:r>
              <w:r>
                <w:rPr>
                  <w:szCs w:val="24"/>
                </w:rPr>
                <w:t xml:space="preserve"> „Dėl Energetikos ministerijos Energetikos plėtros programos pažangos priemonės Nr. 03-001-06-03-02 „Didinti atsinaujinančių energijos išteklių dalį, užtikrinant atsinaujinančių išteklių integraciją į elektros tinklus“ veiklos Nr. 11 „Privačių ir viešųjų j</w:t>
              </w:r>
              <w:r>
                <w:rPr>
                  <w:szCs w:val="24"/>
                </w:rPr>
                <w:t xml:space="preserve">uridinių asmenų investicijos į elektros energijos iš AEI gamybos įrenginius“ valstybės pagalbos schemos patvirtinimo“, ir ją išdėstau nauja redakcija (pridedama). </w:t>
              </w:r>
            </w:p>
          </w:sdtContent>
        </w:sdt>
        <w:sdt>
          <w:sdtPr>
            <w:alias w:val="2 p."/>
            <w:tag w:val="part_2b085257ebfd4ded8cb41a06be42cd4b"/>
            <w:id w:val="1980030512"/>
            <w:lock w:val="sdtLocked"/>
          </w:sdtPr>
          <w:sdtEndPr/>
          <w:sdtContent>
            <w:p w:rsidR="00501D26" w:rsidRDefault="00AD58FA">
              <w:pPr>
                <w:ind w:firstLine="720"/>
                <w:jc w:val="both"/>
                <w:rPr>
                  <w:szCs w:val="24"/>
                </w:rPr>
              </w:pPr>
              <w:sdt>
                <w:sdtPr>
                  <w:alias w:val="Numeris"/>
                  <w:tag w:val="nr_2b085257ebfd4ded8cb41a06be42cd4b"/>
                  <w:id w:val="-450934364"/>
                  <w:lock w:val="sdtLocked"/>
                </w:sdtPr>
                <w:sdtEndPr/>
                <w:sdtContent>
                  <w:r>
                    <w:rPr>
                      <w:szCs w:val="24"/>
                    </w:rPr>
                    <w:t>2</w:t>
                  </w:r>
                </w:sdtContent>
              </w:sdt>
              <w:r>
                <w:rPr>
                  <w:szCs w:val="24"/>
                </w:rPr>
                <w:t>.</w:t>
              </w:r>
              <w:r>
                <w:rPr>
                  <w:szCs w:val="24"/>
                </w:rPr>
                <w:tab/>
                <w:t>N u s t a t a u, kad šiuo įsakymu nauja redakcija patvirtinta valstybės pagalbos sche</w:t>
              </w:r>
              <w:r>
                <w:rPr>
                  <w:szCs w:val="24"/>
                </w:rPr>
                <w:t>ma taikoma UAB ILTE (toliau – ILTE) vertinant paskolų gavėjų iki šio įsakymo įsigaliojimo dienos pateiktas paraiškas tuo atveju, jei ILTE sprendimai suteikti paskolą pagal pateiktas paraiškas iki šio įsakymo įsigaliojimo nebuvo priimti.</w:t>
              </w:r>
            </w:p>
            <w:p w:rsidR="00501D26" w:rsidRDefault="00501D26">
              <w:pPr>
                <w:tabs>
                  <w:tab w:val="left" w:pos="6804"/>
                </w:tabs>
                <w:jc w:val="both"/>
              </w:pPr>
            </w:p>
            <w:p w:rsidR="00501D26" w:rsidRDefault="00501D26">
              <w:pPr>
                <w:tabs>
                  <w:tab w:val="left" w:pos="6804"/>
                </w:tabs>
                <w:jc w:val="both"/>
              </w:pPr>
            </w:p>
            <w:p w:rsidR="00501D26" w:rsidRDefault="00AD58FA">
              <w:pPr>
                <w:tabs>
                  <w:tab w:val="left" w:pos="6804"/>
                </w:tabs>
                <w:jc w:val="both"/>
              </w:pPr>
            </w:p>
          </w:sdtContent>
        </w:sdt>
        <w:sdt>
          <w:sdtPr>
            <w:alias w:val="signatura"/>
            <w:tag w:val="part_5353b6ba6f6d4b7eb51b8ce60bc4823f"/>
            <w:id w:val="1362865141"/>
            <w:lock w:val="sdtLocked"/>
          </w:sdtPr>
          <w:sdtEndPr/>
          <w:sdtContent>
            <w:p w:rsidR="00501D26" w:rsidRDefault="00AD58FA" w:rsidP="00AD58FA">
              <w:pPr>
                <w:tabs>
                  <w:tab w:val="left" w:pos="7371"/>
                </w:tabs>
                <w:jc w:val="both"/>
              </w:pPr>
              <w:r>
                <w:rPr>
                  <w:szCs w:val="24"/>
                  <w:lang w:eastAsia="lt-LT"/>
                </w:rPr>
                <w:t>Energetikos mi</w:t>
              </w:r>
              <w:r>
                <w:rPr>
                  <w:szCs w:val="24"/>
                  <w:lang w:eastAsia="lt-LT"/>
                </w:rPr>
                <w:t>nistras</w:t>
              </w:r>
              <w:r>
                <w:rPr>
                  <w:szCs w:val="24"/>
                  <w:lang w:eastAsia="lt-LT"/>
                </w:rPr>
                <w:tab/>
                <w:t>Žygimantas Vaičiūnas</w:t>
              </w:r>
            </w:p>
          </w:sdtContent>
        </w:sdt>
      </w:sdtContent>
    </w:sdt>
    <w:sdt>
      <w:sdtPr>
        <w:alias w:val="patvirtinta"/>
        <w:tag w:val="part_4ec46d5854d24c41a7459ab4de3ee2ac"/>
        <w:id w:val="-88934295"/>
        <w:lock w:val="sdtLocked"/>
      </w:sdtPr>
      <w:sdtEndPr/>
      <w:sdtContent>
        <w:p w:rsidR="00AD58FA" w:rsidRDefault="00AD58FA">
          <w:pPr>
            <w:keepLines/>
            <w:tabs>
              <w:tab w:val="left" w:pos="1304"/>
              <w:tab w:val="left" w:pos="1457"/>
              <w:tab w:val="left" w:pos="1604"/>
              <w:tab w:val="left" w:pos="1757"/>
            </w:tabs>
            <w:suppressAutoHyphens/>
            <w:ind w:left="5103"/>
            <w:textAlignment w:val="center"/>
            <w:sectPr w:rsidR="00AD58FA">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docGrid w:linePitch="360"/>
            </w:sectPr>
          </w:pPr>
        </w:p>
        <w:p w:rsidR="00501D26" w:rsidRDefault="00AD58FA">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rsidR="00501D26" w:rsidRDefault="00AD58FA">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rsidR="00501D26" w:rsidRDefault="00AD58FA">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rsidR="00501D26" w:rsidRDefault="00AD58FA">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rsidR="00501D26" w:rsidRDefault="00AD58FA">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rsidR="00501D26" w:rsidRDefault="00AD58FA">
          <w:pPr>
            <w:keepLines/>
            <w:tabs>
              <w:tab w:val="left" w:pos="1304"/>
              <w:tab w:val="left" w:pos="1457"/>
              <w:tab w:val="left" w:pos="1604"/>
              <w:tab w:val="left" w:pos="1757"/>
            </w:tabs>
            <w:suppressAutoHyphens/>
            <w:ind w:left="5103"/>
            <w:textAlignment w:val="center"/>
            <w:rPr>
              <w:color w:val="000000"/>
            </w:rPr>
          </w:pPr>
          <w:r>
            <w:rPr>
              <w:color w:val="000000"/>
            </w:rPr>
            <w:t>redakcija)</w:t>
          </w:r>
        </w:p>
        <w:p w:rsidR="00501D26" w:rsidRDefault="00501D26">
          <w:pPr>
            <w:suppressAutoHyphens/>
            <w:jc w:val="center"/>
            <w:textAlignment w:val="center"/>
            <w:rPr>
              <w:b/>
              <w:bCs/>
              <w:szCs w:val="24"/>
            </w:rPr>
          </w:pPr>
        </w:p>
        <w:p w:rsidR="00501D26" w:rsidRDefault="00AD58FA">
          <w:pPr>
            <w:suppressAutoHyphens/>
            <w:jc w:val="center"/>
            <w:textAlignment w:val="center"/>
            <w:rPr>
              <w:b/>
              <w:bCs/>
              <w:szCs w:val="24"/>
            </w:rPr>
          </w:pPr>
          <w:sdt>
            <w:sdtPr>
              <w:alias w:val="Pavadinimas"/>
              <w:tag w:val="title_4ec46d5854d24c41a7459ab4de3ee2ac"/>
              <w:id w:val="726728060"/>
              <w:lock w:val="sdtLocked"/>
            </w:sdtPr>
            <w:sdtEndPr/>
            <w:sdtContent>
              <w:r>
                <w:rPr>
                  <w:b/>
                  <w:bCs/>
                  <w:szCs w:val="24"/>
                </w:rPr>
                <w:t xml:space="preserve">ENERGETIKOS MINISTERIJOS </w:t>
              </w:r>
              <w:r>
                <w:rPr>
                  <w:b/>
                  <w:bCs/>
                  <w:szCs w:val="24"/>
                </w:rPr>
                <w:t xml:space="preserve">ENERGETIKOS PLĖTROS PROGRAMOS PAŽANGOS PRIEMONĖS NR. 03-001-06-03-02 „DIDINTI ATSINAUJINANČIŲ ENERGIJOS IŠTEKLIŲ DALĮ, UŽTIKRINANT ATSINAUJINANČIŲ IŠTEKLIŲ INTEGRACIJĄ Į ELEKTROS TINKLUS“ VEIKLOS NR. 11 „PRIVAČIŲ IR VIEŠŲJŲ JURIDINIŲ ASMENŲ INVESTICIJOS Į </w:t>
              </w:r>
              <w:r>
                <w:rPr>
                  <w:b/>
                  <w:bCs/>
                  <w:szCs w:val="24"/>
                </w:rPr>
                <w:t>ELEKTROS ENERGIJOS IŠ AEI GAMYBOS ĮRENGINIUS“ VALSTYBĖS PAGALBOS TEIKIMO SCHEMA</w:t>
              </w:r>
            </w:sdtContent>
          </w:sdt>
        </w:p>
        <w:p w:rsidR="00501D26" w:rsidRDefault="00501D26">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b/>
                    <w:bCs/>
                    <w:color w:val="000000"/>
                    <w:szCs w:val="24"/>
                    <w:lang w:eastAsia="lt-LT"/>
                  </w:rPr>
                </w:pPr>
                <w:r>
                  <w:rPr>
                    <w:b/>
                    <w:bCs/>
                    <w:color w:val="000000"/>
                    <w:szCs w:val="24"/>
                    <w:lang w:eastAsia="lt-LT"/>
                  </w:rPr>
                  <w:t xml:space="preserve">Eil. </w:t>
                </w:r>
              </w:p>
              <w:p w:rsidR="00501D26" w:rsidRDefault="00AD58FA">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textAlignment w:val="center"/>
                  <w:rPr>
                    <w:b/>
                    <w:bCs/>
                    <w:color w:val="000000"/>
                    <w:szCs w:val="24"/>
                    <w:lang w:eastAsia="lt-LT"/>
                  </w:rPr>
                </w:pPr>
                <w:r>
                  <w:rPr>
                    <w:b/>
                    <w:bCs/>
                    <w:color w:val="000000"/>
                    <w:szCs w:val="24"/>
                    <w:lang w:eastAsia="lt-LT"/>
                  </w:rPr>
                  <w:t>Pagrindiniai</w:t>
                </w:r>
              </w:p>
              <w:p w:rsidR="00501D26" w:rsidRDefault="00AD58FA">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b/>
                    <w:bCs/>
                    <w:color w:val="000000"/>
                    <w:szCs w:val="24"/>
                    <w:lang w:eastAsia="lt-LT"/>
                  </w:rPr>
                </w:pPr>
                <w:r>
                  <w:rPr>
                    <w:b/>
                    <w:bCs/>
                    <w:color w:val="000000"/>
                    <w:szCs w:val="24"/>
                    <w:lang w:eastAsia="lt-LT"/>
                  </w:rPr>
                  <w:t>Paaiškinimas</w:t>
                </w:r>
              </w:p>
            </w:tc>
          </w:tr>
          <w:tr w:rsidR="00501D26">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w:t>
                </w:r>
                <w:r>
                  <w:rPr>
                    <w:color w:val="000000"/>
                    <w:lang w:eastAsia="lt-LT"/>
                  </w:rPr>
                  <w:t xml:space="preserve"> Reglamentas (ES) Nr. 651/2014). Teikiant pagalbą pagal Reglamento (ES) Nr. 651/2014 41 straipsnį turi būti užtikrinta atitiktis minėto straipsnio 1 daliai (investicinė pagalba teikiama atsinaujinančiųjų išteklių energijos iš atsinaujinančiųjų energijos iš</w:t>
                </w:r>
                <w:r>
                  <w:rPr>
                    <w:color w:val="000000"/>
                    <w:lang w:eastAsia="lt-LT"/>
                  </w:rPr>
                  <w:t>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w:t>
                </w:r>
                <w:proofErr w:type="spellStart"/>
                <w:r>
                  <w:rPr>
                    <w:color w:val="000000"/>
                    <w:lang w:eastAsia="lt-LT"/>
                  </w:rPr>
                  <w:t>intensyvumų</w:t>
                </w:r>
                <w:proofErr w:type="spellEnd"/>
                <w:r>
                  <w:rPr>
                    <w:color w:val="000000"/>
                    <w:lang w:eastAsia="lt-LT"/>
                  </w:rPr>
                  <w:t xml:space="preserve"> ir laikomasi visų Reglamento (ES) N</w:t>
                </w:r>
                <w:r>
                  <w:rPr>
                    <w:color w:val="000000"/>
                    <w:lang w:eastAsia="lt-LT"/>
                  </w:rPr>
                  <w:t xml:space="preserve">r. </w:t>
                </w:r>
                <w:r>
                  <w:rPr>
                    <w:color w:val="000000"/>
                    <w:lang w:val="en-US" w:eastAsia="lt-LT"/>
                  </w:rPr>
                  <w:t>651/</w:t>
                </w:r>
                <w:proofErr w:type="gramStart"/>
                <w:r>
                  <w:rPr>
                    <w:color w:val="000000"/>
                    <w:lang w:eastAsia="lt-LT"/>
                  </w:rPr>
                  <w:t>2014 I</w:t>
                </w:r>
                <w:proofErr w:type="gramEnd"/>
                <w:r>
                  <w:rPr>
                    <w:color w:val="000000"/>
                    <w:lang w:eastAsia="lt-LT"/>
                  </w:rPr>
                  <w:t xml:space="preserve"> skyriaus reikalavimų. </w:t>
                </w:r>
              </w:p>
              <w:p w:rsidR="00501D26" w:rsidRDefault="00501D26">
                <w:pPr>
                  <w:suppressAutoHyphens/>
                  <w:jc w:val="both"/>
                  <w:textAlignment w:val="center"/>
                  <w:rPr>
                    <w:color w:val="000000"/>
                    <w:lang w:eastAsia="lt-LT"/>
                  </w:rPr>
                </w:pPr>
              </w:p>
              <w:p w:rsidR="00501D26" w:rsidRDefault="00AD58FA">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rsidR="00501D26" w:rsidRDefault="00AD58FA">
                <w:pPr>
                  <w:jc w:val="both"/>
                  <w:rPr>
                    <w:szCs w:val="24"/>
                  </w:rPr>
                </w:pPr>
                <w:r>
                  <w:rPr>
                    <w:szCs w:val="24"/>
                  </w:rPr>
                  <w:t xml:space="preserve">1.3. 2021 m. liepos 26 d. Europos Sąjungos Tarybos patvirtintas </w:t>
                </w:r>
                <w:r>
                  <w:rPr>
                    <w:szCs w:val="24"/>
                  </w:rPr>
                  <w:t>Ekonomikos gaivinimo ir atsparumo didinimo planas „Naujos kartos Lietuva“ su visais pakeitimais.</w:t>
                </w:r>
              </w:p>
              <w:p w:rsidR="00501D26" w:rsidRDefault="00AD58FA">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w:t>
                </w:r>
                <w:r>
                  <w:t>mikos gaivinimo ir atsparumo didinimo plano „Naujos kartos Lietuva“ įgyvendinimo“.</w:t>
                </w:r>
              </w:p>
            </w:tc>
          </w:tr>
          <w:tr w:rsidR="00501D26">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2.</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suppressAutoHyphens/>
                  <w:ind w:firstLine="62"/>
                  <w:jc w:val="both"/>
                  <w:textAlignment w:val="center"/>
                  <w:rPr>
                    <w:strike/>
                    <w:color w:val="000000"/>
                    <w:lang w:eastAsia="lt-LT"/>
                  </w:rPr>
                </w:pPr>
                <w:r>
                  <w:rPr>
                    <w:color w:val="000000"/>
                    <w:lang w:eastAsia="lt-LT"/>
                  </w:rPr>
                  <w:t xml:space="preserve">2.1. Iki 549 130 737 (penki šimtai keturiasdešimt devyni milijonai šimtas trisdešimt tūkstančių septyni šimtai trisdešimt septyni) eurų </w:t>
                </w:r>
                <w:proofErr w:type="spellStart"/>
                <w:r>
                  <w:rPr>
                    <w:color w:val="000000"/>
                    <w:lang w:eastAsia="lt-LT"/>
                  </w:rPr>
                  <w:t>REPowerEU</w:t>
                </w:r>
                <w:proofErr w:type="spellEnd"/>
                <w:r>
                  <w:rPr>
                    <w:color w:val="000000"/>
                    <w:lang w:eastAsia="lt-LT"/>
                  </w:rPr>
                  <w:t xml:space="preserve"> lėšų ir iki 22 562 000 </w:t>
                </w:r>
                <w:r>
                  <w:rPr>
                    <w:color w:val="000000"/>
                    <w:lang w:eastAsia="lt-LT"/>
                  </w:rPr>
                  <w:t>(dvidešimt du milijonai penki šimtai šešiasdešimt du tūkstančiai) eurų Lietuvos Respublikos valstybės biudžeto lėšų.</w:t>
                </w:r>
              </w:p>
              <w:p w:rsidR="00501D26" w:rsidRDefault="00AD58FA">
                <w:pPr>
                  <w:suppressAutoHyphens/>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w:t>
                </w:r>
                <w:r>
                  <w:rPr>
                    <w:color w:val="000000"/>
                    <w:lang w:eastAsia="lt-LT"/>
                  </w:rPr>
                  <w:t>amento (ES) Nr. 651/2014 1 straipsnio 2 dalies a punkte nustatytų ribų.</w:t>
                </w:r>
              </w:p>
              <w:p w:rsidR="00501D26" w:rsidRDefault="00AD58FA">
                <w:pPr>
                  <w:suppressAutoHyphens/>
                  <w:jc w:val="both"/>
                  <w:textAlignment w:val="center"/>
                  <w:rPr>
                    <w:color w:val="000000"/>
                    <w:lang w:eastAsia="lt-LT"/>
                  </w:rPr>
                </w:pPr>
                <w:r>
                  <w:rPr>
                    <w:color w:val="000000"/>
                    <w:lang w:eastAsia="lt-LT"/>
                  </w:rPr>
                  <w:t>2.3.  Bendra paskolų suma paskolų gavėjams apibrėžtiems Schemos 7.1.3 papunktyje negali viršyti 100 000 000 (šimtas milijonų) eurų.</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suppressAutoHyphens/>
                  <w:jc w:val="both"/>
                  <w:textAlignment w:val="center"/>
                  <w:rPr>
                    <w:color w:val="FF0000"/>
                  </w:rPr>
                </w:pPr>
                <w:r>
                  <w:rPr>
                    <w:color w:val="000000"/>
                    <w:lang w:eastAsia="lt-LT"/>
                  </w:rPr>
                  <w:t xml:space="preserve">Pagal šią Schemą </w:t>
                </w:r>
                <w:r>
                  <w:rPr>
                    <w:color w:val="000000"/>
                    <w:lang w:eastAsia="lt-LT"/>
                  </w:rPr>
                  <w:t>paskolos sutartys su paskolos gavėjais turi būti sudarytos ne vėliau kaip iki 2026 m. birželio 30 dienos.</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jc w:val="both"/>
                  <w:rPr>
                    <w:highlight w:val="yellow"/>
                  </w:rPr>
                </w:pPr>
                <w:r>
                  <w:rPr>
                    <w:rFonts w:eastAsia="Calibri"/>
                  </w:rPr>
                  <w:t>Priemonę į</w:t>
                </w:r>
                <w:r>
                  <w:t>gyvendins ir paskolas teiks UAB ILTE (toliau – ILTE) kaip Energijos efektyvumo fondo (toliau – ENEF) valdytoja, paskirt</w:t>
                </w:r>
                <w:r>
                  <w:t xml:space="preserve">a vadovaujantis ENEF sutartimi, kuri Priemonę įgyvendina teikdama paskolas tiesiogiai paskolų gavėjams. </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jc w:val="both"/>
                  <w:rPr>
                    <w:rFonts w:eastAsia="Calibri"/>
                  </w:rPr>
                </w:pPr>
                <w:r>
                  <w:rPr>
                    <w:rFonts w:eastAsia="Calibri"/>
                  </w:rPr>
                  <w:t>Schemoje vartojamos sąvokos suprantamos taip, kaip jos apibrėžtos Reglamento (ES) Nr. 651/2014 2 straipsnyje, Lietuvos Respublikos nacional</w:t>
                </w:r>
                <w:r>
                  <w:rPr>
                    <w:rFonts w:eastAsia="Calibri"/>
                  </w:rPr>
                  <w:t>inio plėtros banko įstatyme, Lietuvos Respublikos smulkiojo ir vidutinio verslo plėtros įstatyme (toliau – SVV įstatymas), Lietuvos Respublikos įmonių ir įmonių grupių  atskaitomybės įstatyme,  Lietuvos Respublikos elektros energetikos įstatyme,</w:t>
                </w:r>
                <w:r>
                  <w:t xml:space="preserve"> Lietuvos R</w:t>
                </w:r>
                <w:r>
                  <w:t>espublikos atsinaujinančių išteklių energetikos įstatyme, Lietuvos Respublikos statybos įstatyme, Lietuvos Respublikos žemės įstatyme, Lietuvos Respublikos valstybės ir savivaldybių įmonių įstatyme, Lietuvos Respublikos viešųjų įstaigų įstatyme ir kt.</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501D26" w:rsidRDefault="00AD58FA">
                <w:pPr>
                  <w:jc w:val="both"/>
                  <w:rPr>
                    <w:color w:val="000000"/>
                  </w:rPr>
                </w:pPr>
                <w:r>
                  <w:rPr>
                    <w:color w:val="000000"/>
                  </w:rPr>
                  <w:t>Saulės ir (ar) vėjo elektrinių įrengimas, statyba arba įsigijimas.</w:t>
                </w:r>
              </w:p>
              <w:p w:rsidR="00501D26" w:rsidRDefault="00501D26">
                <w:pPr>
                  <w:jc w:val="both"/>
                  <w:rPr>
                    <w:color w:val="000000"/>
                  </w:rPr>
                </w:pPr>
              </w:p>
            </w:tc>
          </w:tr>
          <w:tr w:rsidR="00501D26">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7.</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textAlignment w:val="center"/>
                  <w:rPr>
                    <w:color w:val="000000"/>
                    <w:szCs w:val="24"/>
                    <w:lang w:eastAsia="lt-LT"/>
                  </w:rPr>
                </w:pPr>
                <w:r>
                  <w:rPr>
                    <w:color w:val="000000"/>
                    <w:szCs w:val="24"/>
                    <w:lang w:eastAsia="lt-LT"/>
                  </w:rPr>
                  <w:t>Paskolos gavėjai ir jiems keliami reikalavimai</w:t>
                </w:r>
              </w:p>
              <w:p w:rsidR="00501D26" w:rsidRDefault="00501D26">
                <w:pPr>
                  <w:suppressAutoHyphens/>
                  <w:jc w:val="both"/>
                  <w:textAlignment w:val="center"/>
                  <w:rPr>
                    <w:i/>
                    <w:iCs/>
                    <w:color w:val="000000"/>
                    <w:szCs w:val="24"/>
                    <w:lang w:eastAsia="lt-LT"/>
                  </w:rPr>
                </w:pPr>
              </w:p>
              <w:p w:rsidR="00501D26" w:rsidRDefault="00501D26">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501D26" w:rsidRDefault="00AD58FA">
                <w:pPr>
                  <w:jc w:val="both"/>
                  <w:rPr>
                    <w:rFonts w:eastAsia="Calibri"/>
                  </w:rPr>
                </w:pPr>
                <w:r>
                  <w:rPr>
                    <w:rFonts w:eastAsia="Calibri"/>
                  </w:rPr>
                  <w:t>7.1. Paskolos teikiamos:</w:t>
                </w:r>
              </w:p>
              <w:p w:rsidR="00501D26" w:rsidRDefault="00AD58FA">
                <w:pPr>
                  <w:jc w:val="both"/>
                  <w:rPr>
                    <w:rFonts w:eastAsia="Calibri"/>
                  </w:rPr>
                </w:pPr>
                <w:r>
                  <w:rPr>
                    <w:rFonts w:eastAsia="Calibri"/>
                  </w:rPr>
                  <w:t>7.1.1.  gaminantiems vartotojams, arba asmenims, siekiantiems tapti gaminančiais vartotojais;</w:t>
                </w:r>
              </w:p>
              <w:p w:rsidR="00501D26" w:rsidRDefault="00AD58FA">
                <w:pPr>
                  <w:jc w:val="both"/>
                  <w:rPr>
                    <w:rFonts w:eastAsia="Calibri"/>
                  </w:rPr>
                </w:pPr>
                <w:r>
                  <w:rPr>
                    <w:rFonts w:eastAsia="Calibri"/>
                  </w:rPr>
                  <w:t>7.1.2. elektros energijos gamintojams, numatantiems elektros energiją gaminti elektros energijos iš atsinaujinančių išteklių gamybos įrenginiuose, kurių leistina generuoti galia lygi nuliui ir  pagamintą elektros energiją vartoti savo reikmėms ir ūkio pore</w:t>
                </w:r>
                <w:r>
                  <w:rPr>
                    <w:rFonts w:eastAsia="Calibri"/>
                  </w:rPr>
                  <w:t>ikiams tenkinti,</w:t>
                </w:r>
              </w:p>
              <w:p w:rsidR="00501D26" w:rsidRDefault="00AD58FA">
                <w:pPr>
                  <w:jc w:val="both"/>
                  <w:rPr>
                    <w:rFonts w:eastAsia="Calibri"/>
                  </w:rPr>
                </w:pPr>
                <w:r>
                  <w:rPr>
                    <w:rFonts w:eastAsia="Calibri"/>
                  </w:rPr>
                  <w:t>7.1.3. juridiniams asmenims, statantiems saulės ir (ar) vėjo elektrines Atsinaujinančių išteklių energetikos įstatymo 20</w:t>
                </w:r>
                <w:r>
                  <w:rPr>
                    <w:rFonts w:eastAsia="Calibri"/>
                    <w:vertAlign w:val="superscript"/>
                  </w:rPr>
                  <w:t>1</w:t>
                </w:r>
                <w:r>
                  <w:rPr>
                    <w:rFonts w:eastAsia="Calibri"/>
                  </w:rPr>
                  <w:t xml:space="preserve"> straipsnio 8 dalyje nustatyta tvarka;</w:t>
                </w:r>
              </w:p>
              <w:p w:rsidR="00501D26" w:rsidRDefault="00AD58FA">
                <w:pPr>
                  <w:jc w:val="both"/>
                  <w:rPr>
                    <w:rFonts w:eastAsia="Calibri"/>
                  </w:rPr>
                </w:pPr>
                <w:r>
                  <w:rPr>
                    <w:rFonts w:eastAsia="Calibri"/>
                  </w:rPr>
                  <w:t>7.1.4. įmonių grupės įmonei, statančiai ir (ar) įsigyjančiai saulės ir (ar) vėj</w:t>
                </w:r>
                <w:r>
                  <w:rPr>
                    <w:rFonts w:eastAsia="Calibri"/>
                  </w:rPr>
                  <w:t>o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rsidR="00501D26" w:rsidRDefault="00AD58FA">
                <w:pPr>
                  <w:jc w:val="both"/>
                  <w:rPr>
                    <w:rFonts w:eastAsia="Calibri"/>
                  </w:rPr>
                </w:pPr>
                <w:r>
                  <w:rPr>
                    <w:rFonts w:eastAsia="Calibri"/>
                  </w:rPr>
                  <w:t>7.2. Paskolos gavėjai yra:</w:t>
                </w:r>
              </w:p>
              <w:p w:rsidR="00501D26" w:rsidRDefault="00AD58FA">
                <w:pPr>
                  <w:jc w:val="both"/>
                  <w:rPr>
                    <w:rFonts w:eastAsia="Calibri"/>
                  </w:rPr>
                </w:pPr>
                <w:r>
                  <w:rPr>
                    <w:rFonts w:eastAsia="Calibri"/>
                  </w:rPr>
                  <w:t>7.2.1. Privatūs juridiniai asmenys</w:t>
                </w:r>
                <w:r>
                  <w:rPr>
                    <w:rFonts w:eastAsia="Calibri"/>
                  </w:rPr>
                  <w:t>:</w:t>
                </w:r>
              </w:p>
              <w:p w:rsidR="00501D26" w:rsidRDefault="00AD58FA">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rsidR="00501D26" w:rsidRDefault="00AD58FA">
                <w:pPr>
                  <w:jc w:val="both"/>
                  <w:rPr>
                    <w:rFonts w:eastAsia="Calibri"/>
                  </w:rPr>
                </w:pPr>
                <w:r>
                  <w:rPr>
                    <w:rFonts w:eastAsia="Calibri"/>
                  </w:rPr>
                  <w:t>7.2.1.2. valstybės valdomos bendrovės;</w:t>
                </w:r>
              </w:p>
              <w:p w:rsidR="00501D26" w:rsidRDefault="00AD58FA">
                <w:pPr>
                  <w:jc w:val="both"/>
                  <w:rPr>
                    <w:rFonts w:eastAsia="Calibri"/>
                  </w:rPr>
                </w:pPr>
                <w:r>
                  <w:rPr>
                    <w:rFonts w:eastAsia="Calibri"/>
                  </w:rPr>
                  <w:t>7.2.1.3. savivald</w:t>
                </w:r>
                <w:r>
                  <w:rPr>
                    <w:rFonts w:eastAsia="Calibri"/>
                  </w:rPr>
                  <w:t>ybės valdomos bendrovės;</w:t>
                </w:r>
              </w:p>
              <w:p w:rsidR="00501D26" w:rsidRDefault="00AD58FA">
                <w:pPr>
                  <w:jc w:val="both"/>
                  <w:rPr>
                    <w:rFonts w:eastAsia="Calibri"/>
                  </w:rPr>
                </w:pPr>
                <w:r>
                  <w:rPr>
                    <w:rFonts w:eastAsia="Calibri"/>
                  </w:rPr>
                  <w:t>7.2.1.4. kiti privatūs juridiniai asmenys.</w:t>
                </w:r>
              </w:p>
              <w:p w:rsidR="00501D26" w:rsidRDefault="00AD58FA">
                <w:pPr>
                  <w:jc w:val="both"/>
                  <w:rPr>
                    <w:rFonts w:eastAsia="Calibri"/>
                  </w:rPr>
                </w:pPr>
                <w:r>
                  <w:rPr>
                    <w:rFonts w:eastAsia="Calibri"/>
                  </w:rPr>
                  <w:t>7.2.2. viešieji juridiniai asmenys:</w:t>
                </w:r>
              </w:p>
              <w:p w:rsidR="00501D26" w:rsidRDefault="00AD58FA">
                <w:pPr>
                  <w:jc w:val="both"/>
                  <w:rPr>
                    <w:rFonts w:eastAsia="Calibri"/>
                  </w:rPr>
                </w:pPr>
                <w:r>
                  <w:rPr>
                    <w:rFonts w:eastAsia="Calibri"/>
                  </w:rPr>
                  <w:t>7.2.2.1. valstybės ir savivaldybės įmonės;</w:t>
                </w:r>
              </w:p>
              <w:p w:rsidR="00501D26" w:rsidRDefault="00AD58FA">
                <w:pPr>
                  <w:jc w:val="both"/>
                  <w:rPr>
                    <w:rFonts w:eastAsia="Calibri"/>
                  </w:rPr>
                </w:pPr>
                <w:r>
                  <w:rPr>
                    <w:rFonts w:eastAsia="Calibri"/>
                  </w:rPr>
                  <w:t>7.2.2.2. viešosios įstaigos;</w:t>
                </w:r>
              </w:p>
              <w:p w:rsidR="00501D26" w:rsidRDefault="00AD58FA">
                <w:pPr>
                  <w:jc w:val="both"/>
                  <w:rPr>
                    <w:rFonts w:eastAsia="Calibri"/>
                  </w:rPr>
                </w:pPr>
                <w:r>
                  <w:rPr>
                    <w:rFonts w:eastAsia="Calibri"/>
                  </w:rPr>
                  <w:t>7.2.2.3. savivaldybės;</w:t>
                </w:r>
              </w:p>
              <w:p w:rsidR="00501D26" w:rsidRDefault="00AD58FA">
                <w:pPr>
                  <w:jc w:val="both"/>
                  <w:rPr>
                    <w:rFonts w:eastAsia="Calibri"/>
                  </w:rPr>
                </w:pPr>
                <w:r>
                  <w:rPr>
                    <w:rFonts w:eastAsia="Calibri"/>
                  </w:rPr>
                  <w:t>7.2.2.4. kiti viešieji juridiniai asmenys, atitinkantys p</w:t>
                </w:r>
                <w:r>
                  <w:rPr>
                    <w:rFonts w:eastAsia="Calibri"/>
                  </w:rPr>
                  <w:t>elno nesiekiantiems asmenims nustatytus kriterijus.</w:t>
                </w:r>
              </w:p>
              <w:p w:rsidR="00501D26" w:rsidRDefault="00AD58FA">
                <w:pPr>
                  <w:jc w:val="both"/>
                  <w:rPr>
                    <w:color w:val="000000"/>
                  </w:rPr>
                </w:pPr>
                <w:r>
                  <w:rPr>
                    <w:color w:val="000000"/>
                  </w:rPr>
                  <w:t>7.3. Paskolos neteikiamos įmonėms, vykdančioms veiklą žuvininkystės, akvakultūros sektoriuje.</w:t>
                </w:r>
              </w:p>
              <w:p w:rsidR="00501D26" w:rsidRDefault="00AD58FA">
                <w:pPr>
                  <w:suppressAutoHyphens/>
                  <w:jc w:val="both"/>
                  <w:textAlignment w:val="center"/>
                  <w:rPr>
                    <w:lang w:eastAsia="lt-LT"/>
                  </w:rPr>
                </w:pPr>
                <w:r>
                  <w:rPr>
                    <w:color w:val="000000"/>
                    <w:lang w:eastAsia="lt-LT"/>
                  </w:rPr>
                  <w:t xml:space="preserve">7.4. </w:t>
                </w:r>
                <w:r>
                  <w:rPr>
                    <w:lang w:eastAsia="lt-LT"/>
                  </w:rPr>
                  <w:t>Paskolos gavėjas atitinka šiuos reikalavimus:</w:t>
                </w:r>
              </w:p>
              <w:p w:rsidR="00501D26" w:rsidRDefault="00AD58FA">
                <w:pPr>
                  <w:jc w:val="both"/>
                  <w:rPr>
                    <w:rFonts w:eastAsia="Calibri"/>
                  </w:rPr>
                </w:pPr>
                <w:r>
                  <w:rPr>
                    <w:spacing w:val="2"/>
                  </w:rPr>
                  <w:t>7.4.1.</w:t>
                </w:r>
                <w:r>
                  <w:rPr>
                    <w:spacing w:val="2"/>
                    <w:sz w:val="20"/>
                  </w:rPr>
                  <w:t xml:space="preserve"> </w:t>
                </w:r>
                <w:r>
                  <w:rPr>
                    <w:rFonts w:eastAsia="Calibri"/>
                  </w:rPr>
                  <w:t>Paskolos gavėjui, jo vadovui, atstovui, paskolos gav</w:t>
                </w:r>
                <w:r>
                  <w:rPr>
                    <w:rFonts w:eastAsia="Calibri"/>
                  </w:rPr>
                  <w:t>ėjo nuosavybės ir valdymo struktūroje esantiems asmenims, naudos gavėjui, kaip jis apibrėžtas Lietuvos Respublikos pinigų plovimo ir teroristų finansavimo prevencijos įstatymo 2 straipsnio 14 dalyje, arba fiziniams ir juridiniams asmenims, kurių naudai bus</w:t>
                </w:r>
                <w:r>
                  <w:rPr>
                    <w:rFonts w:eastAsia="Calibri"/>
                  </w:rPr>
                  <w:t xml:space="preserve"> naudojama paskola, sandorio ir (arba) mokėjimo bei tiekimo grandinėje dalyvaujantiems subjektams nėra taikomos tarptautinės sankcijos ir (ar) ribojamosios priemonės, kaip šios sąvokos apibrėžtos Lietuvos Respublikos tarptautinių sankcijų įstatyme, taip pa</w:t>
                </w:r>
                <w:r>
                  <w:rPr>
                    <w:rFonts w:eastAsia="Calibri"/>
                  </w:rPr>
                  <w:t xml:space="preserve">t sankcijos, kurias nustato, taiko ar administruoja Jungtinių Amerikos Valstijų Vyriausybė (įskaitant Jungtinių Amerikos Valstijų Iždo departamento Užsienio lėšų kontrolės biurą (angl. </w:t>
                </w:r>
                <w:proofErr w:type="spellStart"/>
                <w:r>
                  <w:rPr>
                    <w:rFonts w:eastAsia="Calibri"/>
                    <w:i/>
                    <w:iCs/>
                  </w:rPr>
                  <w:t>The</w:t>
                </w:r>
                <w:proofErr w:type="spellEnd"/>
                <w:r>
                  <w:rPr>
                    <w:rFonts w:eastAsia="Calibri"/>
                    <w:i/>
                    <w:iCs/>
                  </w:rPr>
                  <w:t xml:space="preserve"> Office </w:t>
                </w:r>
                <w:proofErr w:type="spellStart"/>
                <w:r>
                  <w:rPr>
                    <w:rFonts w:eastAsia="Calibri"/>
                    <w:i/>
                    <w:iCs/>
                  </w:rPr>
                  <w:t>of</w:t>
                </w:r>
                <w:proofErr w:type="spellEnd"/>
                <w:r>
                  <w:rPr>
                    <w:rFonts w:eastAsia="Calibri"/>
                    <w:i/>
                    <w:iCs/>
                  </w:rPr>
                  <w:t xml:space="preserve"> </w:t>
                </w:r>
                <w:proofErr w:type="spellStart"/>
                <w:r>
                  <w:rPr>
                    <w:rFonts w:eastAsia="Calibri"/>
                    <w:i/>
                    <w:iCs/>
                  </w:rPr>
                  <w:t>Foreign</w:t>
                </w:r>
                <w:proofErr w:type="spellEnd"/>
                <w:r>
                  <w:rPr>
                    <w:rFonts w:eastAsia="Calibri"/>
                    <w:i/>
                    <w:iCs/>
                  </w:rPr>
                  <w:t xml:space="preserve"> </w:t>
                </w:r>
                <w:proofErr w:type="spellStart"/>
                <w:r>
                  <w:rPr>
                    <w:rFonts w:eastAsia="Calibri"/>
                    <w:i/>
                    <w:iCs/>
                  </w:rPr>
                  <w:t>Assets</w:t>
                </w:r>
                <w:proofErr w:type="spellEnd"/>
                <w:r>
                  <w:rPr>
                    <w:rFonts w:eastAsia="Calibri"/>
                    <w:i/>
                    <w:iCs/>
                  </w:rPr>
                  <w:t xml:space="preserve"> </w:t>
                </w:r>
                <w:proofErr w:type="spellStart"/>
                <w:r>
                  <w:rPr>
                    <w:rFonts w:eastAsia="Calibri"/>
                    <w:i/>
                    <w:iCs/>
                  </w:rPr>
                  <w:t>Control</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the</w:t>
                </w:r>
                <w:proofErr w:type="spellEnd"/>
                <w:r>
                  <w:rPr>
                    <w:rFonts w:eastAsia="Calibri"/>
                    <w:i/>
                    <w:iCs/>
                  </w:rPr>
                  <w:t xml:space="preserve"> U.S. </w:t>
                </w:r>
                <w:proofErr w:type="spellStart"/>
                <w:r>
                  <w:rPr>
                    <w:rFonts w:eastAsia="Calibri"/>
                    <w:i/>
                    <w:iCs/>
                  </w:rPr>
                  <w:t>Department</w:t>
                </w:r>
                <w:proofErr w:type="spellEnd"/>
                <w:r>
                  <w:rPr>
                    <w:rFonts w:eastAsia="Calibri"/>
                    <w:i/>
                    <w:iCs/>
                  </w:rPr>
                  <w:t xml:space="preserve"> </w:t>
                </w:r>
                <w:proofErr w:type="spellStart"/>
                <w:r>
                  <w:rPr>
                    <w:rFonts w:eastAsia="Calibri"/>
                    <w:i/>
                    <w:iCs/>
                  </w:rPr>
                  <w:t>of</w:t>
                </w:r>
                <w:proofErr w:type="spellEnd"/>
                <w:r>
                  <w:rPr>
                    <w:rFonts w:eastAsia="Calibri"/>
                    <w:i/>
                    <w:iCs/>
                  </w:rPr>
                  <w:t xml:space="preserve"> </w:t>
                </w:r>
                <w:proofErr w:type="spellStart"/>
                <w:r>
                  <w:rPr>
                    <w:rFonts w:eastAsia="Calibri"/>
                    <w:i/>
                    <w:iCs/>
                  </w:rPr>
                  <w:t>the</w:t>
                </w:r>
                <w:proofErr w:type="spellEnd"/>
                <w:r>
                  <w:rPr>
                    <w:rFonts w:eastAsia="Calibri"/>
                    <w:i/>
                    <w:iCs/>
                  </w:rPr>
                  <w:t xml:space="preserve"> </w:t>
                </w:r>
                <w:proofErr w:type="spellStart"/>
                <w:r>
                  <w:rPr>
                    <w:rFonts w:eastAsia="Calibri"/>
                    <w:i/>
                    <w:iCs/>
                  </w:rPr>
                  <w:t>Trea</w:t>
                </w:r>
                <w:r>
                  <w:rPr>
                    <w:rFonts w:eastAsia="Calibri"/>
                    <w:i/>
                    <w:iCs/>
                  </w:rPr>
                  <w:t>sury</w:t>
                </w:r>
                <w:proofErr w:type="spellEnd"/>
                <w:r>
                  <w:rPr>
                    <w:rFonts w:eastAsia="Calibri"/>
                  </w:rPr>
                  <w:t xml:space="preserve">); </w:t>
                </w:r>
              </w:p>
              <w:p w:rsidR="00501D26" w:rsidRDefault="00AD58FA">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w:t>
                </w:r>
                <w:r>
                  <w:rPr>
                    <w:rFonts w:eastAsia="Calibri"/>
                    <w:szCs w:val="24"/>
                  </w:rPr>
                  <w:t>inio draudimo fondo valdybos prie Socialinės apsaugos ir darbo ministerijos įmokas į Lietuvos Respublikos biudžetą;</w:t>
                </w:r>
              </w:p>
              <w:p w:rsidR="00501D26" w:rsidRDefault="00AD58FA">
                <w:pPr>
                  <w:jc w:val="both"/>
                  <w:rPr>
                    <w:rFonts w:eastAsia="Calibri"/>
                  </w:rPr>
                </w:pPr>
                <w:r>
                  <w:rPr>
                    <w:rFonts w:eastAsia="Calibri"/>
                  </w:rPr>
                  <w:t>7.4.3. Per paskutinius 5 metus galutiniu teismo sprendimu ar galutiniu administraciniu sprendimu paskolos gavėjas nėra pripažintas kaltu ir neturi neišnykusio ar nepanaikinto teistumo dėl pareigų, susijusių su mokesčių ar socialinio draudimo įmokų mokėjimo</w:t>
                </w:r>
                <w:r>
                  <w:rPr>
                    <w:rFonts w:eastAsia="Calibri"/>
                  </w:rPr>
                  <w:t xml:space="preserve">, neatitikimo; </w:t>
                </w:r>
              </w:p>
              <w:p w:rsidR="00501D26" w:rsidRDefault="00AD58FA">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rsidR="00501D26" w:rsidRDefault="00AD58FA">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w:t>
                </w:r>
                <w:r>
                  <w:rPr>
                    <w:color w:val="000000"/>
                    <w:shd w:val="clear" w:color="auto" w:fill="FFFFFF"/>
                  </w:rPr>
                  <w:t>nių grupei) sprendimo suteikti paskolą metu nėra patiriantys sunkumų, kaip tai apibrėžta Reglamento (ES) Nr. 651/2014 2 straipsnio 18 punkte;</w:t>
                </w:r>
              </w:p>
              <w:p w:rsidR="00501D26" w:rsidRDefault="00AD58FA">
                <w:pPr>
                  <w:jc w:val="both"/>
                  <w:rPr>
                    <w:rFonts w:eastAsia="Calibri"/>
                  </w:rPr>
                </w:pPr>
                <w:r>
                  <w:rPr>
                    <w:rFonts w:eastAsia="Calibri"/>
                  </w:rPr>
                  <w:t xml:space="preserve">7.4.6. </w:t>
                </w:r>
                <w:r>
                  <w:rPr>
                    <w:color w:val="000000"/>
                    <w:shd w:val="clear" w:color="auto" w:fill="FFFFFF"/>
                  </w:rPr>
                  <w:t xml:space="preserve">Paskolos gavėjui nėra iškelta bankroto ir (ar) restruktūrizavimo byla pagal Lietuvos Respublikos juridinių </w:t>
                </w:r>
                <w:r>
                  <w:rPr>
                    <w:color w:val="000000"/>
                    <w:shd w:val="clear" w:color="auto" w:fill="FFFFFF"/>
                  </w:rPr>
                  <w:t>asmenų nemokumo įstatymą, jis nėra likviduojamas;   </w:t>
                </w:r>
              </w:p>
              <w:p w:rsidR="00501D26" w:rsidRDefault="00AD58FA">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w:t>
                </w:r>
                <w:r>
                  <w:rPr>
                    <w:rFonts w:eastAsia="Calibri"/>
                  </w:rPr>
                  <w:t>askutinius dvejus finansinius metus ar trumpesnį terminą (jei paskolos gavėjas veikia trumpiau nei dvejus metus) rinkinį, kuriame būtų išsamiai pateikta nuosavo kapitalo sudėtis. Jei paskolos gavėjas priklauso įmonių grupei, valstybės įmonei Registrų centr</w:t>
                </w:r>
                <w:r>
                  <w:rPr>
                    <w:rFonts w:eastAsia="Calibri"/>
                  </w:rPr>
                  <w:t>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rsidR="00501D26" w:rsidRDefault="00AD58FA">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w:t>
                </w:r>
                <w:r>
                  <w:rPr>
                    <w:szCs w:val="24"/>
                  </w:rPr>
                  <w:t>o pripažinta nesuderinama su Europos Sąjungos vidaus rinka, arba pagalbos teikėjo sprendimu pripažinta neteisėta pagalba, arba yra grąžinęs visą jos sumą, įskaitant palūkanas, kaip nustatyta 2015 m. liepos 13 d. Tarybos reglamente (ES) 2015/1589, nustatanč</w:t>
                </w:r>
                <w:r>
                  <w:rPr>
                    <w:szCs w:val="24"/>
                  </w:rPr>
                  <w:t>iame išsamias Sutarties dėl Europos Sąjungos veikimo 108 straipsnio taikymo taisykles;</w:t>
                </w:r>
              </w:p>
              <w:p w:rsidR="00501D26" w:rsidRDefault="00AD58FA">
                <w:pPr>
                  <w:tabs>
                    <w:tab w:val="left" w:pos="1701"/>
                  </w:tabs>
                  <w:jc w:val="both"/>
                </w:pPr>
                <w:r>
                  <w:t xml:space="preserve">7.4.9. Paskolos gavėjui gali būti suteikta atitinkamo dydžio valstybės pagalba, vadovaujantis Reglamento (ES) Nr. 651/2014 4 straipsnio 1 dalies s) punkto ir 41 straipsnio nuostatomis; </w:t>
                </w:r>
              </w:p>
              <w:p w:rsidR="00501D26" w:rsidRDefault="00AD58FA">
                <w:pPr>
                  <w:tabs>
                    <w:tab w:val="left" w:pos="1701"/>
                  </w:tabs>
                  <w:jc w:val="both"/>
                  <w:rPr>
                    <w:szCs w:val="24"/>
                  </w:rPr>
                </w:pPr>
                <w:r>
                  <w:rPr>
                    <w:color w:val="000000"/>
                    <w:shd w:val="clear" w:color="auto" w:fill="FFFFFF"/>
                  </w:rPr>
                  <w:t>7.4.10. Paskolos gavėjo veikla nėra vykdoma Reglamento (ES) Nr. 651/20</w:t>
                </w:r>
                <w:r>
                  <w:rPr>
                    <w:color w:val="000000"/>
                    <w:shd w:val="clear" w:color="auto" w:fill="FFFFFF"/>
                  </w:rPr>
                  <w:t>14 1 straipsnio 3 dalies a ir c punktuose išvardytais atvejais;  </w:t>
                </w:r>
              </w:p>
              <w:p w:rsidR="00501D26" w:rsidRDefault="00AD58FA">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įskaitant riziką, susijusią su paskolos gavėjo, jo vadovo, savininkų, naudos gavėjų reputacija ir</w:t>
                </w:r>
                <w:r>
                  <w:t xml:space="preserve"> paskolos gavėjo įgyvendinamo projekto (toliau – Projektas)  rangovu (-</w:t>
                </w:r>
                <w:proofErr w:type="spellStart"/>
                <w:r>
                  <w:t>ais</w:t>
                </w:r>
                <w:proofErr w:type="spellEnd"/>
                <w:r>
                  <w:t>), o Projektas paskolos davėjo yra pripažintas ekonomiškai pagrįstu ir finansiškai gyvybingu. Rizikingumo lygio ir Projekto ekonominio pagrįstumo bei finansinio gyvybingumo vertinima</w:t>
                </w:r>
                <w:r>
                  <w:t xml:space="preserve">s atliekamas paskolos davėjo vidaus procedūrų nustatyta tvarka, </w:t>
                </w:r>
                <w:r>
                  <w:rPr>
                    <w:shd w:val="clear" w:color="auto" w:fill="FFFFFF"/>
                  </w:rPr>
                  <w:t>o reikalavimai Projektą įgyvendinančiam rangovui skelbiami viešai paskolos davėjo interneto svetainėje https://ilte.lt</w:t>
                </w:r>
                <w:r>
                  <w:t>;</w:t>
                </w:r>
              </w:p>
              <w:p w:rsidR="00501D26" w:rsidRDefault="00AD58FA">
                <w:pPr>
                  <w:jc w:val="both"/>
                  <w:textAlignment w:val="baseline"/>
                  <w:rPr>
                    <w:szCs w:val="24"/>
                  </w:rPr>
                </w:pPr>
                <w:r>
                  <w:rPr>
                    <w:szCs w:val="24"/>
                  </w:rPr>
                  <w:t>7.4.12. Paskolos gavėjas neturi prekybinių įsipareigojimų su Rusijos Fed</w:t>
                </w:r>
                <w:r>
                  <w:rPr>
                    <w:szCs w:val="24"/>
                  </w:rPr>
                  <w:t xml:space="preserve">eracijos, Baltarusijos Respublikos, Rusijos Federacijos aneksuoto Krymo, Moldovos Respublikos vyriausybės nekontroliuojamos </w:t>
                </w:r>
                <w:proofErr w:type="spellStart"/>
                <w:r>
                  <w:rPr>
                    <w:szCs w:val="24"/>
                  </w:rPr>
                  <w:t>Padniestrės</w:t>
                </w:r>
                <w:proofErr w:type="spellEnd"/>
                <w:r>
                  <w:rPr>
                    <w:szCs w:val="24"/>
                  </w:rPr>
                  <w:t xml:space="preserve"> teritorijos bei </w:t>
                </w:r>
                <w:proofErr w:type="spellStart"/>
                <w:r>
                  <w:rPr>
                    <w:szCs w:val="24"/>
                  </w:rPr>
                  <w:t>Sakartvelo</w:t>
                </w:r>
                <w:proofErr w:type="spellEnd"/>
                <w:r>
                  <w:rPr>
                    <w:szCs w:val="24"/>
                  </w:rPr>
                  <w:t xml:space="preserve"> vyriausybės nekontroliuojamos Abchazijos ir Pietų Osetijos teritorijos fiziniais ir (ar) juri</w:t>
                </w:r>
                <w:r>
                  <w:rPr>
                    <w:szCs w:val="24"/>
                  </w:rPr>
                  <w:t>diniais asmenimis arba yra juos nutraukęs. Atitiktis šiame papunktyje nurodytam reikalavimui vertinama pagal paskolos gavėjo paskolos davėjui pateiktą informaciją (laisvos formos patvirtinimą apie prekybinių įsipareigojimų nutraukimą arba jų neturėjimą);</w:t>
                </w:r>
              </w:p>
              <w:p w:rsidR="00501D26" w:rsidRDefault="00AD58FA">
                <w:pPr>
                  <w:jc w:val="both"/>
                  <w:textAlignment w:val="baseline"/>
                  <w:rPr>
                    <w:szCs w:val="24"/>
                  </w:rPr>
                </w:pPr>
                <w:r>
                  <w:rPr>
                    <w:szCs w:val="24"/>
                  </w:rPr>
                  <w:t>7</w:t>
                </w:r>
                <w:r>
                  <w:rPr>
                    <w:szCs w:val="24"/>
                  </w:rPr>
                  <w:t>.4.13. Per paskutinius 5 metus galutiniu teismo sprendimu arba galutiniu administraciniu sprendimu paskolos gavėjas, jo vadovas, administracijos, valdymo ir (ar) priežiūros organų narys arba asmuo, turintis paskolos gavėjo atstovavimo, sprendimų priėmimo a</w:t>
                </w:r>
                <w:r>
                  <w:rPr>
                    <w:szCs w:val="24"/>
                  </w:rPr>
                  <w:t>r kontrolės įgaliojimus, nėra pripažintas kaltu ir neturi neišnykusio ar nepanaikinto teistumo dėl:</w:t>
                </w:r>
              </w:p>
              <w:p w:rsidR="00501D26" w:rsidRDefault="00AD58FA">
                <w:pPr>
                  <w:jc w:val="both"/>
                  <w:textAlignment w:val="baseline"/>
                  <w:rPr>
                    <w:szCs w:val="24"/>
                  </w:rPr>
                </w:pPr>
                <w:r>
                  <w:rPr>
                    <w:szCs w:val="24"/>
                  </w:rPr>
                  <w:t>7.4.13.1. padaryto sunkaus profesinio nusižengimo;</w:t>
                </w:r>
              </w:p>
              <w:p w:rsidR="00501D26" w:rsidRDefault="00AD58FA">
                <w:pPr>
                  <w:jc w:val="both"/>
                  <w:textAlignment w:val="baseline"/>
                  <w:rPr>
                    <w:szCs w:val="24"/>
                  </w:rPr>
                </w:pPr>
                <w:r>
                  <w:rPr>
                    <w:szCs w:val="24"/>
                  </w:rPr>
                  <w:t>7.4.13.2. sukčiavimo;</w:t>
                </w:r>
              </w:p>
              <w:p w:rsidR="00501D26" w:rsidRDefault="00AD58FA">
                <w:pPr>
                  <w:jc w:val="both"/>
                  <w:textAlignment w:val="baseline"/>
                  <w:rPr>
                    <w:szCs w:val="24"/>
                  </w:rPr>
                </w:pPr>
                <w:r>
                  <w:rPr>
                    <w:szCs w:val="24"/>
                  </w:rPr>
                  <w:t>7.4.13.3. korupcijos;</w:t>
                </w:r>
              </w:p>
              <w:p w:rsidR="00501D26" w:rsidRDefault="00AD58FA">
                <w:pPr>
                  <w:jc w:val="both"/>
                  <w:textAlignment w:val="baseline"/>
                  <w:rPr>
                    <w:szCs w:val="24"/>
                  </w:rPr>
                </w:pPr>
                <w:r>
                  <w:rPr>
                    <w:szCs w:val="24"/>
                  </w:rPr>
                  <w:t>7.4.13.4. nusikalstamo susivienijimo;</w:t>
                </w:r>
              </w:p>
              <w:p w:rsidR="00501D26" w:rsidRDefault="00AD58FA">
                <w:pPr>
                  <w:jc w:val="both"/>
                  <w:textAlignment w:val="baseline"/>
                  <w:rPr>
                    <w:szCs w:val="24"/>
                  </w:rPr>
                </w:pPr>
                <w:r>
                  <w:rPr>
                    <w:szCs w:val="24"/>
                  </w:rPr>
                  <w:t>7.4.13.5. pinigų plovim</w:t>
                </w:r>
                <w:r>
                  <w:rPr>
                    <w:szCs w:val="24"/>
                  </w:rPr>
                  <w:t>o arba teroristų finansavimo;</w:t>
                </w:r>
              </w:p>
              <w:p w:rsidR="00501D26" w:rsidRDefault="00AD58FA">
                <w:pPr>
                  <w:jc w:val="both"/>
                  <w:textAlignment w:val="baseline"/>
                  <w:rPr>
                    <w:szCs w:val="24"/>
                  </w:rPr>
                </w:pPr>
                <w:r>
                  <w:rPr>
                    <w:szCs w:val="24"/>
                  </w:rPr>
                  <w:t>7.4.13.6. teroristinių nusikaltimų arba su teroristine veikla susijusių nusikaltimų;</w:t>
                </w:r>
              </w:p>
              <w:p w:rsidR="00501D26" w:rsidRDefault="00AD58FA">
                <w:pPr>
                  <w:jc w:val="both"/>
                  <w:textAlignment w:val="baseline"/>
                  <w:rPr>
                    <w:szCs w:val="24"/>
                  </w:rPr>
                </w:pPr>
                <w:r>
                  <w:rPr>
                    <w:szCs w:val="24"/>
                  </w:rPr>
                  <w:t>7.4.13.7. vaikų darbo ar kitų su prekyba žmonėmis susijusių nusikalstamų veikų;</w:t>
                </w:r>
              </w:p>
              <w:p w:rsidR="00501D26" w:rsidRDefault="00AD58FA">
                <w:pPr>
                  <w:jc w:val="both"/>
                  <w:textAlignment w:val="baseline"/>
                  <w:rPr>
                    <w:szCs w:val="24"/>
                  </w:rPr>
                </w:pPr>
                <w:r>
                  <w:rPr>
                    <w:szCs w:val="24"/>
                  </w:rPr>
                  <w:t>7.4.13.8. dėl netinkamai vykdytų įsipareigojimų, susijusių su</w:t>
                </w:r>
                <w:r>
                  <w:rPr>
                    <w:szCs w:val="24"/>
                  </w:rPr>
                  <w:t xml:space="preserve"> jam skirta Europos Sąjungos finansine parama, ir dėl to įsipareigojimai buvo nutraukti anksčiau laiko ar iš jo buvo pareikalauta atlyginti nuostolius ar buvo pritaikytos kitos sankcijos;</w:t>
                </w:r>
              </w:p>
              <w:p w:rsidR="00501D26" w:rsidRDefault="00AD58FA">
                <w:pPr>
                  <w:jc w:val="both"/>
                  <w:textAlignment w:val="baseline"/>
                  <w:rPr>
                    <w:szCs w:val="24"/>
                  </w:rPr>
                </w:pPr>
                <w:r>
                  <w:rPr>
                    <w:szCs w:val="24"/>
                  </w:rPr>
                  <w:t>7.4.13.9. padaryto pažeidimo, kaip ši sąvoka apibrėžta 1995 m. gruod</w:t>
                </w:r>
                <w:r>
                  <w:rPr>
                    <w:szCs w:val="24"/>
                  </w:rPr>
                  <w:t>žio 18 d. Tarybos reglamento (EB, Euratomas) Nr. 2988/95 dėl Europos Bendrijų finansinių interesų apsaugos 1 straipsnio 2 dalyje, t. y, bet kuris Bendrijos teisės aktų nuostatų pažeidimas, susijęs su ekonominės veiklos vykdytojo veiksmų ar neveikimo, dėl k</w:t>
                </w:r>
                <w:r>
                  <w:rPr>
                    <w:szCs w:val="24"/>
                  </w:rPr>
                  <w:t>urio Bendrijų bendrajam biudžetui ar jų valdomiems biudžetams padaroma žala sumažinant ar iš viso prarandant pajamas, gaunamas iš tiesiogiai Bendrijų vardu surinktų nuosavų lėšų, arba darant nepagrįstas išlaidas;</w:t>
                </w:r>
              </w:p>
              <w:p w:rsidR="00501D26" w:rsidRDefault="00AD58FA">
                <w:pPr>
                  <w:jc w:val="both"/>
                  <w:textAlignment w:val="baseline"/>
                </w:pPr>
                <w:r>
                  <w:t>7.4.13.10. įsteigto kitoje jurisdikcijoje j</w:t>
                </w:r>
                <w:r>
                  <w:t>uridinio asmens, ketinant išvengti mokestinių, socialinių arba bet kokių kitų teisinių pareigų pagal jo registruotos buveinės, centrinės administracijos ar pagrindinės verslo vietos jurisdikciją arba nustatyta, kad paskolos gavėjas buvo įsteigtas turint ši</w:t>
                </w:r>
                <w:r>
                  <w:t>ame papunktyje nurodytą ketinimą.</w:t>
                </w:r>
              </w:p>
              <w:p w:rsidR="00501D26" w:rsidRDefault="00AD58FA">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w:t>
                </w:r>
                <w:r>
                  <w:t>tyje.</w:t>
                </w:r>
              </w:p>
              <w:p w:rsidR="00501D26" w:rsidRDefault="00AD58FA">
                <w:pPr>
                  <w:spacing w:line="254" w:lineRule="auto"/>
                  <w:jc w:val="both"/>
                </w:pPr>
                <w:r>
                  <w:t>7.4.15. Paskolos gavėjo nuosavybės rodiklis (nuosavo kapitalo ir viso turto santykis) po paskolos suteikimo nėra mažesnis kaip 0,1 arba 0,15 į nuosavą kapitalą įtraukiant akcininkų, susijusių ir (ar) kitų trečiųjų asmenų paskolos gavėjui  suteiktas paskola</w:t>
                </w:r>
                <w:r>
                  <w:t xml:space="preserve">s, subordinuotas ILTE paskolos (-ų) atžvilgiu (toliau – trečiųjų asmenų subordinuotos paskolos) (be trečiųjų asmenų subordinuotų paskolų nuosavas kapitalas turi būti teigiamas), skaičiuojant pagal paskutinių finansinių metų finansinių ataskaitų rinkinį ar </w:t>
                </w:r>
                <w:r>
                  <w:t>paskutinį tarpinį finansinių ataskaitų rinkinį, kaip tai apibrėžta Lietuvos Respublikos įmonių ir įmonių grupių atskaitomybės įstatymo 3 straipsnyje. Jeigu pagal paskutinių finansinių metų finansinių ataskaitų rinkinį nuosavybės rodiklis po paskolos suteik</w:t>
                </w:r>
                <w:r>
                  <w:t>imo yra mažesnis kaip 0,1 arba 0,15 įtraukus trečiųjų asmenų subordinuotas paskolas, o pagal paskutinį tarpinį finansinių ataskaitų rinkinį yra didesnis kaip 0,1 arba 0,15 įtraukus trečiųjų asmenų subordinuotas paskolas, paskolos gavėjas privalo pateikti I</w:t>
                </w:r>
                <w:r>
                  <w:t>LTE nuosavybės struktūros pokyčius pagrindžiančius dokumentus (sukauptų nuostolių padengimo, kapitalo padidinimo apmokėjimo, turto vertinimo ir (arba) kitus nuosavybės struktūros pokyčius įrodančius dokumentus). Paskolos gavėjo nuosavybės rodiklis netaikom</w:t>
                </w:r>
                <w:r>
                  <w:t>as paskolos gavėjui, kurį kontroliuoja ar kurio savininkė ar dalininkė yra savivaldybė ar valstybė, turinti daugiau negu 1/2 balsų visuotiniame dalininkų susirinkime arba valstybė ar savivaldybė yra įgijusi akcijų, visuotiniame akcininkų susirinkime suteik</w:t>
                </w:r>
                <w:r>
                  <w:t>iančių daugiau kaip 1/2 balsų.</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501D26" w:rsidRDefault="00AD58FA">
                <w:pPr>
                  <w:jc w:val="both"/>
                  <w:rPr>
                    <w:rFonts w:eastAsia="Calibri"/>
                  </w:rPr>
                </w:pPr>
                <w:r>
                  <w:rPr>
                    <w:rFonts w:eastAsia="Calibri"/>
                  </w:rPr>
                  <w:t>8.1. Pagal Priemonę paskolos lėšomis gali būti finansuojamos šios Projekto išlaidos:</w:t>
                </w:r>
                <w:r>
                  <w:t xml:space="preserve"> </w:t>
                </w:r>
              </w:p>
              <w:p w:rsidR="00501D26" w:rsidRDefault="00AD58FA">
                <w:pPr>
                  <w:jc w:val="both"/>
                  <w:rPr>
                    <w:rFonts w:eastAsia="Calibri"/>
                  </w:rPr>
                </w:pPr>
                <w:r>
                  <w:rPr>
                    <w:rFonts w:eastAsia="Calibri"/>
                  </w:rPr>
                  <w:t>8.1.1. Pasirengimo elektrinės statybai ir prijungimo dokumentacijos parengimas (techninio ir darb</w:t>
                </w:r>
                <w:r>
                  <w:rPr>
                    <w:rFonts w:eastAsia="Calibri"/>
                  </w:rPr>
                  <w:t>o projektų parengimas, statybą leidžiančio dokumento išdavimas ir kita);</w:t>
                </w:r>
              </w:p>
              <w:p w:rsidR="00501D26" w:rsidRDefault="00AD58FA">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rsidR="00501D26" w:rsidRDefault="00AD58FA">
                <w:pPr>
                  <w:tabs>
                    <w:tab w:val="left" w:pos="0"/>
                  </w:tabs>
                  <w:jc w:val="both"/>
                </w:pPr>
                <w:r>
                  <w:t>8.</w:t>
                </w:r>
                <w:r>
                  <w:t>1.3. žemės sklypo sutvarkymas, infrastruktūros ir inžinerinių tinklų bei sistemų sklype įrengimas ir (ar) sutvarkymas ir apsaugos įrengimo darbai (įskaitant sklypo aptvėrimo, apšvietimo išlaidas) (jei saulės ir (ar) vėjo elektrinė statoma ant žemės);</w:t>
                </w:r>
              </w:p>
              <w:p w:rsidR="00501D26" w:rsidRDefault="00AD58FA">
                <w:pPr>
                  <w:tabs>
                    <w:tab w:val="left" w:pos="0"/>
                  </w:tabs>
                  <w:jc w:val="both"/>
                </w:pPr>
                <w:r>
                  <w:t>8.1.4</w:t>
                </w:r>
                <w:r>
                  <w:t xml:space="preserve">. saulės ir (ar) vėjo elektrinės ir reikalinga įsigyti susijusi elektrotechninė įranga, konstrukcijos, kabeliai bei susiję montavimo (derinimo) darbai ir kiti susiję saulės ir (ar) vėjo elektrinės statybos darbai pagal sudarytas </w:t>
                </w:r>
                <w:r>
                  <w:rPr>
                    <w:rFonts w:eastAsia="Calibri"/>
                    <w:szCs w:val="24"/>
                  </w:rPr>
                  <w:t>turto įsigijimo, prekių tie</w:t>
                </w:r>
                <w:r>
                  <w:rPr>
                    <w:rFonts w:eastAsia="Calibri"/>
                    <w:szCs w:val="24"/>
                  </w:rPr>
                  <w:t>kimo ir (ar) paslaugų atlikimo, rangos sutartis</w:t>
                </w:r>
                <w:r>
                  <w:t xml:space="preserve">; </w:t>
                </w:r>
              </w:p>
              <w:p w:rsidR="00501D26" w:rsidRDefault="00AD58FA">
                <w:pPr>
                  <w:tabs>
                    <w:tab w:val="left" w:pos="0"/>
                  </w:tabs>
                  <w:jc w:val="both"/>
                </w:pPr>
                <w:r>
                  <w:t xml:space="preserve">8.1.5. elektros jungties (oro linijos/kabelio) tiesimo  darbai iki saulės ir (ar) vėjo elektrinės prijungimo vietos; </w:t>
                </w:r>
              </w:p>
              <w:p w:rsidR="00501D26" w:rsidRDefault="00AD58FA">
                <w:pPr>
                  <w:jc w:val="both"/>
                </w:pPr>
                <w:r>
                  <w:t xml:space="preserve">8.1.6. elektrinės prijungimo prie elektros energijos skirstomojo ir (arba) perdavimo </w:t>
                </w:r>
                <w:r>
                  <w:t>tinklo mokestis pagal prisijungimo sąlygas;</w:t>
                </w:r>
              </w:p>
              <w:p w:rsidR="00501D26" w:rsidRDefault="00AD58FA">
                <w:pPr>
                  <w:jc w:val="both"/>
                </w:pPr>
                <w:r>
                  <w:t>8.1.7. pastatytos, bet iki perleidimo pareiškėjo nuosavybėn neeksploatuotos elektrinės įsigijimo investicinės išlaidos;</w:t>
                </w:r>
              </w:p>
              <w:p w:rsidR="00501D26" w:rsidRDefault="00AD58FA">
                <w:pPr>
                  <w:jc w:val="both"/>
                </w:pPr>
                <w:r>
                  <w:t>8.1.8. pastatytos ir neeksploatuotos elektrinės dalies įsigijimo investicinės išlaidos.</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Netinkamos finansuoti išlaidos  </w:t>
                </w:r>
              </w:p>
              <w:p w:rsidR="00501D26" w:rsidRDefault="00501D26">
                <w:pPr>
                  <w:suppressAutoHyphens/>
                  <w:ind w:firstLine="62"/>
                  <w:jc w:val="both"/>
                  <w:textAlignment w:val="center"/>
                  <w:rPr>
                    <w:color w:val="000000"/>
                    <w:szCs w:val="24"/>
                    <w:lang w:eastAsia="lt-LT"/>
                  </w:rPr>
                </w:pPr>
              </w:p>
              <w:p w:rsidR="00501D26" w:rsidRDefault="00501D26">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501D26" w:rsidRDefault="00AD58FA">
                <w:pPr>
                  <w:jc w:val="both"/>
                  <w:rPr>
                    <w:rFonts w:eastAsia="Calibri"/>
                  </w:rPr>
                </w:pPr>
                <w:r>
                  <w:rPr>
                    <w:rFonts w:eastAsia="Calibri"/>
                  </w:rPr>
                  <w:t>9.1. Pagal Priemonę paskolos lėšomis negali būti apmokamos:</w:t>
                </w:r>
              </w:p>
              <w:p w:rsidR="00501D26" w:rsidRDefault="00AD58FA">
                <w:pPr>
                  <w:tabs>
                    <w:tab w:val="left" w:pos="0"/>
                  </w:tabs>
                  <w:jc w:val="both"/>
                  <w:rPr>
                    <w:rFonts w:eastAsia="Calibri"/>
                    <w:szCs w:val="24"/>
                  </w:rPr>
                </w:pPr>
                <w:r>
                  <w:rPr>
                    <w:rFonts w:eastAsia="Calibri"/>
                    <w:szCs w:val="24"/>
                  </w:rPr>
                  <w:t>9.1.1. paskolos gavėjo išlaidos, kurios nėra Tinkamos finansuoti Projekto išlaidos;</w:t>
                </w:r>
              </w:p>
              <w:p w:rsidR="00501D26" w:rsidRDefault="00AD58FA">
                <w:pPr>
                  <w:tabs>
                    <w:tab w:val="left" w:pos="0"/>
                  </w:tabs>
                  <w:jc w:val="both"/>
                  <w:rPr>
                    <w:rFonts w:eastAsia="Calibri"/>
                    <w:szCs w:val="24"/>
                  </w:rPr>
                </w:pPr>
                <w:r>
                  <w:rPr>
                    <w:rFonts w:eastAsia="Calibri"/>
                    <w:szCs w:val="24"/>
                  </w:rPr>
                  <w:t>9.1.2. išlaidos, kurios buvo finansuotos (apmokėtos) ar finansuojamos iš ES f</w:t>
                </w:r>
                <w:r>
                  <w:rPr>
                    <w:rFonts w:eastAsia="Calibri"/>
                    <w:szCs w:val="24"/>
                  </w:rPr>
                  <w:t>ondų, kitų ES finansinės paramos priemonių ir (ar) kitos tarptautinės paramos ar nacionalinių lėšų, jei, visas lėšas kartu sudėjus su Paskolos lėšomis, išlaidos būtų finansuotos daugiau kaip 100 procentų išlaidų vertės;</w:t>
                </w:r>
              </w:p>
              <w:p w:rsidR="00501D26" w:rsidRDefault="00AD58FA">
                <w:pPr>
                  <w:jc w:val="both"/>
                  <w:rPr>
                    <w:rFonts w:eastAsia="Calibri"/>
                  </w:rPr>
                </w:pPr>
                <w:r>
                  <w:rPr>
                    <w:rFonts w:eastAsia="Calibri"/>
                  </w:rPr>
                  <w:t>9.1.3. paraiškos paskolai bei Projek</w:t>
                </w:r>
                <w:r>
                  <w:rPr>
                    <w:rFonts w:eastAsia="Calibri"/>
                  </w:rPr>
                  <w:t>to aprašymo parengimo išlaidos;</w:t>
                </w:r>
              </w:p>
              <w:p w:rsidR="00501D26" w:rsidRDefault="00AD58FA">
                <w:pPr>
                  <w:jc w:val="both"/>
                  <w:rPr>
                    <w:rFonts w:eastAsia="Calibri"/>
                  </w:rPr>
                </w:pPr>
                <w:r>
                  <w:rPr>
                    <w:rFonts w:eastAsia="Calibri"/>
                  </w:rPr>
                  <w:t>9.1.4. </w:t>
                </w:r>
                <w:r>
                  <w:rPr>
                    <w:color w:val="000000"/>
                  </w:rPr>
                  <w:t xml:space="preserve"> žemės </w:t>
                </w:r>
                <w:r>
                  <w:rPr>
                    <w:rFonts w:eastAsia="Calibri"/>
                  </w:rPr>
                  <w:t>įsigijimo ir (ar) nuomos ir su tuo susijusios išlaidos;</w:t>
                </w:r>
              </w:p>
              <w:p w:rsidR="00501D26" w:rsidRDefault="00AD58FA">
                <w:pPr>
                  <w:jc w:val="both"/>
                  <w:rPr>
                    <w:rFonts w:eastAsia="Calibri"/>
                  </w:rPr>
                </w:pPr>
                <w:r>
                  <w:rPr>
                    <w:rFonts w:eastAsia="Calibri"/>
                  </w:rPr>
                  <w:t>9.1.5. Projekto investicijos, kurios pradėtos įgyvendinti iki paraiškos pateikimo dienos, t. y. iki paraiškos pateikimo dienos jau pasirašyta (-</w:t>
                </w:r>
                <w:proofErr w:type="spellStart"/>
                <w:r>
                  <w:rPr>
                    <w:rFonts w:eastAsia="Calibri"/>
                  </w:rPr>
                  <w:t>os</w:t>
                </w:r>
                <w:proofErr w:type="spellEnd"/>
                <w:r>
                  <w:rPr>
                    <w:rFonts w:eastAsia="Calibri"/>
                  </w:rPr>
                  <w:t xml:space="preserve">) </w:t>
                </w:r>
                <w:r>
                  <w:rPr>
                    <w:rFonts w:eastAsia="Calibri"/>
                  </w:rPr>
                  <w:t>sutartis (-</w:t>
                </w:r>
                <w:proofErr w:type="spellStart"/>
                <w:r>
                  <w:rPr>
                    <w:rFonts w:eastAsia="Calibri"/>
                  </w:rPr>
                  <w:t>ys</w:t>
                </w:r>
                <w:proofErr w:type="spellEnd"/>
                <w:r>
                  <w:rPr>
                    <w:rFonts w:eastAsia="Calibri"/>
                  </w:rPr>
                  <w:t>) ir (arba) apmokėta sąskaita dėl turto įsigijimo, prekių tiekimo ir (ar) paslaugų atlikimo, rangos darbų pradėjimo;</w:t>
                </w:r>
              </w:p>
              <w:p w:rsidR="00501D26" w:rsidRDefault="00AD58FA">
                <w:pPr>
                  <w:jc w:val="both"/>
                  <w:rPr>
                    <w:rFonts w:eastAsia="Calibri"/>
                  </w:rPr>
                </w:pPr>
                <w:r>
                  <w:rPr>
                    <w:rFonts w:eastAsia="Calibri"/>
                  </w:rPr>
                  <w:t>9.1.6. atsiskaitymams su Rusijos Federacijos, Baltarusijos Respublikos, Rusijos Federacijos aneksuotame Kryme, Moldovos Respub</w:t>
                </w:r>
                <w:r>
                  <w:rPr>
                    <w:rFonts w:eastAsia="Calibri"/>
                  </w:rPr>
                  <w:t xml:space="preserve">likos Vyriausybės nekontroliuojamoje </w:t>
                </w:r>
                <w:proofErr w:type="spellStart"/>
                <w:r>
                  <w:rPr>
                    <w:rFonts w:eastAsia="Calibri"/>
                  </w:rPr>
                  <w:t>Padniestrės</w:t>
                </w:r>
                <w:proofErr w:type="spellEnd"/>
                <w:r>
                  <w:rPr>
                    <w:rFonts w:eastAsia="Calibri"/>
                  </w:rPr>
                  <w:t xml:space="preserve"> teritorijoje bei </w:t>
                </w:r>
                <w:proofErr w:type="spellStart"/>
                <w:r>
                  <w:rPr>
                    <w:rFonts w:eastAsia="Calibri"/>
                  </w:rPr>
                  <w:t>Sakartvelo</w:t>
                </w:r>
                <w:proofErr w:type="spellEnd"/>
                <w:r>
                  <w:rPr>
                    <w:rFonts w:eastAsia="Calibri"/>
                  </w:rPr>
                  <w:t xml:space="preserve"> Vyriausybės nekontroliuojamose Abchazijos ir Pietų Osetijos teritorijose registruotais fiziniais ir (ar) juridiniais asmenimis;</w:t>
                </w:r>
              </w:p>
              <w:p w:rsidR="00501D26" w:rsidRDefault="00AD58FA">
                <w:pPr>
                  <w:jc w:val="both"/>
                  <w:rPr>
                    <w:color w:val="000000"/>
                    <w:lang w:eastAsia="lt-LT"/>
                  </w:rPr>
                </w:pPr>
                <w:r>
                  <w:rPr>
                    <w:rFonts w:eastAsia="Calibri"/>
                  </w:rPr>
                  <w:t xml:space="preserve">9.1.7. </w:t>
                </w:r>
                <w:r>
                  <w:rPr>
                    <w:color w:val="000000"/>
                    <w:lang w:eastAsia="lt-LT"/>
                  </w:rPr>
                  <w:t>Schemos 7.1.1, 7.1.2 ir 7.1.4 papunkčiuose n</w:t>
                </w:r>
                <w:r>
                  <w:rPr>
                    <w:color w:val="000000"/>
                    <w:lang w:eastAsia="lt-LT"/>
                  </w:rPr>
                  <w:t>urodytų paskolos gavėjų Projektų, kuriais siekiama įsigyti saulės ar vėjo elektrinę ar jos dalį, išlaidos, kai saulės ar vėjo elektrinės yra pastatytos ar įrengtos juridinio asmens, apibrėžto Schemos 7.1.3 papunktyje, ir buvo finansuotos iš Priemonei skirt</w:t>
                </w:r>
                <w:r>
                  <w:rPr>
                    <w:color w:val="000000"/>
                    <w:lang w:eastAsia="lt-LT"/>
                  </w:rPr>
                  <w:t xml:space="preserve">ų lėšų arba </w:t>
                </w:r>
                <w:r>
                  <w:t>pagal Lietuvos Respublikos Ekonomikos ir inovacijų ministerijos priemonę „Tiesioginės paskolos, skirtos atsinaujinančių išteklių energetikos projektams finansuoti“, kuri buvo patvirtinta Lietuvos Respublikos ekonomikos ir inovacijų ministro 202</w:t>
                </w:r>
                <w:r>
                  <w:t>3 m. liepos 13 d. įsakymu Nr. 4-387 „Dėl Skatinamosios finansinės priemonės „Tiesioginės paskolos, skirtos atsinaujinančių išteklių energetikos projektams finansuoti“ schemos patvirtinimo“</w:t>
                </w:r>
                <w:r>
                  <w:rPr>
                    <w:color w:val="000000"/>
                    <w:lang w:eastAsia="lt-LT"/>
                  </w:rPr>
                  <w:t>;</w:t>
                </w:r>
              </w:p>
              <w:p w:rsidR="00501D26" w:rsidRDefault="00AD58FA">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w:t>
                </w:r>
                <w:r>
                  <w:t>is teisės aktų nustatyta tvarka turi galimybę įtraukti PVM į PVM atskaitą, arba privatus juridinis asmuo.</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proofErr w:type="spellStart"/>
                <w:r>
                  <w:rPr>
                    <w:bCs/>
                    <w:i/>
                    <w:iCs/>
                    <w:sz w:val="20"/>
                  </w:rPr>
                  <w:t>Do-No-Significant</w:t>
                </w:r>
                <w:proofErr w:type="spellEnd"/>
                <w:r>
                  <w:rPr>
                    <w:bCs/>
                    <w:i/>
                    <w:iCs/>
                    <w:sz w:val="20"/>
                  </w:rPr>
                  <w:t xml:space="preserve"> </w:t>
                </w:r>
                <w:proofErr w:type="spellStart"/>
                <w:r>
                  <w:rPr>
                    <w:bCs/>
                    <w:i/>
                    <w:iCs/>
                    <w:sz w:val="20"/>
                  </w:rPr>
                  <w:t>Harm</w:t>
                </w:r>
                <w:proofErr w:type="spellEnd"/>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rPr>
                </w:pPr>
                <w:r>
                  <w:rPr>
                    <w:szCs w:val="24"/>
                  </w:rPr>
                  <w:t>Finansuojamas Projektas</w:t>
                </w:r>
                <w:r>
                  <w:rPr>
                    <w:rFonts w:eastAsia="Calibri"/>
                    <w:szCs w:val="24"/>
                  </w:rPr>
                  <w:t xml:space="preserve"> </w:t>
                </w:r>
                <w:r>
                  <w:rPr>
                    <w:szCs w:val="24"/>
                  </w:rPr>
                  <w:t>turi atitikti principą „nedaryti</w:t>
                </w:r>
                <w:r>
                  <w:rPr>
                    <w:szCs w:val="24"/>
                  </w:rPr>
                  <w:t xml:space="preserve">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w:t>
                </w:r>
                <w:r>
                  <w:rPr>
                    <w:rFonts w:eastAsia="Calibri"/>
                    <w:szCs w:val="24"/>
                  </w:rPr>
                  <w:t xml:space="preserve"> 2021 m. vasario 18 d. Komisijos pranešimu 2021/C 58/01 patvirtintas Reikšmingos žalos nedarymo principo taikymo pagal Ekonomikos gaivinimo ir atsparumo didinimo priemonės reglamentą technines gaires.</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11.</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textAlignment w:val="center"/>
                  <w:rPr>
                    <w:color w:val="000000"/>
                    <w:szCs w:val="24"/>
                    <w:lang w:eastAsia="lt-LT"/>
                  </w:rPr>
                </w:pPr>
                <w:r>
                  <w:rPr>
                    <w:color w:val="000000"/>
                    <w:szCs w:val="24"/>
                    <w:lang w:eastAsia="lt-LT"/>
                  </w:rPr>
                  <w:t>Paskolų teikimo sąlygos</w:t>
                </w:r>
              </w:p>
              <w:p w:rsidR="00501D26" w:rsidRDefault="00501D26">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rsidR="00501D26" w:rsidRDefault="00AD58FA">
                <w:pPr>
                  <w:suppressAutoHyphens/>
                  <w:jc w:val="both"/>
                  <w:textAlignment w:val="center"/>
                  <w:rPr>
                    <w:szCs w:val="24"/>
                  </w:rPr>
                </w:pPr>
                <w:r>
                  <w:rPr>
                    <w:color w:val="000000"/>
                  </w:rPr>
                  <w:t xml:space="preserve">11.1.1. </w:t>
                </w:r>
                <w:r>
                  <w:rPr>
                    <w:color w:val="000000"/>
                    <w:szCs w:val="24"/>
                  </w:rPr>
                  <w:t>Viešajam juridiniam asmeniui, kuriame 50 procentų ir daugiau akcijų, pajų ar kitokių d</w:t>
                </w:r>
                <w:r>
                  <w:rPr>
                    <w:color w:val="000000"/>
                    <w:szCs w:val="24"/>
                  </w:rPr>
                  <w:t>alyvavimą kapitale žyminčių kapitalo dalių arba 50 procentų ir daugiau įmonės dalyvių balsų tiesiogiai ar netiesiogiai (pagal balsavimo sutartį, balsavimo teisės perleidimo sutartį, įgaliojimą ir pan.) atskirai arba kartu turi valstybė ir (ar) savivaldybė,</w:t>
                </w:r>
                <w:r>
                  <w:rPr>
                    <w:color w:val="000000"/>
                    <w:szCs w:val="24"/>
                  </w:rPr>
                  <w:t xml:space="preserve"> gali būti suteiktas iki 100 proc. finansavimas nuo tinkamų finansuoti išlaidų sumos.</w:t>
                </w:r>
              </w:p>
              <w:p w:rsidR="00501D26" w:rsidRDefault="00AD58FA">
                <w:pPr>
                  <w:suppressAutoHyphens/>
                  <w:jc w:val="both"/>
                  <w:textAlignment w:val="center"/>
                  <w:rPr>
                    <w:color w:val="000000"/>
                  </w:rPr>
                </w:pPr>
                <w:r>
                  <w:rPr>
                    <w:color w:val="000000"/>
                  </w:rPr>
                  <w:t xml:space="preserve">11.1.2. </w:t>
                </w:r>
                <w:r>
                  <w:rPr>
                    <w:color w:val="000000"/>
                    <w:szCs w:val="24"/>
                  </w:rPr>
                  <w:t xml:space="preserve">   Privatiems juridiniams asmenims ir viešiesiems juridiniams asmenims, išskyrus nurodytus 11.1.1 papunktyje, gali būti suteiktas iki 80 proc. finansavimas nuo ti</w:t>
                </w:r>
                <w:r>
                  <w:rPr>
                    <w:color w:val="000000"/>
                    <w:szCs w:val="24"/>
                  </w:rPr>
                  <w:t>nkamų finansuoti išlaidų sumos be PVM.</w:t>
                </w:r>
              </w:p>
              <w:p w:rsidR="00501D26" w:rsidRDefault="00AD58FA">
                <w:pPr>
                  <w:suppressAutoHyphens/>
                  <w:jc w:val="both"/>
                  <w:textAlignment w:val="center"/>
                  <w:rPr>
                    <w:color w:val="000000"/>
                  </w:rPr>
                </w:pPr>
                <w:r>
                  <w:rPr>
                    <w:color w:val="000000"/>
                  </w:rPr>
                  <w:t>11.2. Paskolos laikotarpis ne ilgiau nei 20 metų imtinai, kai paskolos gavėjas siekia statyti ir (ar) įsirengti, ir (ar) įsigyti saulės ir (ar) vėjo, ir (ar) hibridinę elektrinę.</w:t>
                </w:r>
              </w:p>
              <w:p w:rsidR="00501D26" w:rsidRDefault="00AD58FA">
                <w:pPr>
                  <w:suppressAutoHyphens/>
                  <w:jc w:val="both"/>
                  <w:textAlignment w:val="center"/>
                  <w:rPr>
                    <w:color w:val="000000"/>
                    <w:szCs w:val="24"/>
                  </w:rPr>
                </w:pPr>
                <w:r>
                  <w:rPr>
                    <w:color w:val="000000"/>
                    <w:szCs w:val="24"/>
                  </w:rPr>
                  <w:t>11.3. Paskolos gavėjas gali paskolą ar</w:t>
                </w:r>
                <w:r>
                  <w:rPr>
                    <w:color w:val="000000"/>
                    <w:szCs w:val="24"/>
                  </w:rPr>
                  <w:t xml:space="preserve"> jos dalį grąžinti anksčiau nei Paskolos sutartyje nurodytas paskolos laikotarpis be jokių papildomų mokesčių;</w:t>
                </w:r>
              </w:p>
              <w:p w:rsidR="00501D26" w:rsidRDefault="00AD58FA">
                <w:pPr>
                  <w:jc w:val="both"/>
                  <w:rPr>
                    <w:color w:val="000000"/>
                  </w:rPr>
                </w:pPr>
                <w:r>
                  <w:rPr>
                    <w:color w:val="000000"/>
                  </w:rPr>
                  <w:t xml:space="preserve">11.4. </w:t>
                </w:r>
                <w:r>
                  <w:t xml:space="preserve">Metinė palūkanų norma nustatoma kaip kintamos palūkanos: 1 proc. + 6 mėn. EURIBOR (esant neigiamai 6 mėn. EURIBOR reikšmei, laikoma, kad 6 </w:t>
                </w:r>
                <w:r>
                  <w:t>mėn. EURIBOR reikšmė lygi 0 proc. Visais atvejais metinė palūkanų norma negali viršyti 3 proc.</w:t>
                </w:r>
                <w:r>
                  <w:rPr>
                    <w:color w:val="000000"/>
                  </w:rPr>
                  <w:t xml:space="preserve">;  </w:t>
                </w:r>
              </w:p>
              <w:p w:rsidR="00501D26" w:rsidRDefault="00AD58FA">
                <w:pPr>
                  <w:jc w:val="both"/>
                  <w:rPr>
                    <w:color w:val="000000"/>
                    <w:szCs w:val="24"/>
                  </w:rPr>
                </w:pPr>
                <w:r>
                  <w:rPr>
                    <w:color w:val="000000"/>
                    <w:szCs w:val="24"/>
                  </w:rPr>
                  <w:t>11.5. Paskolos panaudojimo laikotarpis:</w:t>
                </w:r>
              </w:p>
              <w:p w:rsidR="00501D26" w:rsidRDefault="00AD58FA">
                <w:pPr>
                  <w:jc w:val="both"/>
                  <w:rPr>
                    <w:color w:val="000000"/>
                    <w:szCs w:val="24"/>
                  </w:rPr>
                </w:pPr>
                <w:r>
                  <w:rPr>
                    <w:color w:val="000000"/>
                    <w:szCs w:val="24"/>
                  </w:rPr>
                  <w:t>11.5.1. iki 36 mėnesių imtinai, pradedant skaičiuoti nuo Paskolos sutarties sudarymo, kai paskolos gavėjas siekia stat</w:t>
                </w:r>
                <w:r>
                  <w:rPr>
                    <w:color w:val="000000"/>
                    <w:szCs w:val="24"/>
                  </w:rPr>
                  <w:t>yti ir (ar) įsirengti ir (ar) įsigyti saulės elektrinę;</w:t>
                </w:r>
              </w:p>
              <w:p w:rsidR="00501D26" w:rsidRDefault="00AD58FA">
                <w:pPr>
                  <w:jc w:val="both"/>
                  <w:rPr>
                    <w:color w:val="000000"/>
                    <w:szCs w:val="24"/>
                  </w:rPr>
                </w:pPr>
                <w:r>
                  <w:rPr>
                    <w:color w:val="000000"/>
                    <w:szCs w:val="24"/>
                  </w:rPr>
                  <w:t>11.5.2. iki 48 mėnesių imtinai, pradedant skaičiuoti nuo Paskolos sutarties sudarymo, kai paskolos gavėjas siekia statyti ir (ar) įsirengti ir (ar) įsigyti vėjo elektrinę ar hibridinę (kurios viena da</w:t>
                </w:r>
                <w:r>
                  <w:rPr>
                    <w:color w:val="000000"/>
                    <w:szCs w:val="24"/>
                  </w:rPr>
                  <w:t>lių – vėjo, o kita – saulės) elektrinę.</w:t>
                </w:r>
              </w:p>
              <w:p w:rsidR="00501D26" w:rsidRDefault="00AD58FA">
                <w:pPr>
                  <w:jc w:val="both"/>
                  <w:rPr>
                    <w:color w:val="000000"/>
                  </w:rPr>
                </w:pPr>
                <w:r>
                  <w:rPr>
                    <w:color w:val="000000"/>
                  </w:rPr>
                  <w:t xml:space="preserve">11.6. Paskolos panaudojimo laikotarpis gali būti pratęstas paskolos gavėjo prašymu paskolos gavėjo ir paskolos davėjo rašytiniu  susitarimu; </w:t>
                </w:r>
              </w:p>
              <w:p w:rsidR="00501D26" w:rsidRDefault="00AD58FA">
                <w:pPr>
                  <w:spacing w:line="259" w:lineRule="auto"/>
                  <w:jc w:val="both"/>
                  <w:rPr>
                    <w:color w:val="000000"/>
                    <w:szCs w:val="24"/>
                  </w:rPr>
                </w:pPr>
                <w:r>
                  <w:rPr>
                    <w:color w:val="000000"/>
                  </w:rPr>
                  <w:t xml:space="preserve">11.7. Paskolos gavėjas paskolą turi pradėti grąžinti pagal paskolos </w:t>
                </w:r>
                <w:r>
                  <w:rPr>
                    <w:color w:val="000000"/>
                  </w:rPr>
                  <w:t>gavėjui pateikiamą grafiką, kuris yra sudedamoji Paskolos sutarties dalis.</w:t>
                </w:r>
              </w:p>
              <w:p w:rsidR="00501D26" w:rsidRDefault="00AD58FA">
                <w:pPr>
                  <w:suppressAutoHyphens/>
                  <w:jc w:val="both"/>
                  <w:textAlignment w:val="center"/>
                  <w:rPr>
                    <w:color w:val="000000"/>
                    <w:szCs w:val="24"/>
                  </w:rPr>
                </w:pPr>
                <w:r>
                  <w:rPr>
                    <w:color w:val="000000"/>
                    <w:szCs w:val="24"/>
                  </w:rPr>
                  <w:t>11.8. Už paskolos panaudojimą pagal Paskolos sutartyje nurodytą paskirtį atsakingas paskolos gavėjas;</w:t>
                </w:r>
              </w:p>
              <w:p w:rsidR="00501D26" w:rsidRDefault="00AD58FA">
                <w:pPr>
                  <w:suppressAutoHyphens/>
                  <w:jc w:val="both"/>
                  <w:textAlignment w:val="center"/>
                  <w:rPr>
                    <w:szCs w:val="24"/>
                  </w:rPr>
                </w:pPr>
                <w:r>
                  <w:rPr>
                    <w:szCs w:val="24"/>
                  </w:rPr>
                  <w:t>11.9. Jei nustatoma, kad paskolos gavėjas pateikė neteisingą informaciją ir (ar</w:t>
                </w:r>
                <w:r>
                  <w:rPr>
                    <w:szCs w:val="24"/>
                  </w:rPr>
                  <w:t xml:space="preserve">) dokumentus ir (ar) nuslėpė informaciją, turinčią reikšmės paskolos suteikimui, paskolos gavėjas privalo grąžinti visą neteisėtai gautą valstybės pagalbą su Paskolos sutartyje nustatytomis palūkanomis ir su palūkanomis, kurios skaičiuojamos nuo valstybės </w:t>
                </w:r>
                <w:r>
                  <w:rPr>
                    <w:szCs w:val="24"/>
                  </w:rPr>
                  <w:t>pagalbos suteikimo dienos iki jos išieškojimo dienos, kaip nustatyta Reglamente (ES) 2015/1589;</w:t>
                </w:r>
              </w:p>
              <w:p w:rsidR="00501D26" w:rsidRDefault="00AD58FA">
                <w:pPr>
                  <w:suppressAutoHyphens/>
                  <w:jc w:val="both"/>
                  <w:textAlignment w:val="center"/>
                  <w:rPr>
                    <w:color w:val="000000"/>
                  </w:rPr>
                </w:pPr>
                <w:r>
                  <w:rPr>
                    <w:color w:val="000000"/>
                  </w:rPr>
                  <w:t xml:space="preserve">11.10. Išsami Priemonės įgyvendinimo tvarka ir procedūros  nustatomos Priemonės aprašyme, tvirtinamame ILTE generalinio direktoriaus įsakymu. </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Privataus fi</w:t>
                </w:r>
                <w:r>
                  <w:rPr>
                    <w:color w:val="000000"/>
                    <w:lang w:eastAsia="lt-LT"/>
                  </w:rPr>
                  <w:t>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jc w:val="both"/>
                  <w:textAlignment w:val="baseline"/>
                  <w:rPr>
                    <w:color w:val="000000"/>
                    <w:szCs w:val="24"/>
                  </w:rPr>
                </w:pPr>
                <w:r>
                  <w:rPr>
                    <w:color w:val="000000"/>
                    <w:szCs w:val="24"/>
                  </w:rPr>
                  <w:t>12. Privačiajam juridiniam asmeniui ir (arba) viešajam juridiniam asmeniui, išskyrus nurodytą 11.1.1 papunktyje, Paskola gali būti suteikta tik tuo atveju, jei bent 20 proc. Projekto tink</w:t>
                </w:r>
                <w:r>
                  <w:rPr>
                    <w:color w:val="000000"/>
                    <w:szCs w:val="24"/>
                  </w:rPr>
                  <w:t>amų finansuoti išlaidų dalis ir visos netinkamomis pripažintos išlaidos yra finansuojamos Paskolos gavėjo nuosavomis ar (ir) skolintomis lėšomis. Paskolos gavėjo nuosavos arba skolintos lėšos negali būti finansuotos ar finansuojamos iš kitų Lietuvos Respub</w:t>
                </w:r>
                <w:r>
                  <w:rPr>
                    <w:color w:val="000000"/>
                    <w:szCs w:val="24"/>
                  </w:rPr>
                  <w:t xml:space="preserve">likos valstybės biudžeto ir (arba) savivaldybių biudžetų, kitų piniginių išteklių, kuriais disponuoja valstybė ir (ar) savivaldybės, Europos Sąjungos (toliau – ES) struktūrinių fondų, kitų ES finansinės paramos priemonių ar kitos tarptautinės paramos lėšų </w:t>
                </w:r>
                <w:r>
                  <w:rPr>
                    <w:color w:val="000000"/>
                    <w:szCs w:val="24"/>
                  </w:rPr>
                  <w:t>ir šiam finansavimui gauti negali būti suteikta valstybės pagalba.</w:t>
                </w:r>
              </w:p>
              <w:p w:rsidR="00501D26" w:rsidRDefault="00501D26">
                <w:pPr>
                  <w:jc w:val="both"/>
                  <w:textAlignment w:val="baseline"/>
                  <w:rPr>
                    <w:color w:val="000000"/>
                    <w:szCs w:val="24"/>
                  </w:rPr>
                </w:pP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13.</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tabs>
                    <w:tab w:val="left" w:pos="993"/>
                  </w:tabs>
                  <w:jc w:val="both"/>
                  <w:rPr>
                    <w:color w:val="000000"/>
                    <w:lang w:eastAsia="lt-LT"/>
                  </w:rPr>
                </w:pPr>
                <w:r>
                  <w:rPr>
                    <w:szCs w:val="24"/>
                  </w:rPr>
                  <w:t xml:space="preserve">13.1. Vienam paskolos gavėjui ar įmonių grupei (jei paskolos gavėjas priklauso įmonių grupei) gali būti suteikiamos kelios </w:t>
                </w:r>
                <w:r>
                  <w:rPr>
                    <w:szCs w:val="24"/>
                  </w:rPr>
                  <w:t>paskolos, tačiau bendra Paskolų suma negali būti didesnė kaip</w:t>
                </w:r>
                <w:r>
                  <w:rPr>
                    <w:i/>
                    <w:iCs/>
                    <w:szCs w:val="24"/>
                  </w:rPr>
                  <w:t xml:space="preserve"> </w:t>
                </w:r>
                <w:r>
                  <w:rPr>
                    <w:color w:val="000000"/>
                    <w:szCs w:val="24"/>
                    <w:lang w:eastAsia="lt-LT"/>
                  </w:rPr>
                  <w:t xml:space="preserve">100 000 000 (šimtas milijonų) eurų. Suteikiamos paskolos dydis paskolos gavėjui ar įmonių grupei (jei paskolos gavėjas priklauso įmonių grupei) turi neviršyti galimo suteikti valstybės pagalbos </w:t>
                </w:r>
                <w:r>
                  <w:rPr>
                    <w:color w:val="000000"/>
                    <w:szCs w:val="24"/>
                    <w:lang w:eastAsia="lt-LT"/>
                  </w:rPr>
                  <w:t>dydžio vienam Projektui, kaip nurodyta Reglamento (ES) Nr. 651/2014 4 straipsnio 1 dalies s) punkte.</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Valstybės pagalbos apskaičiavimas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jc w:val="both"/>
                  <w:rPr>
                    <w:color w:val="000000"/>
                  </w:rPr>
                </w:pPr>
                <w:r>
                  <w:rPr>
                    <w:color w:val="000000"/>
                  </w:rPr>
                  <w:t>14.1. Valstybės pagalbos, suteikiamos paskolos davėjui, dydį kaip bendrąjį subsidijos ekvivalentą (toliau – BSE) sk</w:t>
                </w:r>
                <w:r>
                  <w:rPr>
                    <w:color w:val="000000"/>
                  </w:rPr>
                  <w:t>aičiuoja ILTE, atsižvelgdama į Europos Komisijos komunikatą dėl orientacinių ir  diskonto normų nustatymo metodo pakeitimo (2008/C 14/02)9;</w:t>
                </w:r>
              </w:p>
              <w:p w:rsidR="00501D26" w:rsidRDefault="00AD58FA">
                <w:pPr>
                  <w:jc w:val="both"/>
                  <w:rPr>
                    <w:color w:val="000000"/>
                  </w:rPr>
                </w:pPr>
                <w:r>
                  <w:rPr>
                    <w:color w:val="000000"/>
                  </w:rPr>
                  <w:t xml:space="preserve">14.2. Paskolos gavėjui apskaičiuotas valstybės pagalbos dydis (BSE), priklauso nuo paskolos gavėjui nustatytos </w:t>
                </w:r>
                <w:r>
                  <w:rPr>
                    <w:color w:val="000000"/>
                  </w:rPr>
                  <w:t>paskolos palūkanų normos ir orientacinės rinkos palūkanų normos skirtumo bei atitinkamos taikomos rizikos premijos (maržos), kuri priklauso nuo paskolos gavėjo reitingo ir įkeičiamo turto dydžio;</w:t>
                </w:r>
              </w:p>
              <w:p w:rsidR="00501D26" w:rsidRDefault="00AD58FA">
                <w:pPr>
                  <w:jc w:val="both"/>
                  <w:rPr>
                    <w:color w:val="000000"/>
                  </w:rPr>
                </w:pPr>
                <w:r>
                  <w:rPr>
                    <w:color w:val="000000"/>
                  </w:rPr>
                  <w:t>14.3. Skaičiuojant BSE, yra įvertinama paskolos suma, paskol</w:t>
                </w:r>
                <w:r>
                  <w:rPr>
                    <w:color w:val="000000"/>
                  </w:rPr>
                  <w:t>os laikotarpis ir metinė palūkanų norma;</w:t>
                </w:r>
              </w:p>
              <w:p w:rsidR="00501D26" w:rsidRDefault="00AD58FA">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w:t>
                </w:r>
                <w:r>
                  <w:rPr>
                    <w:color w:val="000000"/>
                  </w:rPr>
                  <w:t>o (2008/C 14/02)9;</w:t>
                </w:r>
              </w:p>
              <w:p w:rsidR="00501D26" w:rsidRDefault="00AD58FA">
                <w:pPr>
                  <w:jc w:val="both"/>
                  <w:rPr>
                    <w:color w:val="000000"/>
                  </w:rPr>
                </w:pPr>
                <w:r>
                  <w:rPr>
                    <w:color w:val="000000"/>
                  </w:rPr>
                  <w:t xml:space="preserve">14.5. Jeigu BSE viršija didžiausią galimą suteikti valstybės pagalbos dydį, atitinkamai, suderinus su paskolos gavėjui, yra keičiamos paskolos suteikimo sąlygos (paskolos suma, paskolos laikotarpis, paskolos palūkanų normos dydis), arba </w:t>
                </w:r>
                <w:r>
                  <w:rPr>
                    <w:color w:val="000000"/>
                  </w:rPr>
                  <w:t>paskola nesuteikiama.</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15.</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jc w:val="both"/>
                  <w:textAlignment w:val="center"/>
                  <w:rPr>
                    <w:szCs w:val="24"/>
                  </w:rPr>
                </w:pPr>
                <w:r>
                  <w:t>Pagal Schemą teikiama valstybės pagalba sumuojama, kaip tai nurodyta Reglamento (ES) Nr. 651/2014 8 straipsnyje.</w:t>
                </w:r>
              </w:p>
            </w:tc>
          </w:tr>
          <w:tr w:rsidR="00501D26">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16.</w:t>
                </w:r>
              </w:p>
              <w:p w:rsidR="00501D26" w:rsidRDefault="00501D26">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Stebėsena</w:t>
                </w:r>
              </w:p>
              <w:p w:rsidR="00501D26" w:rsidRDefault="00501D26">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szCs w:val="24"/>
                  </w:rPr>
                </w:pPr>
                <w:r>
                  <w:rPr>
                    <w:szCs w:val="24"/>
                  </w:rPr>
                  <w:t xml:space="preserve">16.1. Paskolos davėjas turi užtikrinti, kad teikiamos paskolos </w:t>
                </w:r>
                <w:r>
                  <w:rPr>
                    <w:szCs w:val="24"/>
                  </w:rPr>
                  <w:t>atitiktų Reglamento (ES) Nr. 651/2014, ir Schemos nuostatas</w:t>
                </w:r>
              </w:p>
              <w:p w:rsidR="00501D26" w:rsidRDefault="00AD58FA">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registrui, vadovaudamasi Suteiktos valstybės pagalbos ir ner</w:t>
                </w:r>
                <w:r>
                  <w:rPr>
                    <w:color w:val="000000"/>
                    <w:szCs w:val="24"/>
                    <w:lang w:eastAsia="lt-LT"/>
                  </w:rPr>
                  <w:t>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registro nuostatų patvirtinimo“.</w:t>
                </w:r>
              </w:p>
            </w:tc>
          </w:tr>
          <w:tr w:rsidR="00501D26">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suppressAutoHyphens/>
                  <w:jc w:val="both"/>
                  <w:textAlignment w:val="center"/>
                  <w:rPr>
                    <w:color w:val="000000"/>
                    <w:lang w:eastAsia="lt-LT"/>
                  </w:rPr>
                </w:pPr>
                <w:r>
                  <w:rPr>
                    <w:color w:val="000000"/>
                    <w:lang w:eastAsia="lt-LT"/>
                  </w:rPr>
                  <w:t>Skaidru</w:t>
                </w:r>
                <w:r>
                  <w:rPr>
                    <w:color w:val="000000"/>
                    <w:lang w:eastAsia="lt-LT"/>
                  </w:rPr>
                  <w:t>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501D26" w:rsidRDefault="00AD58FA">
                <w:pPr>
                  <w:jc w:val="both"/>
                </w:pPr>
                <w:r>
                  <w:t>17.1. Vadovaujantis Reglamento (ES) Nr. 651/2014 9 straipsnio nuostatomis, informaciją apie suteiktą valstybės pagalbą ne vėliau kaip per 6 mėnesius nuo valstybės pagalbos suteikimo dienos būtina paskelbti Europos Komisijos valstybės pagalb</w:t>
                </w:r>
                <w:r>
                  <w:t>os skaidrumo viešos paieškos interneto svetainėje https://webgate.ec.europa.eu/competition/transparency/public?lang=en.</w:t>
                </w:r>
              </w:p>
              <w:p w:rsidR="00501D26" w:rsidRDefault="00AD58FA">
                <w:pPr>
                  <w:jc w:val="both"/>
                </w:pPr>
                <w:r>
                  <w:t>17.2. Reglamento (ES) Nr. 651/2014 III priede nurodytą informaciją pagalbos davėjas ne vėliau kaip per 3 mėnesius nuo pagalbos suteikimo</w:t>
                </w:r>
                <w:r>
                  <w:t xml:space="preserve"> dienos pateikia Lietuvos Respublikos energetikos ministerijai, kuri ją paskelbia Schemos 17.1 papunktyje nurodytoje interneto svetainėje.</w:t>
                </w:r>
              </w:p>
              <w:p w:rsidR="00501D26" w:rsidRDefault="00AD58FA">
                <w:pPr>
                  <w:jc w:val="both"/>
                </w:pPr>
                <w:r>
                  <w:t>17.3. Energetikos ministerija užtikrina, kad įgyvendinant valstybės pagalbos schemą, kuriai taikoma išimtis pagal Reg</w:t>
                </w:r>
                <w:r>
                  <w:t>lamentą (ES) Nr. 651/2014, vadovaujantis šio reglamento 11 straipsnyje nustatyta tvarka, Europos Komisijai būtų perduodama informacijos apie tokią pagalbą santrauka pagal šio reglamento II priede pateiktą standartinę formą. Užpildyta forma Europos Komisija</w:t>
                </w:r>
                <w:r>
                  <w:t>i perduodama per Konkurencijos tarybą.</w:t>
                </w:r>
              </w:p>
              <w:p w:rsidR="00501D26" w:rsidRDefault="00AD58FA">
                <w:pPr>
                  <w:jc w:val="both"/>
                </w:pPr>
                <w:r>
                  <w:t>17.4. Informacija ir dokumentai, susiję su valstybės pagalbos teikimu ir Schemos reikalavimų įgyvendinimu, paskolos davėjo saugomi 10 metų nuo paskutinės pagalbos suteikimo dienos ar atitinkamai nuo paskutinio dokumen</w:t>
                </w:r>
                <w:r>
                  <w:t>to dėl pagalbos suteikimo gavimo datos.</w:t>
                </w:r>
              </w:p>
              <w:p w:rsidR="00501D26" w:rsidRDefault="00AD58FA">
                <w:pPr>
                  <w:jc w:val="both"/>
                </w:pPr>
                <w:r>
                  <w:t>17.5. Duomenų valdytoja ILTE tvarko su Priemonės įgyvendinimu susijusius asmens duomenis: pareiškėjo (jo atstovo) kartu su paraiška pateikti bei teisės aktų nustatyta tvarka iš kitų šaltinių gauti atstovų/partnerių (</w:t>
                </w:r>
                <w:r>
                  <w:t>komandos) narių, privataus finansuoto (taip pat fizinio asmens), užtikrinimo priemonės teikėjo asmens duomenis, nurodytus šios Priemonės įgyvendinimo sąlygų aprašymo,  tvirtinamo ILTE generalinio direktoriaus įsakymu, priede „Privatumo pranešimas duomenų s</w:t>
                </w:r>
                <w:r>
                  <w:t>ubjektams apie asmens duomenų tvarkymą įgyvendinant finansinę priemonę „Privačių ir viešųjų juridinių asmenų investicijos į elektros energijos iš AEI gamybos įrenginius“ nustatytais tikslais ir sąlygomis.  Privatumo pranešimas duomenų subjektams apie asmen</w:t>
                </w:r>
                <w:r>
                  <w:t>s duomenų tvarkymą įgyvendinant finansinę priemonę „Privačių ir viešųjų juridinių asmenų investicijos į elektros energijos iš AEI gamybos įrenginius“ yra skelbiamas ILTE interneto svetainėje (https://ilte.lt/).</w:t>
                </w:r>
              </w:p>
            </w:tc>
          </w:tr>
        </w:tbl>
        <w:p w:rsidR="00501D26" w:rsidRDefault="00501D26">
          <w:pPr>
            <w:widowControl w:val="0"/>
            <w:jc w:val="center"/>
            <w:rPr>
              <w:color w:val="000000"/>
            </w:rPr>
          </w:pPr>
        </w:p>
        <w:p w:rsidR="00501D26" w:rsidRDefault="00AD58FA" w:rsidP="00AD58FA">
          <w:pPr>
            <w:widowControl w:val="0"/>
            <w:jc w:val="center"/>
          </w:pPr>
          <w:r>
            <w:rPr>
              <w:color w:val="000000"/>
              <w:szCs w:val="24"/>
            </w:rPr>
            <w:t>_____________________</w:t>
          </w:r>
        </w:p>
        <w:bookmarkStart w:id="0" w:name="_GoBack" w:displacedByCustomXml="next"/>
        <w:bookmarkEnd w:id="0" w:displacedByCustomXml="next"/>
      </w:sdtContent>
    </w:sdt>
    <w:sectPr w:rsidR="00501D26" w:rsidSect="00AD58FA">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8FA" w:rsidRDefault="00AD58FA" w:rsidP="00AD58FA">
      <w:r>
        <w:separator/>
      </w:r>
    </w:p>
  </w:endnote>
  <w:endnote w:type="continuationSeparator" w:id="0">
    <w:p w:rsidR="00AD58FA" w:rsidRDefault="00AD58FA" w:rsidP="00AD5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8FA" w:rsidRDefault="00AD58FA">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8FA" w:rsidRDefault="00AD58FA">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8FA" w:rsidRDefault="00AD58F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8FA" w:rsidRDefault="00AD58FA" w:rsidP="00AD58FA">
      <w:r>
        <w:separator/>
      </w:r>
    </w:p>
  </w:footnote>
  <w:footnote w:type="continuationSeparator" w:id="0">
    <w:p w:rsidR="00AD58FA" w:rsidRDefault="00AD58FA" w:rsidP="00AD58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8FA" w:rsidRDefault="00AD58FA">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1135816"/>
      <w:docPartObj>
        <w:docPartGallery w:val="Page Numbers (Top of Page)"/>
        <w:docPartUnique/>
      </w:docPartObj>
    </w:sdtPr>
    <w:sdtContent>
      <w:p w:rsidR="00AD58FA" w:rsidRDefault="00AD58FA">
        <w:pPr>
          <w:pStyle w:val="Antrats"/>
          <w:jc w:val="center"/>
        </w:pPr>
        <w:r>
          <w:fldChar w:fldCharType="begin"/>
        </w:r>
        <w:r>
          <w:instrText>PAGE   \* MERGEFORMAT</w:instrText>
        </w:r>
        <w:r>
          <w:fldChar w:fldCharType="separate"/>
        </w:r>
        <w:r>
          <w:rPr>
            <w:noProof/>
          </w:rPr>
          <w:t>10</w:t>
        </w:r>
        <w:r>
          <w:fldChar w:fldCharType="end"/>
        </w:r>
      </w:p>
    </w:sdtContent>
  </w:sdt>
  <w:p w:rsidR="00AD58FA" w:rsidRDefault="00AD58FA">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8FA" w:rsidRDefault="00AD58F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B80"/>
    <w:rsid w:val="00501D26"/>
    <w:rsid w:val="00AC6B80"/>
    <w:rsid w:val="00AD58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FFDBE8-0E0C-4E9C-82CA-3BAE712B8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D58FA"/>
    <w:pPr>
      <w:tabs>
        <w:tab w:val="center" w:pos="4819"/>
        <w:tab w:val="right" w:pos="9638"/>
      </w:tabs>
    </w:pPr>
  </w:style>
  <w:style w:type="character" w:customStyle="1" w:styleId="AntratsDiagrama">
    <w:name w:val="Antraštės Diagrama"/>
    <w:basedOn w:val="Numatytasispastraiposriftas"/>
    <w:link w:val="Antrats"/>
    <w:uiPriority w:val="99"/>
    <w:rsid w:val="00AD58FA"/>
  </w:style>
  <w:style w:type="paragraph" w:styleId="Porat">
    <w:name w:val="footer"/>
    <w:basedOn w:val="prastasis"/>
    <w:link w:val="PoratDiagrama"/>
    <w:unhideWhenUsed/>
    <w:rsid w:val="00AD58FA"/>
    <w:pPr>
      <w:tabs>
        <w:tab w:val="center" w:pos="4819"/>
        <w:tab w:val="right" w:pos="9638"/>
      </w:tabs>
    </w:pPr>
  </w:style>
  <w:style w:type="character" w:customStyle="1" w:styleId="PoratDiagrama">
    <w:name w:val="Poraštė Diagrama"/>
    <w:basedOn w:val="Numatytasispastraiposriftas"/>
    <w:link w:val="Porat"/>
    <w:rsid w:val="00AD58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b9d53ace124b94bc0c7c8388722d5b" PartId="6eef4c6200714f04a51b07487c2895fb">
    <Part Type="punktas" Nr="1" Abbr="1 p." DocPartId="9a905d1a4e45432791efd71a4df37c5c" PartId="88ddb0c6de41469fb677b32104b133ff"/>
    <Part Type="punktas" Nr="2" Abbr="2 p." DocPartId="2cc1f929ea7444c4ae2bbb5e079cfc86" PartId="2b085257ebfd4ded8cb41a06be42cd4b"/>
    <Part Type="signatura" DocPartId="e3df6829f17b4f4dae642d69fbf05fd7" PartId="5353b6ba6f6d4b7eb51b8ce60bc4823f"/>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15eae0fbe3b24372abb2163be49ee43a" PartId="4ec46d5854d24c41a7459ab4de3ee2ac"/>
</Parts>
</file>

<file path=customXml/itemProps1.xml><?xml version="1.0" encoding="utf-8"?>
<ds:datastoreItem xmlns:ds="http://schemas.openxmlformats.org/officeDocument/2006/customXml" ds:itemID="{95C8EE70-9C05-49CD-9686-3BAE090F44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18241</Words>
  <Characters>10398</Characters>
  <Application>Microsoft Office Word</Application>
  <DocSecurity>0</DocSecurity>
  <Lines>86</Lines>
  <Paragraphs>57</Paragraphs>
  <ScaleCrop>false</ScaleCrop>
  <Company/>
  <LinksUpToDate>false</LinksUpToDate>
  <CharactersWithSpaces>28582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Kundavičienė</dc:creator>
  <cp:lastModifiedBy>JUOSPONIENĖ Karolina</cp:lastModifiedBy>
  <cp:revision>3</cp:revision>
  <dcterms:created xsi:type="dcterms:W3CDTF">2025-01-27T13:16:00Z</dcterms:created>
  <dcterms:modified xsi:type="dcterms:W3CDTF">2025-01-27T13:18:00Z</dcterms:modified>
</cp:coreProperties>
</file>