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8f927dfa86054e40b2127851d717b546"/>
        <w:id w:val="1160967100"/>
        <w:lock w:val="sdtLocked"/>
      </w:sdtPr>
      <w:sdtEndPr/>
      <w:sdtContent>
        <w:p w:rsidR="002F5F35" w:rsidRDefault="002F5F35">
          <w:pPr>
            <w:jc w:val="center"/>
            <w:rPr>
              <w:lang w:eastAsia="lt-LT"/>
            </w:rPr>
          </w:pPr>
        </w:p>
        <w:p w:rsidR="002F5F35" w:rsidRDefault="002F5F35">
          <w:pPr>
            <w:jc w:val="center"/>
            <w:rPr>
              <w:lang w:eastAsia="lt-LT"/>
            </w:rPr>
          </w:pPr>
        </w:p>
        <w:p w:rsidR="002F5F35" w:rsidRDefault="009F4EEC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5B4FC4CB" wp14:editId="1E3D7A90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2F5F35" w:rsidRDefault="002F5F35" w:rsidP="009F4EEC">
          <w:pPr>
            <w:jc w:val="center"/>
            <w:rPr>
              <w:sz w:val="10"/>
              <w:szCs w:val="10"/>
            </w:rPr>
          </w:pPr>
        </w:p>
        <w:p w:rsidR="002F5F35" w:rsidRDefault="009F4EEC" w:rsidP="009F4EEC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2F5F35" w:rsidRDefault="002F5F35" w:rsidP="009F4EEC">
          <w:pPr>
            <w:jc w:val="center"/>
            <w:rPr>
              <w:caps/>
              <w:lang w:eastAsia="lt-LT"/>
            </w:rPr>
          </w:pPr>
        </w:p>
        <w:p w:rsidR="002F5F35" w:rsidRDefault="009F4EEC" w:rsidP="009F4EEC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2F5F35" w:rsidRDefault="009F4EEC" w:rsidP="009F4EEC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 xml:space="preserve">DĖL LIETUVOS RESPUBLIKOS VYRIAUSYBĖS </w:t>
          </w:r>
        </w:p>
        <w:p w:rsidR="002F5F35" w:rsidRDefault="009F4EEC" w:rsidP="009F4EEC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 xml:space="preserve">2021 M. GRUODŽIO 22 D. NUTARIMO NR. 1123 „DĖL REGIONINĖS PAGALBOS TEIKIMO PAGAL LIETUVOS RESPUBLIKOS REGIONINĖS PAGALBOS ŽEMĖLAPĮ, TAIKYTINĄ NUO 2022 M. SAUSIO 1 D. </w:t>
          </w:r>
        </w:p>
        <w:p w:rsidR="002F5F35" w:rsidRDefault="009F4EEC" w:rsidP="009F4EEC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IKI 2027 M. GRUODŽIO 31 D.“ PAKEITIMO</w:t>
          </w:r>
        </w:p>
        <w:p w:rsidR="002F5F35" w:rsidRDefault="002F5F35" w:rsidP="009F4EEC">
          <w:pPr>
            <w:tabs>
              <w:tab w:val="center" w:pos="4153"/>
              <w:tab w:val="right" w:pos="8306"/>
            </w:tabs>
            <w:jc w:val="center"/>
            <w:rPr>
              <w:lang w:eastAsia="lt-LT"/>
            </w:rPr>
          </w:pPr>
        </w:p>
        <w:p w:rsidR="009F4EEC" w:rsidRPr="009F4EEC" w:rsidRDefault="009F4EEC" w:rsidP="009F4EEC">
          <w:pPr>
            <w:jc w:val="center"/>
            <w:rPr>
              <w:szCs w:val="24"/>
              <w:lang w:eastAsia="lt-LT"/>
            </w:rPr>
          </w:pPr>
          <w:r>
            <w:rPr>
              <w:lang w:eastAsia="lt-LT"/>
            </w:rPr>
            <w:t xml:space="preserve">2024 m. lapkričio 27 d. </w:t>
          </w:r>
          <w:r>
            <w:rPr>
              <w:lang w:eastAsia="lt-LT"/>
            </w:rPr>
            <w:t xml:space="preserve">Nr. </w:t>
          </w:r>
          <w:r w:rsidRPr="009F4EEC">
            <w:rPr>
              <w:szCs w:val="24"/>
              <w:lang w:eastAsia="lt-LT"/>
            </w:rPr>
            <w:t>1019</w:t>
          </w:r>
        </w:p>
        <w:p w:rsidR="002F5F35" w:rsidRDefault="009F4EEC" w:rsidP="009F4EEC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2F5F35" w:rsidRDefault="002F5F35" w:rsidP="009F4EEC">
          <w:pPr>
            <w:jc w:val="center"/>
            <w:rPr>
              <w:lang w:eastAsia="lt-LT"/>
            </w:rPr>
          </w:pPr>
        </w:p>
        <w:p w:rsidR="009F4EEC" w:rsidRDefault="009F4EEC" w:rsidP="009F4EEC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c5e81b1221234487858db78d2d946d11"/>
            <w:id w:val="1574860145"/>
            <w:lock w:val="sdtLocked"/>
          </w:sdtPr>
          <w:sdtEndPr/>
          <w:sdtContent>
            <w:p w:rsidR="002F5F35" w:rsidRDefault="009F4EEC">
              <w:pPr>
                <w:tabs>
                  <w:tab w:val="left" w:pos="567"/>
                </w:tabs>
                <w:spacing w:line="276" w:lineRule="auto"/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</w:t>
              </w:r>
              <w:r>
                <w:rPr>
                  <w:spacing w:val="100"/>
                  <w:szCs w:val="24"/>
                  <w:lang w:eastAsia="lt-LT"/>
                </w:rPr>
                <w:t>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6c27c264a9a34f148c90af17c891c09f"/>
            <w:id w:val="-662314407"/>
            <w:lock w:val="sdtLocked"/>
          </w:sdtPr>
          <w:sdtEndPr/>
          <w:sdtContent>
            <w:p w:rsidR="002F5F35" w:rsidRDefault="009F4EEC">
              <w:pPr>
                <w:tabs>
                  <w:tab w:val="left" w:pos="567"/>
                </w:tabs>
                <w:spacing w:line="276" w:lineRule="auto"/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Pakeisti Lietuvos Respublikos Vyriausybės 2021 m. gruodžio 22 d. nutarimą Nr. 1123 „Dėl regioninės pagalbos teikimo pagal Lietuvos Respublikos regioninės pagalbos žemėlapį, taikytiną nuo 2022 m. sausio 1 d. iki 2027 m. gruodžio 31 d.“:</w:t>
              </w:r>
            </w:p>
          </w:sdtContent>
        </w:sdt>
        <w:sdt>
          <w:sdtPr>
            <w:alias w:val="1 p."/>
            <w:tag w:val="part_c283f678eb6149d3a7cc9ca7fb0a7674"/>
            <w:id w:val="1499616401"/>
            <w:lock w:val="sdtLocked"/>
          </w:sdtPr>
          <w:sdtEndPr/>
          <w:sdtContent>
            <w:p w:rsidR="002F5F35" w:rsidRDefault="009F4EEC">
              <w:pPr>
                <w:tabs>
                  <w:tab w:val="left" w:pos="567"/>
                </w:tabs>
                <w:spacing w:line="276" w:lineRule="auto"/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c283f678eb6149d3a7cc9ca7fb0a7674"/>
                  <w:id w:val="-475685172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</w:t>
              </w:r>
              <w:r>
                <w:rPr>
                  <w:szCs w:val="24"/>
                  <w:lang w:eastAsia="lt-LT"/>
                </w:rPr>
                <w:t>Pakeisti preambulę ir ją išdėstyti taip:</w:t>
              </w:r>
            </w:p>
            <w:sdt>
              <w:sdtPr>
                <w:alias w:val="citata"/>
                <w:tag w:val="part_6b96cfabe01f4c04a27412aec92aa6f1"/>
                <w:id w:val="-1851628753"/>
                <w:lock w:val="sdtLocked"/>
              </w:sdtPr>
              <w:sdtEndPr/>
              <w:sdtContent>
                <w:sdt>
                  <w:sdtPr>
                    <w:alias w:val="preambule"/>
                    <w:tag w:val="part_c3b986a0c17c4070afd33e4a9ab7e126"/>
                    <w:id w:val="1657794880"/>
                    <w:lock w:val="sdtLocked"/>
                  </w:sdtPr>
                  <w:sdtEndPr/>
                  <w:sdtContent>
                    <w:p w:rsidR="002F5F35" w:rsidRDefault="009F4EEC">
                      <w:pPr>
                        <w:tabs>
                          <w:tab w:val="left" w:pos="567"/>
                        </w:tabs>
                        <w:spacing w:line="276" w:lineRule="auto"/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„Vadovaudamasi Lietuvos Respublikos regioninės plėtros įstatymo 6 straipsnio 1 dalies 1 punktu ir 9 straipsniu, 2003 m. gegužės 26 d. Europos Parlamento ir Tarybos reglamento (EB) Nr. 1059/2003 dėl bendro teritorini</w:t>
                      </w:r>
                      <w:r>
                        <w:rPr>
                          <w:szCs w:val="24"/>
                          <w:lang w:eastAsia="lt-LT"/>
                        </w:rPr>
                        <w:t>ų statistinių vienetų klasifikatoriaus (NUTS) nustatymo su visais pakeitimais I priedu ir atsižvelgdama į Europos Komisijos komunikatą „Regioninės valstybės pagalbos gairės“ (2021/C 153/01) su visais pakeitimais, 2024 m. vasario 29 d. Europos Parlamento ir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Tarybos reglamentą (ES) 2024/795, kuriuo sukuriama Europos strateginių technologijų platforma (STEP) ir iš dalies keičiami Direktyva 2003/87/EB bei reglamentai (ES) 2021/1058, (ES) 2021/1056, (ES) 2021/1057, (ES) Nr. 1303/2013, (ES) Nr. 223/2014, (ES) 202</w:t>
                      </w:r>
                      <w:r>
                        <w:rPr>
                          <w:szCs w:val="24"/>
                          <w:lang w:eastAsia="lt-LT"/>
                        </w:rPr>
                        <w:t>1/1060, (ES) 2021/523, (ES) 2021/695, (ES) 2021/697 ir (ES) 2021/241, Teritorinį teisingos pertvarkos planą, patvirtintą Europos Komisijos įgyvendinimo sprendimu Nr. C(2022) 9626, kuriuo iš dalies keičiamas Įgyvendinimo sprendimas C(2022) 5742, kuriuo patv</w:t>
                      </w:r>
                      <w:r>
                        <w:rPr>
                          <w:szCs w:val="24"/>
                          <w:lang w:eastAsia="lt-LT"/>
                        </w:rPr>
                        <w:t>irtinama programa „2021–2027 metų Europos Sąjungos fondų investicijų programa“ dėl paramos iš Europos regioninės plėtros fondo, Sanglaudos fondo ir „Europos socialinio fondo +“ Lietuvoje siekiant investicijų į darbo vietų kūrimą ir ekonomikos augimą tikslo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, 2023 m. balandžio 21 d. Europos Komisijos sprendimą Nr. C(2023) 2614 </w:t>
                      </w:r>
                      <w:proofErr w:type="spellStart"/>
                      <w:r>
                        <w:rPr>
                          <w:i/>
                          <w:szCs w:val="24"/>
                          <w:lang w:eastAsia="lt-LT"/>
                        </w:rPr>
                        <w:t>final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„Valstybės pagalba SA.106647 (2023/N) – Lietuva. Lietuvos regioninės pagalbos žemėlapio (2022 m. sausio 1 d.–2027 m. gruodžio 31 d.) pakeitimas – padidintas pagalbos intensyvumas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teritorijoms, kurioms numatyta parama iš TPF“, 2024 m. spalio 28 d. Europos Komisijos sprendimą Nr. C(2024) 7432 </w:t>
                      </w:r>
                      <w:proofErr w:type="spellStart"/>
                      <w:r>
                        <w:rPr>
                          <w:i/>
                          <w:iCs/>
                          <w:szCs w:val="24"/>
                          <w:lang w:eastAsia="lt-LT"/>
                        </w:rPr>
                        <w:t>final</w:t>
                      </w:r>
                      <w:proofErr w:type="spellEnd"/>
                      <w:r>
                        <w:rPr>
                          <w:i/>
                          <w:iCs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„Valstybės pagalba SA.115740 (2024/N) – Lietuva. Lietuvos regioninės pagalbos žemėlapio (2022 m. sausio 1 d.–2027 m. gruodžio 31 d.)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pakeitimas. Padidintas pagalbos intensyvumas investicijoms, kurioms taikomas STEP reglamentas“ ir į tai, kad Lietuvos Respublikos teritorijos NUTS 2 regionas – LT02 Vidurio ir vakarų Lietuvos regionas, kuris apima NUTS 3 regionus: LT021 Alytaus apskritis,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LT022 Kauno apskritis, LT023 Klaipėdos apskritis, LT024 Marijampolės apskritis, LT025 Panevėžio apskritis, LT026 Šiaulių apskritis, LT027 </w:t>
                      </w:r>
                      <w:r>
                        <w:rPr>
                          <w:szCs w:val="24"/>
                          <w:lang w:eastAsia="lt-LT"/>
                        </w:rPr>
                        <w:lastRenderedPageBreak/>
                        <w:t xml:space="preserve">Tauragės apskritis, LT028 Telšių apskritis, LT029 Utenos apskritis, priskiriamas regionui, kuriame gali būti teikiama </w:t>
                      </w:r>
                      <w:r>
                        <w:rPr>
                          <w:szCs w:val="24"/>
                          <w:lang w:eastAsia="lt-LT"/>
                        </w:rPr>
                        <w:t>pagalba ekonominei plėtrai skatinti pagal Sutarties dėl Europos Sąjungos veikimo 107 straipsnio 3 dalies a punkto nuostatas, Lietuvos Respublikos teritorijos NUTS 2 regionas – LT01 Sostinės regionas, kuris sutampa su NUTS 3 regionu – LT011 Vilniaus apskrit</w:t>
                      </w:r>
                      <w:r>
                        <w:rPr>
                          <w:szCs w:val="24"/>
                          <w:lang w:eastAsia="lt-LT"/>
                        </w:rPr>
                        <w:t>is, priskiriamas regionui, kuriame gali būti teikiama pagalba, skirta tam tikros ekonominės veiklos rūšių arba tam tikrų ekonomikos sričių plėtrai skatinti pagal Sutarties dėl Europos Sąjungos veikimo 107 straipsnio 3 dalies c punkto nuostatas, Lietuvos Re</w:t>
                      </w:r>
                      <w:r>
                        <w:rPr>
                          <w:szCs w:val="24"/>
                          <w:lang w:eastAsia="lt-LT"/>
                        </w:rPr>
                        <w:t>spublikos Vyriausybė</w:t>
                      </w:r>
                      <w:r>
                        <w:rPr>
                          <w:spacing w:val="100"/>
                          <w:szCs w:val="24"/>
                          <w:lang w:eastAsia="lt-LT"/>
                        </w:rPr>
                        <w:t xml:space="preserve"> nutari</w:t>
                      </w:r>
                      <w:r>
                        <w:rPr>
                          <w:szCs w:val="24"/>
                          <w:lang w:eastAsia="lt-LT"/>
                        </w:rPr>
                        <w:t>a:“.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b3df7240692f4d2d9d41cfbe079bb3b0"/>
            <w:id w:val="1295794068"/>
            <w:lock w:val="sdtLocked"/>
          </w:sdtPr>
          <w:sdtEndPr/>
          <w:sdtContent>
            <w:p w:rsidR="002F5F35" w:rsidRDefault="009F4EEC">
              <w:pPr>
                <w:tabs>
                  <w:tab w:val="left" w:pos="567"/>
                </w:tabs>
                <w:spacing w:line="276" w:lineRule="auto"/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3df7240692f4d2d9d41cfbe079bb3b0"/>
                  <w:id w:val="-1611264314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Pakeisti 1.4 papunktį ir jį išdėstyti taip:</w:t>
              </w:r>
            </w:p>
            <w:sdt>
              <w:sdtPr>
                <w:alias w:val="citata"/>
                <w:tag w:val="part_c644f29334274dc8b0848efd1166bed9"/>
                <w:id w:val="-126242282"/>
                <w:lock w:val="sdtLocked"/>
              </w:sdtPr>
              <w:sdtEndPr/>
              <w:sdtContent>
                <w:sdt>
                  <w:sdtPr>
                    <w:alias w:val="1.4 pp."/>
                    <w:tag w:val="part_648a9f8289bd4d55913ed382d71b97ca"/>
                    <w:id w:val="-509759090"/>
                    <w:lock w:val="sdtLocked"/>
                  </w:sdtPr>
                  <w:sdtEndPr/>
                  <w:sdtContent>
                    <w:p w:rsidR="002F5F35" w:rsidRDefault="009F4EEC">
                      <w:pPr>
                        <w:tabs>
                          <w:tab w:val="left" w:pos="567"/>
                        </w:tabs>
                        <w:spacing w:line="276" w:lineRule="auto"/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648a9f8289bd4d55913ed382d71b97ca"/>
                          <w:id w:val="-9232508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teikiant regioninę pagalbą, šio nutarimo 1.1–1.3 papunkčiuose nurodytas didžiausias pagalbos intensyvumas gali būti padidintas ne daugiau kaip 20 procentinių pun</w:t>
                      </w:r>
                      <w:r>
                        <w:rPr>
                          <w:szCs w:val="24"/>
                          <w:lang w:eastAsia="lt-LT"/>
                        </w:rPr>
                        <w:t>ktų labai mažoms ir mažoms įmonėms ir ne daugiau kaip 10 procentinių punktų − vidutinėms įmonėms. Labai mažos, mažos ir vidutinės įmonės negali pasinaudoti šiame papunktyje nurodytu padidintu pagalbos intensyvumu, jeigu investicija susijusi su Europos Komi</w:t>
                      </w:r>
                      <w:r>
                        <w:rPr>
                          <w:szCs w:val="24"/>
                          <w:lang w:eastAsia="lt-LT"/>
                        </w:rPr>
                        <w:t>sijos komunikato „Regioninės valstybės pagalbos gairės“ (2021/C 153/01) su visais pakeitimais (toliau – Gairės) 19 punkto 18 papunktyje apibrėžtu dideliu investiciniu projektu;“.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fa4aea86bcfd4ca786823388f49e8615"/>
            <w:id w:val="542564468"/>
            <w:lock w:val="sdtLocked"/>
          </w:sdtPr>
          <w:sdtEndPr/>
          <w:sdtContent>
            <w:p w:rsidR="002F5F35" w:rsidRDefault="009F4EEC">
              <w:pPr>
                <w:tabs>
                  <w:tab w:val="left" w:pos="567"/>
                </w:tabs>
                <w:spacing w:line="276" w:lineRule="auto"/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a4aea86bcfd4ca786823388f49e8615"/>
                  <w:id w:val="1858921319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 Papildyti 1.4</w:t>
              </w:r>
              <w:r>
                <w:rPr>
                  <w:szCs w:val="24"/>
                  <w:vertAlign w:val="superscript"/>
                  <w:lang w:eastAsia="lt-LT"/>
                </w:rPr>
                <w:t>2</w:t>
              </w:r>
              <w:r>
                <w:rPr>
                  <w:szCs w:val="24"/>
                  <w:lang w:eastAsia="lt-LT"/>
                </w:rPr>
                <w:t xml:space="preserve"> papunkčiu:</w:t>
              </w:r>
            </w:p>
            <w:sdt>
              <w:sdtPr>
                <w:alias w:val="citata"/>
                <w:tag w:val="part_4035e9f3121a4099a9391c2688cf267a"/>
                <w:id w:val="1680933484"/>
                <w:lock w:val="sdtLocked"/>
              </w:sdtPr>
              <w:sdtEndPr/>
              <w:sdtContent>
                <w:sdt>
                  <w:sdtPr>
                    <w:alias w:val="1.4-2 pp."/>
                    <w:tag w:val="part_232b08d7edf94084bd43dff69a284d9c"/>
                    <w:id w:val="-171879507"/>
                    <w:lock w:val="sdtLocked"/>
                  </w:sdtPr>
                  <w:sdtEndPr/>
                  <w:sdtContent>
                    <w:p w:rsidR="002F5F35" w:rsidRDefault="009F4EEC">
                      <w:pPr>
                        <w:tabs>
                          <w:tab w:val="left" w:pos="567"/>
                        </w:tabs>
                        <w:spacing w:line="276" w:lineRule="auto"/>
                        <w:ind w:firstLine="567"/>
                        <w:jc w:val="both"/>
                        <w:rPr>
                          <w:bCs/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232b08d7edf94084bd43dff69a284d9c"/>
                          <w:id w:val="107586731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1.4</w:t>
                          </w:r>
                          <w:r>
                            <w:rPr>
                              <w:szCs w:val="24"/>
                              <w:vertAlign w:val="superscript"/>
                              <w:lang w:eastAsia="lt-LT"/>
                            </w:rPr>
                            <w:t>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teikiant regioninę pagalbą inve</w:t>
                      </w:r>
                      <w:r>
                        <w:rPr>
                          <w:szCs w:val="24"/>
                          <w:lang w:eastAsia="lt-LT"/>
                        </w:rPr>
                        <w:t>sticijoms, kurioms taikomas Reglamentas (ES) 2024/795, didžiausias pagalbos intensyvumas gali būti padidintas ne daugiau kaip 5 procentiniais punktais šio nutarimo 1.1 papunktyje nurodytoms teritorijoms ir ne daugiau kaip 10 procentinių punktų šio nutari</w:t>
                      </w:r>
                      <w:bookmarkStart w:id="0" w:name="_GoBack"/>
                      <w:bookmarkEnd w:id="0"/>
                      <w:r>
                        <w:rPr>
                          <w:szCs w:val="24"/>
                          <w:lang w:eastAsia="lt-LT"/>
                        </w:rPr>
                        <w:t>mo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1.2 ir 1.3 papunkčiuose nurodytoms teritorijoms;“.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68977e2caf82435c8ea533dee4344d99"/>
            <w:id w:val="2127346416"/>
            <w:lock w:val="sdtLocked"/>
          </w:sdtPr>
          <w:sdtEndPr/>
          <w:sdtContent>
            <w:p w:rsidR="002F5F35" w:rsidRDefault="009F4EEC">
              <w:pPr>
                <w:tabs>
                  <w:tab w:val="left" w:pos="567"/>
                </w:tabs>
                <w:spacing w:line="276" w:lineRule="auto"/>
                <w:ind w:firstLine="567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68977e2caf82435c8ea533dee4344d99"/>
                  <w:id w:val="906808169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>. Pakeisti 1.7 papunktį ir jį išdėstyti taip:</w:t>
              </w:r>
            </w:p>
            <w:sdt>
              <w:sdtPr>
                <w:alias w:val="citata"/>
                <w:tag w:val="part_265dc557f01641dfa6bb5498add3cb1c"/>
                <w:id w:val="1839652475"/>
                <w:lock w:val="sdtLocked"/>
              </w:sdtPr>
              <w:sdtEndPr/>
              <w:sdtContent>
                <w:sdt>
                  <w:sdtPr>
                    <w:alias w:val="1.7 pp."/>
                    <w:tag w:val="part_8bb325b4155d43ebb4e1e710e0261e33"/>
                    <w:id w:val="-190534546"/>
                    <w:lock w:val="sdtLocked"/>
                  </w:sdtPr>
                  <w:sdtEndPr/>
                  <w:sdtContent>
                    <w:p w:rsidR="002F5F35" w:rsidRDefault="009F4EEC">
                      <w:pPr>
                        <w:tabs>
                          <w:tab w:val="left" w:pos="567"/>
                        </w:tabs>
                        <w:spacing w:line="276" w:lineRule="auto"/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bCs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8bb325b4155d43ebb4e1e710e0261e33"/>
                          <w:id w:val="-213578937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1.7</w:t>
                          </w:r>
                        </w:sdtContent>
                      </w:sdt>
                      <w:r>
                        <w:rPr>
                          <w:bCs/>
                          <w:szCs w:val="24"/>
                          <w:lang w:eastAsia="lt-LT"/>
                        </w:rPr>
                        <w:t xml:space="preserve">. apie visus </w:t>
                      </w:r>
                      <w:proofErr w:type="spellStart"/>
                      <w:r>
                        <w:rPr>
                          <w:bCs/>
                          <w:szCs w:val="24"/>
                          <w:lang w:eastAsia="lt-LT"/>
                        </w:rPr>
                        <w:t>ketinimus</w:t>
                      </w:r>
                      <w:proofErr w:type="spellEnd"/>
                      <w:r>
                        <w:rPr>
                          <w:bCs/>
                          <w:szCs w:val="24"/>
                          <w:lang w:eastAsia="lt-LT"/>
                        </w:rPr>
                        <w:t xml:space="preserve"> suteikti regioninę pagalbą, vadovaujantis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Sutarties dėl Europos Sąjungos veikimo </w:t>
                      </w:r>
                      <w:r>
                        <w:rPr>
                          <w:bCs/>
                          <w:szCs w:val="24"/>
                          <w:lang w:eastAsia="lt-LT"/>
                        </w:rPr>
                        <w:t>108 straipsnio 3 dalimi, turi būti pran</w:t>
                      </w:r>
                      <w:r>
                        <w:rPr>
                          <w:bCs/>
                          <w:szCs w:val="24"/>
                          <w:lang w:eastAsia="lt-LT"/>
                        </w:rPr>
                        <w:t>ešta iš anksto Europos Komisijai, išskyrus regioninę pagalbą, kuriai taikomas 2014 m. birželio 17 d. Komisijos reglamentas (ES) Nr. 651/2014, kuriuo tam tikrų kategorijų pagalba skelbiama suderinama su vidaus rinka taikant Sutarties 107 ir 108 straipsnius,</w:t>
                      </w:r>
                      <w:r>
                        <w:rPr>
                          <w:bCs/>
                          <w:szCs w:val="24"/>
                          <w:lang w:eastAsia="lt-LT"/>
                        </w:rPr>
                        <w:t xml:space="preserve"> su visais pakeitimais;“.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b78c097a907342a3a3b94880d4f3153b"/>
            <w:id w:val="-386571440"/>
            <w:lock w:val="sdtLocked"/>
          </w:sdtPr>
          <w:sdtEndPr/>
          <w:sdtContent>
            <w:p w:rsidR="009F4EEC" w:rsidRDefault="009F4EEC" w:rsidP="009F4EEC">
              <w:pPr>
                <w:tabs>
                  <w:tab w:val="center" w:pos="-7800"/>
                  <w:tab w:val="left" w:pos="567"/>
                  <w:tab w:val="left" w:pos="6237"/>
                  <w:tab w:val="right" w:pos="8306"/>
                </w:tabs>
                <w:ind w:left="-284" w:right="-568" w:firstLine="284"/>
              </w:pPr>
            </w:p>
            <w:p w:rsidR="009F4EEC" w:rsidRDefault="009F4EEC" w:rsidP="009F4EEC">
              <w:pPr>
                <w:tabs>
                  <w:tab w:val="center" w:pos="-7800"/>
                  <w:tab w:val="left" w:pos="567"/>
                  <w:tab w:val="left" w:pos="6237"/>
                  <w:tab w:val="right" w:pos="8306"/>
                </w:tabs>
                <w:ind w:left="-284" w:right="-568" w:firstLine="284"/>
              </w:pPr>
            </w:p>
            <w:p w:rsidR="009F4EEC" w:rsidRDefault="009F4EEC" w:rsidP="009F4EEC">
              <w:pPr>
                <w:tabs>
                  <w:tab w:val="center" w:pos="-7800"/>
                  <w:tab w:val="left" w:pos="567"/>
                  <w:tab w:val="left" w:pos="6237"/>
                  <w:tab w:val="right" w:pos="8306"/>
                </w:tabs>
                <w:ind w:left="-284" w:right="-568" w:firstLine="284"/>
              </w:pPr>
            </w:p>
            <w:p w:rsidR="002F5F35" w:rsidRDefault="009F4EEC" w:rsidP="009F4EEC">
              <w:pPr>
                <w:tabs>
                  <w:tab w:val="center" w:pos="-7800"/>
                  <w:tab w:val="left" w:pos="567"/>
                  <w:tab w:val="left" w:pos="7088"/>
                  <w:tab w:val="right" w:pos="8306"/>
                </w:tabs>
                <w:ind w:left="-284" w:right="-568" w:firstLine="284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Laikinai einanti Ministro Pirmininko pareigas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 xml:space="preserve">Ingrida </w:t>
              </w:r>
              <w:proofErr w:type="spellStart"/>
              <w:r>
                <w:rPr>
                  <w:szCs w:val="24"/>
                  <w:lang w:eastAsia="lt-LT"/>
                </w:rPr>
                <w:t>Šimonytė</w:t>
              </w:r>
              <w:proofErr w:type="spellEnd"/>
            </w:p>
            <w:p w:rsidR="002F5F35" w:rsidRDefault="002F5F35" w:rsidP="009F4EEC">
              <w:pPr>
                <w:tabs>
                  <w:tab w:val="center" w:pos="-7800"/>
                  <w:tab w:val="left" w:pos="567"/>
                  <w:tab w:val="left" w:pos="6237"/>
                  <w:tab w:val="right" w:pos="8306"/>
                </w:tabs>
                <w:ind w:left="-284" w:right="-568" w:firstLine="284"/>
                <w:rPr>
                  <w:szCs w:val="24"/>
                  <w:lang w:eastAsia="lt-LT"/>
                </w:rPr>
              </w:pPr>
            </w:p>
            <w:p w:rsidR="002F5F35" w:rsidRDefault="002F5F35" w:rsidP="009F4EEC">
              <w:pPr>
                <w:tabs>
                  <w:tab w:val="center" w:pos="-7800"/>
                  <w:tab w:val="left" w:pos="567"/>
                  <w:tab w:val="left" w:pos="6237"/>
                  <w:tab w:val="right" w:pos="8306"/>
                </w:tabs>
                <w:ind w:left="-284" w:right="-568" w:firstLine="284"/>
                <w:rPr>
                  <w:szCs w:val="24"/>
                  <w:lang w:eastAsia="lt-LT"/>
                </w:rPr>
              </w:pPr>
            </w:p>
            <w:p w:rsidR="002F5F35" w:rsidRDefault="002F5F35" w:rsidP="009F4EEC">
              <w:pPr>
                <w:tabs>
                  <w:tab w:val="center" w:pos="-7800"/>
                  <w:tab w:val="left" w:pos="567"/>
                  <w:tab w:val="left" w:pos="6237"/>
                  <w:tab w:val="right" w:pos="8306"/>
                </w:tabs>
                <w:ind w:left="-284" w:right="-568" w:firstLine="284"/>
                <w:rPr>
                  <w:szCs w:val="24"/>
                  <w:lang w:eastAsia="lt-LT"/>
                </w:rPr>
              </w:pPr>
            </w:p>
            <w:p w:rsidR="002F5F35" w:rsidRDefault="009F4EEC" w:rsidP="009F4EEC">
              <w:pPr>
                <w:tabs>
                  <w:tab w:val="center" w:pos="-7800"/>
                  <w:tab w:val="left" w:pos="567"/>
                  <w:tab w:val="left" w:pos="6237"/>
                  <w:tab w:val="right" w:pos="8306"/>
                </w:tabs>
                <w:ind w:left="-284" w:right="-568" w:firstLine="284"/>
                <w:rPr>
                  <w:iCs/>
                  <w:szCs w:val="24"/>
                  <w:lang w:eastAsia="lt-LT"/>
                </w:rPr>
              </w:pPr>
              <w:r>
                <w:rPr>
                  <w:iCs/>
                  <w:szCs w:val="24"/>
                  <w:lang w:eastAsia="lt-LT"/>
                </w:rPr>
                <w:t xml:space="preserve">Laikinai einanti ekonomikos </w:t>
              </w:r>
            </w:p>
            <w:p w:rsidR="002F5F35" w:rsidRDefault="009F4EEC" w:rsidP="009F4EEC">
              <w:pPr>
                <w:tabs>
                  <w:tab w:val="center" w:pos="-7800"/>
                  <w:tab w:val="left" w:pos="567"/>
                  <w:tab w:val="left" w:pos="7088"/>
                  <w:tab w:val="right" w:pos="8306"/>
                </w:tabs>
                <w:spacing w:line="276" w:lineRule="auto"/>
                <w:ind w:left="-284" w:right="-568" w:firstLine="284"/>
                <w:rPr>
                  <w:szCs w:val="24"/>
                  <w:lang w:eastAsia="lt-LT"/>
                </w:rPr>
              </w:pPr>
              <w:r>
                <w:rPr>
                  <w:iCs/>
                  <w:szCs w:val="24"/>
                  <w:lang w:eastAsia="lt-LT"/>
                </w:rPr>
                <w:t>ir inovacijų ministro pareigas</w:t>
              </w:r>
              <w:r>
                <w:rPr>
                  <w:iCs/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>Aušrinė Armonaitė</w:t>
              </w:r>
            </w:p>
          </w:sdtContent>
        </w:sdt>
      </w:sdtContent>
    </w:sdt>
    <w:sectPr w:rsidR="002F5F35" w:rsidSect="009F4EE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134" w:right="1134" w:bottom="1134" w:left="1701" w:header="709" w:footer="709" w:gutter="0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F5F35" w:rsidRDefault="009F4EEC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2F5F35" w:rsidRDefault="009F4EEC">
      <w:pPr>
        <w:rPr>
          <w:lang w:eastAsia="lt-LT"/>
        </w:rPr>
      </w:pPr>
      <w:r>
        <w:rPr>
          <w:lang w:eastAsia="lt-LT"/>
        </w:rPr>
        <w:continuationSeparator/>
      </w:r>
    </w:p>
  </w:endnote>
  <w:endnote w:type="continuationNotice" w:id="1">
    <w:p w:rsidR="002F5F35" w:rsidRDefault="002F5F35">
      <w:pPr>
        <w:rPr>
          <w:lang w:eastAsia="lt-LT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5F35" w:rsidRDefault="002F5F35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5F35" w:rsidRDefault="002F5F35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5F35" w:rsidRDefault="002F5F35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F5F35" w:rsidRDefault="009F4EEC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2F5F35" w:rsidRDefault="009F4EEC">
      <w:pPr>
        <w:rPr>
          <w:lang w:eastAsia="lt-LT"/>
        </w:rPr>
      </w:pPr>
      <w:r>
        <w:rPr>
          <w:lang w:eastAsia="lt-LT"/>
        </w:rPr>
        <w:continuationSeparator/>
      </w:r>
    </w:p>
  </w:footnote>
  <w:footnote w:type="continuationNotice" w:id="1">
    <w:p w:rsidR="002F5F35" w:rsidRDefault="002F5F35">
      <w:pPr>
        <w:rPr>
          <w:lang w:eastAsia="lt-LT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5F35" w:rsidRDefault="009F4EEC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2F5F35" w:rsidRDefault="002F5F35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23026350"/>
      <w:docPartObj>
        <w:docPartGallery w:val="Page Numbers (Top of Page)"/>
        <w:docPartUnique/>
      </w:docPartObj>
    </w:sdtPr>
    <w:sdtEndPr>
      <w:rPr>
        <w:rFonts w:ascii="Times New Roman" w:hAnsi="Times New Roman"/>
      </w:rPr>
    </w:sdtEndPr>
    <w:sdtContent>
      <w:p w:rsidR="002F5F35" w:rsidRPr="009F4EEC" w:rsidRDefault="009F4EEC" w:rsidP="009F4EEC">
        <w:pPr>
          <w:pStyle w:val="Antrats"/>
          <w:jc w:val="center"/>
          <w:rPr>
            <w:rFonts w:ascii="Times New Roman" w:hAnsi="Times New Roman"/>
          </w:rPr>
        </w:pPr>
        <w:r w:rsidRPr="009F4EEC">
          <w:rPr>
            <w:rFonts w:ascii="Times New Roman" w:hAnsi="Times New Roman"/>
          </w:rPr>
          <w:fldChar w:fldCharType="begin"/>
        </w:r>
        <w:r w:rsidRPr="009F4EEC">
          <w:rPr>
            <w:rFonts w:ascii="Times New Roman" w:hAnsi="Times New Roman"/>
          </w:rPr>
          <w:instrText>PAGE   \* MERGEFORMAT</w:instrText>
        </w:r>
        <w:r w:rsidRPr="009F4EEC">
          <w:rPr>
            <w:rFonts w:ascii="Times New Roman" w:hAnsi="Times New Roman"/>
          </w:rPr>
          <w:fldChar w:fldCharType="separate"/>
        </w:r>
        <w:r>
          <w:rPr>
            <w:rFonts w:ascii="Times New Roman" w:hAnsi="Times New Roman"/>
            <w:noProof/>
          </w:rPr>
          <w:t>2</w:t>
        </w:r>
        <w:r w:rsidRPr="009F4EEC">
          <w:rPr>
            <w:rFonts w:ascii="Times New Roman" w:hAnsi="Times New Roman"/>
          </w:rPr>
          <w:fldChar w:fldCharType="end"/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5F35" w:rsidRDefault="002F5F35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2F5F35"/>
    <w:rsid w:val="004C66E7"/>
    <w:rsid w:val="009F4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B4B7AD5"/>
  <w15:docId w15:val="{26D4AECC-63C3-49E1-B1E4-6350A739F4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9F4EEC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9F4EEC"/>
    <w:rPr>
      <w:rFonts w:asciiTheme="minorHAnsi" w:eastAsiaTheme="minorEastAsia" w:hAnsiTheme="minorHAns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2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A00B8EBBFCD5FF4496FD077058AF1610" ma:contentTypeVersion="14" ma:contentTypeDescription="Kurkite naują dokumentą." ma:contentTypeScope="" ma:versionID="17862dc99027cfb82e427e2e616643a1">
  <xsd:schema xmlns:xsd="http://www.w3.org/2001/XMLSchema" xmlns:xs="http://www.w3.org/2001/XMLSchema" xmlns:p="http://schemas.microsoft.com/office/2006/metadata/properties" xmlns:ns2="3daa3ca9-7913-4775-b489-948cf2d1f429" xmlns:ns3="73f3d9fc-cecf-4806-8b79-e07f4178e50f" targetNamespace="http://schemas.microsoft.com/office/2006/metadata/properties" ma:root="true" ma:fieldsID="b181756d38424776d4e91630e46352da" ns2:_="" ns3:_="">
    <xsd:import namespace="3daa3ca9-7913-4775-b489-948cf2d1f429"/>
    <xsd:import namespace="73f3d9fc-cecf-4806-8b79-e07f4178e50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daa3ca9-7913-4775-b489-948cf2d1f42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Vaizdų žymės" ma:readOnly="false" ma:fieldId="{5cf76f15-5ced-4ddc-b409-7134ff3c332f}" ma:taxonomyMulti="true" ma:sspId="4e3501c9-f7a7-4b81-baa6-2bbc2eda4d3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3f3d9fc-cecf-4806-8b79-e07f4178e50f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248c6d8f-f480-459e-a823-f667fb2a638e}" ma:internalName="TaxCatchAll" ma:showField="CatchAllData" ma:web="73f3d9fc-cecf-4806-8b79-e07f4178e50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73f3d9fc-cecf-4806-8b79-e07f4178e50f" xsi:nil="true"/>
    <lcf76f155ced4ddcb4097134ff3c332f xmlns="3daa3ca9-7913-4775-b489-948cf2d1f429">
      <Terms xmlns="http://schemas.microsoft.com/office/infopath/2007/PartnerControls"/>
    </lcf76f155ced4ddcb4097134ff3c332f>
  </documentManagement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c7b86fbb33fc47c9bc15ee86b87f2eb9" PartId="8f927dfa86054e40b2127851d717b546">
    <Part Type="preambule" DocPartId="a6bdf118c7e6415b98aac74aeb4440f5" PartId="c5e81b1221234487858db78d2d946d11"/>
    <Part Type="pastraipa" DocPartId="a43b0a5f471b4649ba2e3e12e4a66c7a" PartId="6c27c264a9a34f148c90af17c891c09f"/>
    <Part Type="punktas" Nr="1" Abbr="1 p." DocPartId="23713515fe854a98999bcdf55dd1a3de" PartId="c283f678eb6149d3a7cc9ca7fb0a7674">
      <Part Type="citata" DocPartId="5627f9ef144a425eaab81d7aeaf988ac" PartId="6b96cfabe01f4c04a27412aec92aa6f1">
        <Part Type="preambule" DocPartId="47134ef2469441f8a5604f842a7d347f" PartId="c3b986a0c17c4070afd33e4a9ab7e126"/>
      </Part>
    </Part>
    <Part Type="punktas" Nr="2" Abbr="2 p." DocPartId="ba26ae3fab6c41b9905f9e2bbe450c83" PartId="b3df7240692f4d2d9d41cfbe079bb3b0">
      <Part Type="citata" DocPartId="9853907e22ac4bc6beaed0940d9ecbaa" PartId="c644f29334274dc8b0848efd1166bed9">
        <Part Type="papunktis" Nr="1.4" Abbr="1.4 pp." DocPartId="65d2368289ab421d829055fa42dcc9ea" PartId="648a9f8289bd4d55913ed382d71b97ca"/>
      </Part>
    </Part>
    <Part Type="punktas" Nr="3" Abbr="3 p." DocPartId="91e78e18821e4f8a8d29dd7f62c4771e" PartId="fa4aea86bcfd4ca786823388f49e8615">
      <Part Type="citata" DocPartId="884efb1bf9704fa48b2e96b427f09522" PartId="4035e9f3121a4099a9391c2688cf267a">
        <Part Type="papunktis" Nr="1.4-2" Abbr="1.4-2 pp." DocPartId="83dce9d08b9541889e423eeee70d50b4" PartId="232b08d7edf94084bd43dff69a284d9c"/>
      </Part>
    </Part>
    <Part Type="punktas" Nr="4" Abbr="4 p." DocPartId="3a29a3b87fa942e3a4d500e17ec16674" PartId="68977e2caf82435c8ea533dee4344d99">
      <Part Type="citata" DocPartId="47b249259ecf4ea99f3eb22dcee9a849" PartId="265dc557f01641dfa6bb5498add3cb1c">
        <Part Type="papunktis" Nr="1.7" Abbr="1.7 pp." DocPartId="4a04b5af2d4c4f88b30d850c9e0b9145" PartId="8bb325b4155d43ebb4e1e710e0261e33"/>
      </Part>
    </Part>
    <Part Type="signatura" DocPartId="ac4b9037fecd4332a313eeea809faed0" PartId="b78c097a907342a3a3b94880d4f3153b"/>
  </Part>
</Parts>
</file>

<file path=customXml/itemProps1.xml><?xml version="1.0" encoding="utf-8"?>
<ds:datastoreItem xmlns:ds="http://schemas.openxmlformats.org/officeDocument/2006/customXml" ds:itemID="{7FCF833D-E982-438F-99C0-C4E4E29D6D1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daa3ca9-7913-4775-b489-948cf2d1f429"/>
    <ds:schemaRef ds:uri="73f3d9fc-cecf-4806-8b79-e07f4178e50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C6698F1-917B-4B62-BD04-CE0D9D21C063}">
  <ds:schemaRefs>
    <ds:schemaRef ds:uri="http://schemas.microsoft.com/office/2006/metadata/properties"/>
    <ds:schemaRef ds:uri="http://schemas.microsoft.com/office/infopath/2007/PartnerControls"/>
    <ds:schemaRef ds:uri="73f3d9fc-cecf-4806-8b79-e07f4178e50f"/>
    <ds:schemaRef ds:uri="3daa3ca9-7913-4775-b489-948cf2d1f429"/>
  </ds:schemaRefs>
</ds:datastoreItem>
</file>

<file path=customXml/itemProps3.xml><?xml version="1.0" encoding="utf-8"?>
<ds:datastoreItem xmlns:ds="http://schemas.openxmlformats.org/officeDocument/2006/customXml" ds:itemID="{B777CFED-C485-4BC2-9A98-B1B11162DD2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BAE9AEB-378F-45D3-B4DE-ABCF413B410D}">
  <ds:schemaRefs>
    <ds:schemaRef ds:uri="http://lrs.lt/TAIS/DocParts"/>
  </ds:schemaRefs>
</ds:datastoreItem>
</file>

<file path=docMetadata/LabelInfo.xml><?xml version="1.0" encoding="utf-8"?>
<clbl:labelList xmlns:clbl="http://schemas.microsoft.com/office/2020/mipLabelMetadata">
  <clbl:label id="{7bce49ad-6e13-4667-9698-89b6274ba9f6}" enabled="0" method="" siteId="{7bce49ad-6e13-4667-9698-89b6274ba9f6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677</Words>
  <Characters>4474</Characters>
  <Application>Microsoft Office Word</Application>
  <DocSecurity>0</DocSecurity>
  <Lines>37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5141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JŪRĖNIENĖ Jolanta</cp:lastModifiedBy>
  <cp:revision>3</cp:revision>
  <cp:lastPrinted>2017-06-01T05:28:00Z</cp:lastPrinted>
  <dcterms:created xsi:type="dcterms:W3CDTF">2024-11-29T05:45:00Z</dcterms:created>
  <dcterms:modified xsi:type="dcterms:W3CDTF">2024-11-29T09:49:00Z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0x010100A00B8EBBFCD5FF4496FD077058AF1610</vt:lpwstr>
  </property>
</Properties>
</file>