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6F79" w14:textId="77777777" w:rsidR="00D12D51" w:rsidRDefault="00D12D51">
      <w:pPr>
        <w:tabs>
          <w:tab w:val="center" w:pos="4819"/>
          <w:tab w:val="right" w:pos="9638"/>
        </w:tabs>
        <w:ind w:firstLine="720"/>
        <w:rPr>
          <w:rFonts w:ascii="Arial" w:hAnsi="Arial" w:cs="Arial"/>
          <w:sz w:val="20"/>
          <w:lang w:eastAsia="lt-LT"/>
        </w:rPr>
      </w:pPr>
    </w:p>
    <w:p w14:paraId="4400649B" w14:textId="77777777" w:rsidR="00D12D51" w:rsidRDefault="00575C4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LIETUVOS RESPUBLIKOS SVEIKATOS APSAUGOS MINISTRAS </w:t>
      </w:r>
    </w:p>
    <w:p w14:paraId="5E206526" w14:textId="77777777" w:rsidR="00D12D51" w:rsidRDefault="00575C4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LYGIO EKSTREMALIOSIOS SITUACIJOS VALSTYBĖS OPERACIJŲ VADOVAS</w:t>
      </w:r>
    </w:p>
    <w:p w14:paraId="1BD550A7" w14:textId="77777777" w:rsidR="00D12D51" w:rsidRDefault="00D12D51">
      <w:pPr>
        <w:jc w:val="center"/>
        <w:rPr>
          <w:b/>
          <w:bCs/>
          <w:szCs w:val="24"/>
          <w:lang w:eastAsia="lt-LT"/>
        </w:rPr>
      </w:pPr>
    </w:p>
    <w:p w14:paraId="6183D515" w14:textId="77777777" w:rsidR="00D12D51" w:rsidRDefault="00575C4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SPRENDIMAS</w:t>
      </w:r>
    </w:p>
    <w:p w14:paraId="19926C3C" w14:textId="77777777" w:rsidR="00D12D51" w:rsidRDefault="00575C4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DĖL LIETUVOS RESPUBLIKOS SVEIKATOS APSAUGOS MINISTRO, VALSTYBĖS LYGIO EKSTREMALIOSIOS SITUACIJOS VALSTYBĖS OPERACIJŲ VADOVO </w:t>
      </w:r>
    </w:p>
    <w:p w14:paraId="214EF8F7" w14:textId="77777777" w:rsidR="00D12D51" w:rsidRDefault="00575C4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2021 M. VASARIO 4 D. SPRENDIMO NR. V-221 „DĖL PAVEDIMO ORGANIZUOTI, KOORDINUOTI IR VYKDYTI PAGILINTO SARS-COV-2 TESTAVIMO – VIRUSO </w:t>
      </w:r>
      <w:r>
        <w:rPr>
          <w:b/>
          <w:bCs/>
          <w:szCs w:val="24"/>
          <w:lang w:eastAsia="lt-LT"/>
        </w:rPr>
        <w:t>GENETINIŲ VARIANTŲ NUSTATYMO PROCESĄ“ PAKEITIMO</w:t>
      </w:r>
    </w:p>
    <w:p w14:paraId="6DB1D3ED" w14:textId="77777777" w:rsidR="00D12D51" w:rsidRDefault="00D12D51">
      <w:pPr>
        <w:jc w:val="center"/>
        <w:rPr>
          <w:szCs w:val="24"/>
          <w:lang w:eastAsia="lt-LT"/>
        </w:rPr>
      </w:pPr>
    </w:p>
    <w:p w14:paraId="5A1C0DC7" w14:textId="6B99BB56" w:rsidR="00D12D51" w:rsidRDefault="00575C4D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2021 m. balandžio 1</w:t>
      </w:r>
      <w:r>
        <w:rPr>
          <w:szCs w:val="24"/>
          <w:lang w:eastAsia="lt-LT"/>
        </w:rPr>
        <w:t xml:space="preserve"> d. Nr. V-684</w:t>
      </w:r>
    </w:p>
    <w:p w14:paraId="01496DAE" w14:textId="77777777" w:rsidR="00D12D51" w:rsidRDefault="00D12D51">
      <w:pPr>
        <w:jc w:val="center"/>
        <w:rPr>
          <w:szCs w:val="24"/>
          <w:lang w:eastAsia="lt-LT"/>
        </w:rPr>
      </w:pPr>
    </w:p>
    <w:p w14:paraId="79014C47" w14:textId="77777777" w:rsidR="00D12D51" w:rsidRDefault="00575C4D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 a k e i č i u Lietuvos Respublikos sveikatos apsaugos ministro, valstybės lygio ekstremaliosios situacijos valstybės operacijų vadovo 2021 m. vasario 4 d. sprendimą Nr. V-221 „Dėl p</w:t>
      </w:r>
      <w:r>
        <w:rPr>
          <w:szCs w:val="24"/>
          <w:lang w:eastAsia="lt-LT"/>
        </w:rPr>
        <w:t>avedimo organizuoti, koordinuoti ir vykdyti pagilinto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testavimo – viruso genetinių variantų nustatymo procesą“ ir išdėstau jį nauja redakcija: </w:t>
      </w:r>
    </w:p>
    <w:p w14:paraId="41D8361B" w14:textId="77777777" w:rsidR="00D12D51" w:rsidRDefault="00D12D51">
      <w:pPr>
        <w:ind w:firstLine="720"/>
        <w:jc w:val="center"/>
        <w:rPr>
          <w:szCs w:val="24"/>
          <w:lang w:eastAsia="lt-LT"/>
        </w:rPr>
      </w:pPr>
    </w:p>
    <w:p w14:paraId="1EA087FF" w14:textId="77777777" w:rsidR="00D12D51" w:rsidRDefault="00575C4D">
      <w:pPr>
        <w:jc w:val="center"/>
        <w:rPr>
          <w:b/>
          <w:bCs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LIETUVOS RESPUBLIKOS SVEIKATOS APSAUGOS MINISTRAS</w:t>
      </w:r>
    </w:p>
    <w:p w14:paraId="0F8E017B" w14:textId="77777777" w:rsidR="00D12D51" w:rsidRDefault="00575C4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VALSTYBĖS LYGIO EKSTREMALIOSIOS SITUACIJOS VALSTY</w:t>
      </w:r>
      <w:r>
        <w:rPr>
          <w:b/>
          <w:bCs/>
          <w:szCs w:val="24"/>
          <w:lang w:eastAsia="lt-LT"/>
        </w:rPr>
        <w:t>BĖS OPERACIJŲ VADOVAS</w:t>
      </w:r>
    </w:p>
    <w:p w14:paraId="55DB75DE" w14:textId="77777777" w:rsidR="00D12D51" w:rsidRDefault="00D12D51">
      <w:pPr>
        <w:ind w:firstLine="720"/>
        <w:jc w:val="center"/>
        <w:rPr>
          <w:b/>
          <w:bCs/>
          <w:szCs w:val="24"/>
          <w:lang w:eastAsia="lt-LT"/>
        </w:rPr>
      </w:pPr>
    </w:p>
    <w:p w14:paraId="5F45A99A" w14:textId="77777777" w:rsidR="00D12D51" w:rsidRDefault="00575C4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SPRENDIMAS</w:t>
      </w:r>
    </w:p>
    <w:p w14:paraId="0E885EA0" w14:textId="77777777" w:rsidR="00D12D51" w:rsidRDefault="00575C4D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DĖL PAVEDIMO ORGANIZUOTI, KOORDINUOTI IR VYKDYTI PAGILINTO SARS-COV-2 TESTAVIMO – VIRUSO GENETINIŲ VARIANTŲ NUSTATYMO PROCESĄ</w:t>
      </w:r>
    </w:p>
    <w:p w14:paraId="20A2E643" w14:textId="77777777" w:rsidR="00D12D51" w:rsidRDefault="00D12D51">
      <w:pPr>
        <w:ind w:firstLine="720"/>
        <w:jc w:val="center"/>
        <w:rPr>
          <w:b/>
          <w:bCs/>
          <w:szCs w:val="24"/>
          <w:lang w:eastAsia="lt-LT"/>
        </w:rPr>
      </w:pPr>
    </w:p>
    <w:p w14:paraId="24684C6B" w14:textId="77777777" w:rsidR="00D12D51" w:rsidRDefault="00575C4D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Lietuvos Respublikos civilinės saugos įstatymo 15 straipsnio 2 dalies 4 punktu, </w:t>
      </w:r>
      <w:r>
        <w:rPr>
          <w:szCs w:val="24"/>
          <w:lang w:eastAsia="lt-LT"/>
        </w:rPr>
        <w:t>Lietuvos Respublikos žmonių užkrečiamųjų ligų profilaktikos ir kontrolės įstatymo 8 straipsniu, Lietuvos Respublikos Vyriausybės 2020 m. vasario 26 d. nutarimu Nr. 152 „Dėl valstybės lygio ekstremaliosios situacijos paskelbimo“, Valstybiniu ekstremaliųjų s</w:t>
      </w:r>
      <w:r>
        <w:rPr>
          <w:szCs w:val="24"/>
          <w:lang w:eastAsia="lt-LT"/>
        </w:rPr>
        <w:t xml:space="preserve">ituacijų valdymo planu, patvirtintu Lietuvos Respublikos Vyriausybės 2010 m. liepos 20 d. nutarimu Nr. 1503 „Dėl Valstybinio ekstremaliųjų situacijų valdymo plano patvirtinimo“, </w:t>
      </w:r>
      <w:r>
        <w:rPr>
          <w:color w:val="000000"/>
          <w:szCs w:val="24"/>
          <w:lang w:eastAsia="lt-LT"/>
        </w:rPr>
        <w:t>Lietuvos Respublikos Vyriausybės 2020 m. lapkričio 4 d. nutarimu Nr. 1226 „Dėl</w:t>
      </w:r>
      <w:r>
        <w:rPr>
          <w:color w:val="000000"/>
          <w:szCs w:val="24"/>
          <w:lang w:eastAsia="lt-LT"/>
        </w:rPr>
        <w:t xml:space="preserve"> karantino Lietuvos Respublikos teritorijoje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paskelbimo“, Lietuvos Respublikos Vyriausybės 2020 m. gruodžio 16 d. nutarimu Nr. 1419 „Dėl valstybės lygio ekstremaliosios situacijos valstybės operacijų vadovo paskyrimo“</w:t>
      </w:r>
      <w:r>
        <w:rPr>
          <w:szCs w:val="24"/>
          <w:lang w:eastAsia="lt-LT"/>
        </w:rPr>
        <w:t>, Lietuvos Respublikos Vyriausybės 2021</w:t>
      </w:r>
      <w:r>
        <w:rPr>
          <w:szCs w:val="24"/>
          <w:lang w:eastAsia="lt-LT"/>
        </w:rPr>
        <w:t xml:space="preserve"> m. sausio 29 d. pasitarimo posėdžio protokolu Nr. 6 (1 klausimas) bei siekdamas užtikrinti Lietuvos Respublikoje aptinkamų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atmainų įvairovės paplitimo ir jų genomų kitimo COVID-19 ligos (</w:t>
      </w:r>
      <w:proofErr w:type="spellStart"/>
      <w:r>
        <w:rPr>
          <w:szCs w:val="24"/>
          <w:lang w:eastAsia="lt-LT"/>
        </w:rPr>
        <w:t>koronaviruso</w:t>
      </w:r>
      <w:proofErr w:type="spellEnd"/>
      <w:r>
        <w:rPr>
          <w:szCs w:val="24"/>
          <w:lang w:eastAsia="lt-LT"/>
        </w:rPr>
        <w:t xml:space="preserve"> infekcijos) pandemijos eigoje </w:t>
      </w:r>
      <w:proofErr w:type="spellStart"/>
      <w:r>
        <w:rPr>
          <w:szCs w:val="24"/>
          <w:lang w:eastAsia="lt-LT"/>
        </w:rPr>
        <w:t>stebėseną</w:t>
      </w:r>
      <w:proofErr w:type="spellEnd"/>
      <w:r>
        <w:rPr>
          <w:szCs w:val="24"/>
          <w:lang w:eastAsia="lt-LT"/>
        </w:rPr>
        <w:t xml:space="preserve"> bei </w:t>
      </w:r>
      <w:r>
        <w:rPr>
          <w:szCs w:val="24"/>
          <w:lang w:eastAsia="lt-LT"/>
        </w:rPr>
        <w:t>gautos informacijos panaudojimą priimant informuotus šios pandemijos valdymo sprendimus,</w:t>
      </w:r>
      <w:r>
        <w:rPr>
          <w:szCs w:val="24"/>
          <w:shd w:val="clear" w:color="auto" w:fill="FFFFFF"/>
          <w:lang w:eastAsia="lt-LT"/>
        </w:rPr>
        <w:t xml:space="preserve"> n u s p r e n d ž i u:</w:t>
      </w:r>
    </w:p>
    <w:p w14:paraId="50486190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Įpareigoti Nacionalinę visuomenės sveikatos priežiūros laboratoriją (toliau – NVSPL):</w:t>
      </w:r>
    </w:p>
    <w:p w14:paraId="03D3B01A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organizuoti ir koordinuoti plataus masto pag</w:t>
      </w:r>
      <w:r>
        <w:rPr>
          <w:szCs w:val="24"/>
          <w:lang w:eastAsia="lt-LT"/>
        </w:rPr>
        <w:t>ilinto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(2019-nCoV)  testavimo – viruso genetinių variantų nustatymo (toliau –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sekoskaita</w:t>
      </w:r>
      <w:proofErr w:type="spellEnd"/>
      <w:r>
        <w:rPr>
          <w:szCs w:val="24"/>
          <w:lang w:eastAsia="lt-LT"/>
        </w:rPr>
        <w:t>) tyrimų procesą, t. y. kartą per savaitę užtikrinant daugiau nei vieno procento visų Lietuvos Respublikoje per pastarąją savaitę nustatytų</w:t>
      </w:r>
      <w:r>
        <w:rPr>
          <w:szCs w:val="24"/>
          <w:lang w:eastAsia="lt-LT"/>
        </w:rPr>
        <w:t xml:space="preserve"> teigiamų tyrimų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(2019-nCoV) RNR nustatyti </w:t>
      </w:r>
      <w:proofErr w:type="spellStart"/>
      <w:r>
        <w:rPr>
          <w:szCs w:val="24"/>
          <w:lang w:eastAsia="lt-LT"/>
        </w:rPr>
        <w:t>tikralaikės</w:t>
      </w:r>
      <w:proofErr w:type="spellEnd"/>
      <w:r>
        <w:rPr>
          <w:szCs w:val="24"/>
          <w:lang w:eastAsia="lt-LT"/>
        </w:rPr>
        <w:t xml:space="preserve"> PGR metodu (toliau – PGR tyrimas) </w:t>
      </w:r>
      <w:proofErr w:type="spellStart"/>
      <w:r>
        <w:rPr>
          <w:szCs w:val="24"/>
          <w:lang w:eastAsia="lt-LT"/>
        </w:rPr>
        <w:t>ėminių</w:t>
      </w:r>
      <w:proofErr w:type="spellEnd"/>
      <w:r>
        <w:rPr>
          <w:szCs w:val="24"/>
          <w:lang w:eastAsia="lt-LT"/>
        </w:rPr>
        <w:t xml:space="preserve">, bet ne mažiau nei 200 teigiamų PGR tyrimų </w:t>
      </w:r>
      <w:proofErr w:type="spellStart"/>
      <w:r>
        <w:rPr>
          <w:szCs w:val="24"/>
          <w:lang w:eastAsia="lt-LT"/>
        </w:rPr>
        <w:t>ėminių</w:t>
      </w:r>
      <w:proofErr w:type="spellEnd"/>
      <w:r>
        <w:rPr>
          <w:szCs w:val="24"/>
          <w:lang w:eastAsia="lt-LT"/>
        </w:rPr>
        <w:t xml:space="preserve">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tyrimų atlikimą ir šiame sprendime nurodytų duomenų suvedimą, ir </w:t>
      </w:r>
      <w:r>
        <w:rPr>
          <w:rFonts w:eastAsia="Calibri"/>
          <w:szCs w:val="24"/>
          <w:lang w:eastAsia="lt-LT"/>
        </w:rPr>
        <w:t>komp</w:t>
      </w:r>
      <w:r>
        <w:rPr>
          <w:rFonts w:eastAsia="Calibri"/>
          <w:szCs w:val="24"/>
          <w:lang w:eastAsia="lt-LT"/>
        </w:rPr>
        <w:t xml:space="preserve">ensuojant </w:t>
      </w:r>
      <w:r>
        <w:rPr>
          <w:szCs w:val="24"/>
          <w:lang w:eastAsia="lt-LT"/>
        </w:rPr>
        <w:t>NVSPL</w:t>
      </w:r>
      <w:r>
        <w:rPr>
          <w:rFonts w:eastAsia="Calibri"/>
          <w:szCs w:val="24"/>
          <w:lang w:eastAsia="lt-LT"/>
        </w:rPr>
        <w:t xml:space="preserve"> išlaidas, patirtas vykdant šiame sprendime nurodytus veiksmus, iš valstybės biudžeto lėšų, skirtų COVID-19 ligos (</w:t>
      </w:r>
      <w:proofErr w:type="spellStart"/>
      <w:r>
        <w:rPr>
          <w:rFonts w:eastAsia="Calibri"/>
          <w:szCs w:val="24"/>
          <w:lang w:eastAsia="lt-LT"/>
        </w:rPr>
        <w:t>koronaviruso</w:t>
      </w:r>
      <w:proofErr w:type="spellEnd"/>
      <w:r>
        <w:rPr>
          <w:rFonts w:eastAsia="Calibri"/>
          <w:szCs w:val="24"/>
          <w:lang w:eastAsia="lt-LT"/>
        </w:rPr>
        <w:t xml:space="preserve"> infekcijos) pandemijos padariniams šalinti</w:t>
      </w:r>
      <w:r>
        <w:rPr>
          <w:szCs w:val="24"/>
          <w:lang w:eastAsia="lt-LT"/>
        </w:rPr>
        <w:t>;</w:t>
      </w:r>
    </w:p>
    <w:p w14:paraId="6B17804D" w14:textId="77777777" w:rsidR="00D12D51" w:rsidRDefault="00575C4D">
      <w:pPr>
        <w:tabs>
          <w:tab w:val="left" w:pos="851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sudaryti sutartis dėl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tyrimų a</w:t>
      </w:r>
      <w:r>
        <w:rPr>
          <w:szCs w:val="24"/>
          <w:lang w:eastAsia="lt-LT"/>
        </w:rPr>
        <w:t xml:space="preserve">tlikimo ir apmokėjimo su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 xml:space="preserve"> Vilniaus universiteto ligonine Santaros klinikos,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 xml:space="preserve"> Lietuvos sveikatos mokslų universiteto ligonine Kauno klinikos, Vilniaus universitetu, Lietuvos sveikatos mokslų universitetu ir Nacionaliniu maisto ir veterinarijos rizikos</w:t>
      </w:r>
      <w:r>
        <w:rPr>
          <w:szCs w:val="24"/>
          <w:lang w:eastAsia="lt-LT"/>
        </w:rPr>
        <w:t xml:space="preserve"> vertinimo institutu (toliau –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tyrimus atliekančios įstaigos) ir sutartyse numatyti įsipareigojimą esant valstybės poreikiui atlikti ne mažesnį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tyrimų skaičių nei:</w:t>
      </w:r>
    </w:p>
    <w:p w14:paraId="7FA20646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1.2.1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 xml:space="preserve"> Vilniaus </w:t>
      </w:r>
      <w:r>
        <w:rPr>
          <w:szCs w:val="24"/>
          <w:lang w:eastAsia="lt-LT"/>
        </w:rPr>
        <w:t>universiteto ligoninei Santaros klinikoms – 384 tyrimus per savaitę;</w:t>
      </w:r>
    </w:p>
    <w:p w14:paraId="05D7B8D3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1.2.2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 xml:space="preserve"> Lietuvos sveikatos mokslų universiteto ligoninei Kauno klinikoms –96 tyrimus per savaitę;</w:t>
      </w:r>
    </w:p>
    <w:p w14:paraId="3FDA20D6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1.2.3</w:t>
      </w:r>
      <w:r>
        <w:rPr>
          <w:szCs w:val="24"/>
          <w:lang w:eastAsia="lt-LT"/>
        </w:rPr>
        <w:t>. Vilniaus universitetui – 24 tyrimus per dvi savaites;</w:t>
      </w:r>
    </w:p>
    <w:p w14:paraId="2E2A95B3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1.2.4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Lietuvos sveikatos mokslų universitetui – 96 tyrimus per dvi savaites;</w:t>
      </w:r>
    </w:p>
    <w:p w14:paraId="32BDB358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1.2.5</w:t>
      </w:r>
      <w:r>
        <w:rPr>
          <w:szCs w:val="24"/>
          <w:lang w:eastAsia="lt-LT"/>
        </w:rPr>
        <w:t>. Nacionaliniam maisto ir veterinarijos rizikos vertinimo institutui – nuo 2021 m. kovo 29 d. 9</w:t>
      </w:r>
      <w:r>
        <w:rPr>
          <w:szCs w:val="24"/>
          <w:lang w:val="en-US" w:eastAsia="lt-LT"/>
        </w:rPr>
        <w:t>6</w:t>
      </w:r>
      <w:r>
        <w:rPr>
          <w:szCs w:val="24"/>
          <w:lang w:eastAsia="lt-LT"/>
        </w:rPr>
        <w:t xml:space="preserve"> tyrimus per savaitę;</w:t>
      </w:r>
    </w:p>
    <w:p w14:paraId="3295FD1A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apmokėti už vieną atliktą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</w:t>
      </w:r>
      <w:r>
        <w:rPr>
          <w:szCs w:val="24"/>
          <w:lang w:eastAsia="lt-LT"/>
        </w:rPr>
        <w:t>oskaitos</w:t>
      </w:r>
      <w:proofErr w:type="spellEnd"/>
      <w:r>
        <w:rPr>
          <w:szCs w:val="24"/>
          <w:lang w:eastAsia="lt-LT"/>
        </w:rPr>
        <w:t xml:space="preserve"> tyrimą ne didesne kaina nei:</w:t>
      </w:r>
    </w:p>
    <w:p w14:paraId="3F1BA8E2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1.3.1</w:t>
      </w:r>
      <w:r>
        <w:rPr>
          <w:szCs w:val="24"/>
          <w:lang w:eastAsia="lt-LT"/>
        </w:rPr>
        <w:t xml:space="preserve">. iki 2021 m. balandžio </w:t>
      </w:r>
      <w:r>
        <w:rPr>
          <w:szCs w:val="24"/>
          <w:lang w:val="en-US" w:eastAsia="lt-LT"/>
        </w:rPr>
        <w:t>5 d.:</w:t>
      </w:r>
    </w:p>
    <w:p w14:paraId="232AC929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val="en-US" w:eastAsia="lt-LT"/>
        </w:rPr>
        <w:t>1.3.1.1</w:t>
      </w:r>
      <w:r>
        <w:rPr>
          <w:szCs w:val="24"/>
          <w:lang w:val="en-US" w:eastAsia="lt-LT"/>
        </w:rPr>
        <w:t xml:space="preserve">.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 xml:space="preserve"> Vilniaus universiteto ligoninei Santaros klinikoms – 91,83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3B73E251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1.3.1.2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 xml:space="preserve"> Lietuvos sveikatos mokslų universiteto ligoninei Kauno klinikoms – 204,84 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67BE0EA5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</w:t>
      </w: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 xml:space="preserve">. Vilniaus universitetui – 109,09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0144CC40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1.3.1.4</w:t>
      </w:r>
      <w:r>
        <w:rPr>
          <w:szCs w:val="24"/>
          <w:lang w:eastAsia="lt-LT"/>
        </w:rPr>
        <w:t xml:space="preserve">. Lietuvos sveikatos mokslų universitetui – 91,48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475C73D7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1.3.1.5</w:t>
      </w:r>
      <w:r>
        <w:rPr>
          <w:szCs w:val="24"/>
          <w:lang w:eastAsia="lt-LT"/>
        </w:rPr>
        <w:t xml:space="preserve">. Nacionaliniam maisto ir veterinarijos rizikos vertinimo institutui – 63,40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40D4C89D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1.3.2</w:t>
      </w:r>
      <w:r>
        <w:rPr>
          <w:szCs w:val="24"/>
          <w:lang w:eastAsia="lt-LT"/>
        </w:rPr>
        <w:t xml:space="preserve">. nuo </w:t>
      </w:r>
      <w:r>
        <w:rPr>
          <w:szCs w:val="24"/>
          <w:lang w:val="en-US" w:eastAsia="lt-LT"/>
        </w:rPr>
        <w:t xml:space="preserve">2021 m. </w:t>
      </w:r>
      <w:r>
        <w:rPr>
          <w:szCs w:val="24"/>
          <w:lang w:eastAsia="lt-LT"/>
        </w:rPr>
        <w:t xml:space="preserve">balandžio </w:t>
      </w:r>
      <w:r>
        <w:rPr>
          <w:szCs w:val="24"/>
          <w:lang w:val="en-US" w:eastAsia="lt-LT"/>
        </w:rPr>
        <w:t>6</w:t>
      </w:r>
      <w:r>
        <w:rPr>
          <w:szCs w:val="24"/>
          <w:lang w:eastAsia="lt-LT"/>
        </w:rPr>
        <w:t> d. visoms SARS-</w:t>
      </w:r>
      <w:proofErr w:type="spellStart"/>
      <w:r>
        <w:rPr>
          <w:szCs w:val="24"/>
          <w:lang w:eastAsia="lt-LT"/>
        </w:rPr>
        <w:t>C</w:t>
      </w:r>
      <w:r>
        <w:rPr>
          <w:szCs w:val="24"/>
          <w:lang w:eastAsia="lt-LT"/>
        </w:rPr>
        <w:t>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tyrimus atliekančios įstaigoms – 9</w:t>
      </w:r>
      <w:r>
        <w:rPr>
          <w:szCs w:val="24"/>
          <w:lang w:val="en-US" w:eastAsia="lt-LT"/>
        </w:rPr>
        <w:t xml:space="preserve">7,47 </w:t>
      </w:r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>;</w:t>
      </w:r>
    </w:p>
    <w:p w14:paraId="3E20F53E" w14:textId="485E300F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>. esant galimybei pasinaudoti Europos ligų prevencijos ir kontrolės centro (toliau – ECDC) teikiama neatlygintina pagalba dėl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shd w:val="clear" w:color="auto" w:fill="FFFFFF"/>
          <w:lang w:eastAsia="lt-LT"/>
        </w:rPr>
        <w:t xml:space="preserve"> tyrimų atlikimo, </w:t>
      </w:r>
      <w:r>
        <w:rPr>
          <w:szCs w:val="24"/>
          <w:lang w:eastAsia="lt-LT"/>
        </w:rPr>
        <w:t>perdu</w:t>
      </w:r>
      <w:r>
        <w:rPr>
          <w:szCs w:val="24"/>
          <w:lang w:eastAsia="lt-LT"/>
        </w:rPr>
        <w:t xml:space="preserve">oti ECDC paskirtai referentinei </w:t>
      </w:r>
      <w:r>
        <w:rPr>
          <w:color w:val="000000"/>
          <w:szCs w:val="24"/>
          <w:shd w:val="clear" w:color="auto" w:fill="FFFFFF"/>
          <w:lang w:eastAsia="lt-LT"/>
        </w:rPr>
        <w:t xml:space="preserve">laboratorijai pagal sutartą galimų atlikti </w:t>
      </w:r>
      <w:r>
        <w:rPr>
          <w:szCs w:val="24"/>
          <w:lang w:eastAsia="lt-LT"/>
        </w:rPr>
        <w:t>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 xml:space="preserve">tyrimų skaičių </w:t>
      </w:r>
      <w:r>
        <w:rPr>
          <w:szCs w:val="24"/>
          <w:lang w:eastAsia="lt-LT"/>
        </w:rPr>
        <w:t xml:space="preserve">atrinktus teigiamų </w:t>
      </w:r>
      <w:r>
        <w:rPr>
          <w:szCs w:val="24"/>
          <w:shd w:val="clear" w:color="auto" w:fill="FFFFFF"/>
          <w:lang w:eastAsia="lt-LT"/>
        </w:rPr>
        <w:t xml:space="preserve">PGR tyrimų likutinius išgrynintos RNR </w:t>
      </w:r>
      <w:proofErr w:type="spellStart"/>
      <w:r>
        <w:rPr>
          <w:szCs w:val="24"/>
          <w:shd w:val="clear" w:color="auto" w:fill="FFFFFF"/>
          <w:lang w:eastAsia="lt-LT"/>
        </w:rPr>
        <w:t>ėminius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;</w:t>
      </w:r>
    </w:p>
    <w:p w14:paraId="116D2CEF" w14:textId="594EA650" w:rsidR="00D12D51" w:rsidRDefault="00575C4D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1.5</w:t>
      </w:r>
      <w:r>
        <w:rPr>
          <w:szCs w:val="24"/>
          <w:lang w:eastAsia="lt-LT"/>
        </w:rPr>
        <w:t xml:space="preserve">. iki šio sprendimo 4.1 papunkčio įgyvendinimo saugoti gautą </w:t>
      </w:r>
      <w:r>
        <w:rPr>
          <w:szCs w:val="24"/>
          <w:lang w:eastAsia="lt-LT"/>
        </w:rPr>
        <w:t>2.2 ir 3.3 papunkčiuose nurodytą informaciją ir nuo šio sprendimo 4.1 papunkčio įgyvendinimo įvesti šią sukauptą informaciją į Valstybės duomenų valdysenos informacinės sistemos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shd w:val="clear" w:color="auto" w:fill="FFFFFF"/>
          <w:lang w:eastAsia="lt-LT"/>
        </w:rPr>
        <w:t xml:space="preserve"> procesui vykdyti reikiamų duomenų formą (toliau </w:t>
      </w:r>
      <w:r>
        <w:rPr>
          <w:szCs w:val="24"/>
          <w:shd w:val="clear" w:color="auto" w:fill="FFFFFF"/>
          <w:lang w:eastAsia="lt-LT"/>
        </w:rPr>
        <w:t xml:space="preserve">– </w:t>
      </w:r>
      <w:r>
        <w:rPr>
          <w:szCs w:val="24"/>
          <w:lang w:eastAsia="lt-LT"/>
        </w:rPr>
        <w:t>VDV IS</w:t>
      </w:r>
      <w:r>
        <w:rPr>
          <w:szCs w:val="24"/>
          <w:shd w:val="clear" w:color="auto" w:fill="FFFFFF"/>
          <w:lang w:eastAsia="lt-LT"/>
        </w:rPr>
        <w:t xml:space="preserve"> forma);</w:t>
      </w:r>
    </w:p>
    <w:p w14:paraId="24618566" w14:textId="59C60946" w:rsidR="00D12D51" w:rsidRDefault="00575C4D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1.6</w:t>
      </w:r>
      <w:r>
        <w:rPr>
          <w:szCs w:val="24"/>
          <w:shd w:val="clear" w:color="auto" w:fill="FFFFFF"/>
          <w:lang w:eastAsia="lt-LT"/>
        </w:rPr>
        <w:t xml:space="preserve">.  </w:t>
      </w:r>
      <w:r>
        <w:rPr>
          <w:szCs w:val="24"/>
          <w:lang w:eastAsia="lt-LT"/>
        </w:rPr>
        <w:t xml:space="preserve">nuo šio sprendimo 4.1 papunkčio įgyvendinimo įvesti į VDV IS formą </w:t>
      </w:r>
      <w:r>
        <w:rPr>
          <w:szCs w:val="24"/>
          <w:shd w:val="clear" w:color="auto" w:fill="FFFFFF"/>
          <w:lang w:eastAsia="lt-LT"/>
        </w:rPr>
        <w:t xml:space="preserve">šio sprendimo 2.2. papunktyje nurodytą informaciją apie ECDC referentinės laboratorijos atliktus </w:t>
      </w:r>
      <w:r>
        <w:rPr>
          <w:szCs w:val="24"/>
          <w:lang w:eastAsia="lt-LT"/>
        </w:rPr>
        <w:t>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shd w:val="clear" w:color="auto" w:fill="FFFFFF"/>
          <w:lang w:eastAsia="lt-LT"/>
        </w:rPr>
        <w:t xml:space="preserve"> tyrimus;</w:t>
      </w:r>
    </w:p>
    <w:p w14:paraId="4C4752DA" w14:textId="51251A2B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shd w:val="clear" w:color="auto" w:fill="FFFFFF"/>
          <w:lang w:eastAsia="lt-LT"/>
        </w:rPr>
        <w:t>1.7</w:t>
      </w:r>
      <w:r>
        <w:rPr>
          <w:szCs w:val="24"/>
          <w:shd w:val="clear" w:color="auto" w:fill="FFFFFF"/>
          <w:lang w:eastAsia="lt-LT"/>
        </w:rPr>
        <w:t xml:space="preserve">. </w:t>
      </w:r>
      <w:r>
        <w:rPr>
          <w:szCs w:val="24"/>
          <w:lang w:eastAsia="lt-LT"/>
        </w:rPr>
        <w:t xml:space="preserve">gautus </w:t>
      </w:r>
      <w:r>
        <w:rPr>
          <w:szCs w:val="24"/>
          <w:shd w:val="clear" w:color="auto" w:fill="FFFFFF"/>
          <w:lang w:eastAsia="lt-LT"/>
        </w:rPr>
        <w:t>ECDC refer</w:t>
      </w:r>
      <w:r>
        <w:rPr>
          <w:szCs w:val="24"/>
          <w:shd w:val="clear" w:color="auto" w:fill="FFFFFF"/>
          <w:lang w:eastAsia="lt-LT"/>
        </w:rPr>
        <w:t xml:space="preserve">entinės laboratorijos atliktų </w:t>
      </w:r>
      <w:r>
        <w:rPr>
          <w:szCs w:val="24"/>
          <w:lang w:eastAsia="lt-LT"/>
        </w:rPr>
        <w:t>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shd w:val="clear" w:color="auto" w:fill="FFFFFF"/>
          <w:lang w:eastAsia="lt-LT"/>
        </w:rPr>
        <w:t xml:space="preserve"> tyrimų rezultatus</w:t>
      </w:r>
      <w:r>
        <w:rPr>
          <w:szCs w:val="24"/>
          <w:lang w:eastAsia="lt-LT"/>
        </w:rPr>
        <w:t xml:space="preserve"> įvesti į tarptautinę genomų sekų GISAID (angl. </w:t>
      </w:r>
      <w:proofErr w:type="spellStart"/>
      <w:r>
        <w:rPr>
          <w:i/>
          <w:iCs/>
          <w:szCs w:val="24"/>
          <w:lang w:eastAsia="lt-LT"/>
        </w:rPr>
        <w:t>Global</w:t>
      </w:r>
      <w:proofErr w:type="spellEnd"/>
      <w:r>
        <w:rPr>
          <w:i/>
          <w:iCs/>
          <w:szCs w:val="24"/>
          <w:lang w:eastAsia="lt-LT"/>
        </w:rPr>
        <w:t xml:space="preserve"> </w:t>
      </w:r>
      <w:proofErr w:type="spellStart"/>
      <w:r>
        <w:rPr>
          <w:i/>
          <w:iCs/>
          <w:szCs w:val="24"/>
          <w:lang w:eastAsia="lt-LT"/>
        </w:rPr>
        <w:t>initiative</w:t>
      </w:r>
      <w:proofErr w:type="spellEnd"/>
      <w:r>
        <w:rPr>
          <w:i/>
          <w:iCs/>
          <w:szCs w:val="24"/>
          <w:lang w:eastAsia="lt-LT"/>
        </w:rPr>
        <w:t xml:space="preserve"> </w:t>
      </w:r>
      <w:proofErr w:type="spellStart"/>
      <w:r>
        <w:rPr>
          <w:i/>
          <w:iCs/>
          <w:szCs w:val="24"/>
          <w:lang w:eastAsia="lt-LT"/>
        </w:rPr>
        <w:t>on</w:t>
      </w:r>
      <w:proofErr w:type="spellEnd"/>
      <w:r>
        <w:rPr>
          <w:i/>
          <w:iCs/>
          <w:szCs w:val="24"/>
          <w:lang w:eastAsia="lt-LT"/>
        </w:rPr>
        <w:t xml:space="preserve"> </w:t>
      </w:r>
      <w:proofErr w:type="spellStart"/>
      <w:r>
        <w:rPr>
          <w:i/>
          <w:iCs/>
          <w:szCs w:val="24"/>
          <w:lang w:eastAsia="lt-LT"/>
        </w:rPr>
        <w:t>sharing</w:t>
      </w:r>
      <w:proofErr w:type="spellEnd"/>
      <w:r>
        <w:rPr>
          <w:i/>
          <w:iCs/>
          <w:szCs w:val="24"/>
          <w:lang w:eastAsia="lt-LT"/>
        </w:rPr>
        <w:t xml:space="preserve"> </w:t>
      </w:r>
      <w:proofErr w:type="spellStart"/>
      <w:r>
        <w:rPr>
          <w:i/>
          <w:iCs/>
          <w:szCs w:val="24"/>
          <w:lang w:eastAsia="lt-LT"/>
        </w:rPr>
        <w:t>all</w:t>
      </w:r>
      <w:proofErr w:type="spellEnd"/>
      <w:r>
        <w:rPr>
          <w:i/>
          <w:iCs/>
          <w:szCs w:val="24"/>
          <w:lang w:eastAsia="lt-LT"/>
        </w:rPr>
        <w:t xml:space="preserve"> </w:t>
      </w:r>
      <w:proofErr w:type="spellStart"/>
      <w:r>
        <w:rPr>
          <w:i/>
          <w:iCs/>
          <w:szCs w:val="24"/>
          <w:lang w:eastAsia="lt-LT"/>
        </w:rPr>
        <w:t>influenza</w:t>
      </w:r>
      <w:proofErr w:type="spellEnd"/>
      <w:r>
        <w:rPr>
          <w:i/>
          <w:iCs/>
          <w:szCs w:val="24"/>
          <w:lang w:eastAsia="lt-LT"/>
        </w:rPr>
        <w:t xml:space="preserve"> data</w:t>
      </w:r>
      <w:r>
        <w:rPr>
          <w:szCs w:val="24"/>
          <w:lang w:eastAsia="lt-LT"/>
        </w:rPr>
        <w:t>) duomenų bazę</w:t>
      </w:r>
      <w:r>
        <w:rPr>
          <w:szCs w:val="24"/>
          <w:shd w:val="clear" w:color="auto" w:fill="FFFFFF"/>
          <w:lang w:eastAsia="lt-LT"/>
        </w:rPr>
        <w:t>;</w:t>
      </w:r>
    </w:p>
    <w:p w14:paraId="674242E5" w14:textId="5176086E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1.8</w:t>
      </w:r>
      <w:r>
        <w:rPr>
          <w:szCs w:val="24"/>
          <w:lang w:eastAsia="lt-LT"/>
        </w:rPr>
        <w:t>. apie šio sprendimo 1.1 papunktyje nurodyto proceso rezultat</w:t>
      </w:r>
      <w:r>
        <w:rPr>
          <w:szCs w:val="24"/>
          <w:lang w:eastAsia="lt-LT"/>
        </w:rPr>
        <w:t xml:space="preserve">us reguliariai, bet ne rečiau kaip kartą per savaitę, informuoti Lietuvos Respublikos sveikatos apsaugos ministeriją el. paštu </w:t>
      </w:r>
      <w:r>
        <w:rPr>
          <w:szCs w:val="24"/>
          <w:u w:val="single"/>
          <w:lang w:eastAsia="lt-LT"/>
        </w:rPr>
        <w:t>covid19@sam.lt</w:t>
      </w:r>
      <w:r>
        <w:rPr>
          <w:szCs w:val="24"/>
          <w:lang w:eastAsia="lt-LT"/>
        </w:rPr>
        <w:t xml:space="preserve"> ir teikti siūlymus dėl COVID-19 ligos (</w:t>
      </w:r>
      <w:proofErr w:type="spellStart"/>
      <w:r>
        <w:rPr>
          <w:szCs w:val="24"/>
          <w:lang w:eastAsia="lt-LT"/>
        </w:rPr>
        <w:t>koronaviruso</w:t>
      </w:r>
      <w:proofErr w:type="spellEnd"/>
      <w:r>
        <w:rPr>
          <w:szCs w:val="24"/>
          <w:lang w:eastAsia="lt-LT"/>
        </w:rPr>
        <w:t xml:space="preserve"> infekcijos) plitimo valdymo.</w:t>
      </w:r>
    </w:p>
    <w:p w14:paraId="740D32E4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Įpareigoti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</w:t>
      </w:r>
      <w:r>
        <w:rPr>
          <w:szCs w:val="24"/>
          <w:lang w:eastAsia="lt-LT"/>
        </w:rPr>
        <w:t xml:space="preserve">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tyrimus atliekančios įstaigas NVSPL nustatyta tvarka ir periodiškumu:</w:t>
      </w:r>
    </w:p>
    <w:p w14:paraId="39663DA7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atlikti šio sprendimo 1.1 papunktyje nurodytų teigiamų PGR tyrimų </w:t>
      </w:r>
      <w:proofErr w:type="spellStart"/>
      <w:r>
        <w:rPr>
          <w:szCs w:val="24"/>
          <w:lang w:eastAsia="lt-LT"/>
        </w:rPr>
        <w:t>ėminių</w:t>
      </w:r>
      <w:proofErr w:type="spellEnd"/>
      <w:r>
        <w:rPr>
          <w:szCs w:val="24"/>
          <w:lang w:eastAsia="lt-LT"/>
        </w:rPr>
        <w:t xml:space="preserve">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tyrimus;</w:t>
      </w:r>
    </w:p>
    <w:p w14:paraId="22580E01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teikti NVSPL, o nuo šio sprendimo 4.1 pap</w:t>
      </w:r>
      <w:r>
        <w:rPr>
          <w:szCs w:val="24"/>
          <w:lang w:eastAsia="lt-LT"/>
        </w:rPr>
        <w:t xml:space="preserve">unkčio įgyvendinimo įvesti į </w:t>
      </w:r>
      <w:r>
        <w:rPr>
          <w:szCs w:val="24"/>
          <w:shd w:val="clear" w:color="auto" w:fill="FFFFFF"/>
          <w:lang w:eastAsia="lt-LT"/>
        </w:rPr>
        <w:t>VDV IS formą</w:t>
      </w:r>
      <w:r>
        <w:rPr>
          <w:szCs w:val="24"/>
          <w:lang w:eastAsia="lt-LT"/>
        </w:rPr>
        <w:t xml:space="preserve"> gautus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tyrimų rezultatus ir šią informaciją:</w:t>
      </w:r>
    </w:p>
    <w:p w14:paraId="271E0A24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2.2.1</w:t>
      </w:r>
      <w:r>
        <w:rPr>
          <w:szCs w:val="24"/>
          <w:lang w:eastAsia="lt-LT"/>
        </w:rPr>
        <w:t xml:space="preserve">. </w:t>
      </w:r>
      <w:r>
        <w:rPr>
          <w:szCs w:val="24"/>
          <w:shd w:val="clear" w:color="auto" w:fill="FFFFFF"/>
          <w:lang w:eastAsia="lt-LT"/>
        </w:rPr>
        <w:t>t</w:t>
      </w:r>
      <w:r>
        <w:rPr>
          <w:szCs w:val="24"/>
          <w:lang w:eastAsia="lt-LT"/>
        </w:rPr>
        <w:t xml:space="preserve">eigiamo PGR tyrimo </w:t>
      </w:r>
      <w:r>
        <w:rPr>
          <w:szCs w:val="24"/>
          <w:shd w:val="clear" w:color="auto" w:fill="FFFFFF"/>
          <w:lang w:eastAsia="lt-LT"/>
        </w:rPr>
        <w:t>likutinio išgrynintos RNR</w:t>
      </w:r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ėminio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vykdymui paėmimo data;</w:t>
      </w:r>
    </w:p>
    <w:p w14:paraId="4677CF62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2.2.2</w:t>
      </w:r>
      <w:r>
        <w:rPr>
          <w:szCs w:val="24"/>
          <w:lang w:eastAsia="lt-LT"/>
        </w:rPr>
        <w:t>. nustatyta atmaina;</w:t>
      </w:r>
    </w:p>
    <w:p w14:paraId="7D5BC74D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2.2.3</w:t>
      </w:r>
      <w:r>
        <w:rPr>
          <w:szCs w:val="24"/>
          <w:lang w:eastAsia="lt-LT"/>
        </w:rPr>
        <w:t>. p</w:t>
      </w:r>
      <w:r>
        <w:rPr>
          <w:szCs w:val="24"/>
          <w:lang w:eastAsia="lt-LT"/>
        </w:rPr>
        <w:t>apildomos mutacijos;</w:t>
      </w:r>
    </w:p>
    <w:p w14:paraId="44F9D9F8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 gautus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tyrimų rezultatus įvesti į tarptautinę genomų sekų GISAID duomenų bazę.</w:t>
      </w:r>
    </w:p>
    <w:p w14:paraId="402BE8D1" w14:textId="77777777" w:rsidR="00D12D51" w:rsidRDefault="00575C4D">
      <w:pPr>
        <w:tabs>
          <w:tab w:val="left" w:pos="1134"/>
        </w:tabs>
        <w:ind w:firstLine="720"/>
        <w:jc w:val="both"/>
        <w:rPr>
          <w:color w:val="FF0000"/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Pavesti asmens sveikatos priežiūros įstaigoms, teikiančioms </w:t>
      </w:r>
      <w:r>
        <w:rPr>
          <w:szCs w:val="24"/>
          <w:shd w:val="clear" w:color="auto" w:fill="FFFFFF"/>
          <w:lang w:eastAsia="lt-LT"/>
        </w:rPr>
        <w:t xml:space="preserve">PGR tyrimų paslaugas, NVSPL nustatyta tvarka </w:t>
      </w:r>
      <w:r>
        <w:rPr>
          <w:szCs w:val="24"/>
          <w:shd w:val="clear" w:color="auto" w:fill="FFFFFF"/>
          <w:lang w:eastAsia="lt-LT"/>
        </w:rPr>
        <w:t>ir periodiškumu:</w:t>
      </w:r>
    </w:p>
    <w:p w14:paraId="6F8F7F14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 xml:space="preserve">. </w:t>
      </w:r>
      <w:r>
        <w:rPr>
          <w:szCs w:val="24"/>
          <w:shd w:val="clear" w:color="auto" w:fill="FFFFFF"/>
          <w:lang w:eastAsia="lt-LT"/>
        </w:rPr>
        <w:t xml:space="preserve">saugoti visus teigiamų PGR tyrimų likutinius išgrynintos RNR </w:t>
      </w:r>
      <w:proofErr w:type="spellStart"/>
      <w:r>
        <w:rPr>
          <w:szCs w:val="24"/>
          <w:shd w:val="clear" w:color="auto" w:fill="FFFFFF"/>
          <w:lang w:eastAsia="lt-LT"/>
        </w:rPr>
        <w:t>ėminius</w:t>
      </w:r>
      <w:proofErr w:type="spellEnd"/>
      <w:r>
        <w:rPr>
          <w:szCs w:val="24"/>
          <w:shd w:val="clear" w:color="auto" w:fill="FFFFFF"/>
          <w:lang w:eastAsia="lt-LT"/>
        </w:rPr>
        <w:t xml:space="preserve"> ne aukštesnėje nei -20°C temperatūroje;</w:t>
      </w:r>
    </w:p>
    <w:p w14:paraId="6F0B0458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 xml:space="preserve">. perduoti NVSPL atrinktus teigiamų </w:t>
      </w:r>
      <w:r>
        <w:rPr>
          <w:szCs w:val="24"/>
          <w:shd w:val="clear" w:color="auto" w:fill="FFFFFF"/>
          <w:lang w:eastAsia="lt-LT"/>
        </w:rPr>
        <w:t xml:space="preserve">PGR tyrimų likutinius išgrynintos RNR </w:t>
      </w:r>
      <w:proofErr w:type="spellStart"/>
      <w:r>
        <w:rPr>
          <w:szCs w:val="24"/>
          <w:shd w:val="clear" w:color="auto" w:fill="FFFFFF"/>
          <w:lang w:eastAsia="lt-LT"/>
        </w:rPr>
        <w:t>ėminius</w:t>
      </w:r>
      <w:proofErr w:type="spellEnd"/>
      <w:r>
        <w:rPr>
          <w:szCs w:val="24"/>
          <w:shd w:val="clear" w:color="auto" w:fill="FFFFFF"/>
          <w:lang w:eastAsia="lt-LT"/>
        </w:rPr>
        <w:t>;</w:t>
      </w:r>
    </w:p>
    <w:p w14:paraId="14B29B55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3.3</w:t>
      </w:r>
      <w:r>
        <w:rPr>
          <w:szCs w:val="24"/>
          <w:lang w:eastAsia="lt-LT"/>
        </w:rPr>
        <w:t xml:space="preserve">. teikti NVSPL, o nuo šio sprendimo 4.1 papunkčio įgyvendinimo įvesti į </w:t>
      </w:r>
      <w:r>
        <w:rPr>
          <w:szCs w:val="24"/>
          <w:shd w:val="clear" w:color="auto" w:fill="FFFFFF"/>
          <w:lang w:eastAsia="lt-LT"/>
        </w:rPr>
        <w:t>VDV IS formą</w:t>
      </w:r>
      <w:r>
        <w:rPr>
          <w:szCs w:val="24"/>
          <w:lang w:eastAsia="lt-LT"/>
        </w:rPr>
        <w:t xml:space="preserve"> perduodamų teigiamų PGR tyrimų </w:t>
      </w:r>
      <w:r>
        <w:rPr>
          <w:szCs w:val="24"/>
          <w:shd w:val="clear" w:color="auto" w:fill="FFFFFF"/>
          <w:lang w:eastAsia="lt-LT"/>
        </w:rPr>
        <w:t xml:space="preserve">likutinių išgrynintos RNR </w:t>
      </w:r>
      <w:proofErr w:type="spellStart"/>
      <w:r>
        <w:rPr>
          <w:szCs w:val="24"/>
          <w:lang w:eastAsia="lt-LT"/>
        </w:rPr>
        <w:t>ėminių</w:t>
      </w:r>
      <w:proofErr w:type="spellEnd"/>
      <w:r>
        <w:rPr>
          <w:szCs w:val="24"/>
          <w:lang w:eastAsia="lt-LT"/>
        </w:rPr>
        <w:t xml:space="preserve"> informaciją:</w:t>
      </w:r>
    </w:p>
    <w:p w14:paraId="22FDCCFE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3.3.1</w:t>
      </w:r>
      <w:r>
        <w:rPr>
          <w:szCs w:val="24"/>
          <w:lang w:eastAsia="lt-LT"/>
        </w:rPr>
        <w:t>. laboratorinio tyrimo rezultatų (duomenų) protokolo (forma E200-a) identifikacinis num</w:t>
      </w:r>
      <w:r>
        <w:rPr>
          <w:szCs w:val="24"/>
          <w:lang w:eastAsia="lt-LT"/>
        </w:rPr>
        <w:t>eris;</w:t>
      </w:r>
    </w:p>
    <w:p w14:paraId="7DAE0031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3.3.2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ėminio</w:t>
      </w:r>
      <w:proofErr w:type="spellEnd"/>
      <w:r>
        <w:rPr>
          <w:szCs w:val="24"/>
          <w:lang w:eastAsia="lt-LT"/>
        </w:rPr>
        <w:t xml:space="preserve"> paėmimo data;</w:t>
      </w:r>
    </w:p>
    <w:p w14:paraId="174A426D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3.3.3</w:t>
      </w:r>
      <w:r>
        <w:rPr>
          <w:szCs w:val="24"/>
          <w:lang w:eastAsia="lt-LT"/>
        </w:rPr>
        <w:t>. visų tiriamųjų taikinių ciklų slenkstinės vertės (Ct vertė);</w:t>
      </w:r>
    </w:p>
    <w:p w14:paraId="16E3155C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3.3.4</w:t>
      </w:r>
      <w:r>
        <w:rPr>
          <w:szCs w:val="24"/>
          <w:lang w:eastAsia="lt-LT"/>
        </w:rPr>
        <w:t>. RNR gryninimo metodas;</w:t>
      </w:r>
    </w:p>
    <w:p w14:paraId="20B72205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3.3.5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tikralaikės</w:t>
      </w:r>
      <w:proofErr w:type="spellEnd"/>
      <w:r>
        <w:rPr>
          <w:szCs w:val="24"/>
          <w:lang w:eastAsia="lt-LT"/>
        </w:rPr>
        <w:t xml:space="preserve"> PGR metodas</w:t>
      </w:r>
      <w:r>
        <w:rPr>
          <w:szCs w:val="24"/>
          <w:shd w:val="clear" w:color="auto" w:fill="FFFFFF"/>
          <w:lang w:eastAsia="lt-LT"/>
        </w:rPr>
        <w:t>.</w:t>
      </w:r>
    </w:p>
    <w:p w14:paraId="2CA0EB1D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Pavesti </w:t>
      </w:r>
      <w:r>
        <w:rPr>
          <w:szCs w:val="24"/>
          <w:shd w:val="clear" w:color="auto" w:fill="FFFFFF"/>
          <w:lang w:eastAsia="lt-LT"/>
        </w:rPr>
        <w:t>Lietuvos statistikos departamentui:</w:t>
      </w:r>
    </w:p>
    <w:p w14:paraId="34689473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>
        <w:rPr>
          <w:szCs w:val="24"/>
          <w:lang w:eastAsia="lt-LT"/>
        </w:rPr>
        <w:t xml:space="preserve">. </w:t>
      </w:r>
      <w:r>
        <w:rPr>
          <w:szCs w:val="24"/>
          <w:shd w:val="clear" w:color="auto" w:fill="FFFFFF"/>
          <w:lang w:eastAsia="lt-LT"/>
        </w:rPr>
        <w:t>sukurti VDV IS</w:t>
      </w:r>
      <w:r>
        <w:rPr>
          <w:szCs w:val="24"/>
          <w:shd w:val="clear" w:color="auto" w:fill="FFFFFF"/>
          <w:lang w:eastAsia="lt-LT"/>
        </w:rPr>
        <w:t xml:space="preserve"> formą, į kurią būtų įvedama šio sprendimo 2.2, 3.3 ir 4.2 papunkčiuose nurodyta informacija;</w:t>
      </w:r>
    </w:p>
    <w:p w14:paraId="2B13BC3F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</w:t>
      </w:r>
      <w:r>
        <w:rPr>
          <w:szCs w:val="24"/>
          <w:lang w:eastAsia="lt-LT"/>
        </w:rPr>
        <w:t xml:space="preserve">. </w:t>
      </w:r>
      <w:r>
        <w:rPr>
          <w:szCs w:val="24"/>
          <w:shd w:val="clear" w:color="auto" w:fill="FFFFFF"/>
          <w:lang w:eastAsia="lt-LT"/>
        </w:rPr>
        <w:t>NVSPL nustatytu periodiškumu VDV IS formoje įvesti nustatytų teigiamų PGR tyrimų duomenis:</w:t>
      </w:r>
    </w:p>
    <w:p w14:paraId="2F2986C4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4.2.1</w:t>
      </w:r>
      <w:r>
        <w:rPr>
          <w:szCs w:val="24"/>
          <w:lang w:eastAsia="lt-LT"/>
        </w:rPr>
        <w:t>. laboratorinio tyrimo rezultatų (duomenų) protokolo (f</w:t>
      </w:r>
      <w:r>
        <w:rPr>
          <w:szCs w:val="24"/>
          <w:lang w:eastAsia="lt-LT"/>
        </w:rPr>
        <w:t>orma E200-a) identifikacinis numeris;</w:t>
      </w:r>
    </w:p>
    <w:p w14:paraId="6723EAC9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4.2.2</w:t>
      </w:r>
      <w:r>
        <w:rPr>
          <w:szCs w:val="24"/>
          <w:lang w:eastAsia="lt-LT"/>
        </w:rPr>
        <w:t xml:space="preserve">. apskritis, kurioje buvo paimtas </w:t>
      </w:r>
      <w:proofErr w:type="spellStart"/>
      <w:r>
        <w:rPr>
          <w:szCs w:val="24"/>
          <w:lang w:eastAsia="lt-LT"/>
        </w:rPr>
        <w:t>ėminys</w:t>
      </w:r>
      <w:proofErr w:type="spellEnd"/>
      <w:r>
        <w:rPr>
          <w:szCs w:val="24"/>
          <w:lang w:eastAsia="lt-LT"/>
        </w:rPr>
        <w:t>;</w:t>
      </w:r>
    </w:p>
    <w:p w14:paraId="67F31C33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4.2.3</w:t>
      </w:r>
      <w:r>
        <w:rPr>
          <w:szCs w:val="24"/>
          <w:lang w:eastAsia="lt-LT"/>
        </w:rPr>
        <w:t>. asmens amžius;</w:t>
      </w:r>
    </w:p>
    <w:p w14:paraId="748DC20A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4.2.4</w:t>
      </w:r>
      <w:r>
        <w:rPr>
          <w:szCs w:val="24"/>
          <w:lang w:eastAsia="lt-LT"/>
        </w:rPr>
        <w:t>. asmens lytis;</w:t>
      </w:r>
    </w:p>
    <w:p w14:paraId="7D5A00F3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4.2.5</w:t>
      </w:r>
      <w:r>
        <w:rPr>
          <w:szCs w:val="24"/>
          <w:lang w:eastAsia="lt-LT"/>
        </w:rPr>
        <w:t>. COVID-19 ligos (</w:t>
      </w:r>
      <w:proofErr w:type="spellStart"/>
      <w:r>
        <w:rPr>
          <w:szCs w:val="24"/>
          <w:lang w:eastAsia="lt-LT"/>
        </w:rPr>
        <w:t>koronaviruso</w:t>
      </w:r>
      <w:proofErr w:type="spellEnd"/>
      <w:r>
        <w:rPr>
          <w:szCs w:val="24"/>
          <w:lang w:eastAsia="lt-LT"/>
        </w:rPr>
        <w:t xml:space="preserve"> infekcijos) baigtis;</w:t>
      </w:r>
    </w:p>
    <w:p w14:paraId="00E36C48" w14:textId="77777777" w:rsidR="00D12D51" w:rsidRDefault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4.2.6</w:t>
      </w:r>
      <w:r>
        <w:rPr>
          <w:szCs w:val="24"/>
          <w:lang w:eastAsia="lt-LT"/>
        </w:rPr>
        <w:t>. jei asmuo buvo išvykęs - valstybė  (-ės), iš kurios (-</w:t>
      </w:r>
      <w:proofErr w:type="spellStart"/>
      <w:r>
        <w:rPr>
          <w:szCs w:val="24"/>
          <w:lang w:eastAsia="lt-LT"/>
        </w:rPr>
        <w:t>ių</w:t>
      </w:r>
      <w:proofErr w:type="spellEnd"/>
      <w:r>
        <w:rPr>
          <w:szCs w:val="24"/>
          <w:lang w:eastAsia="lt-LT"/>
        </w:rPr>
        <w:t xml:space="preserve">) asmuo grįžo ar atvyko per paskutines 14 dienų iki </w:t>
      </w:r>
      <w:proofErr w:type="spellStart"/>
      <w:r>
        <w:rPr>
          <w:szCs w:val="24"/>
          <w:lang w:eastAsia="lt-LT"/>
        </w:rPr>
        <w:t>ėminio</w:t>
      </w:r>
      <w:proofErr w:type="spellEnd"/>
      <w:r>
        <w:rPr>
          <w:szCs w:val="24"/>
          <w:lang w:eastAsia="lt-LT"/>
        </w:rPr>
        <w:t xml:space="preserve"> paėmimo;</w:t>
      </w:r>
    </w:p>
    <w:p w14:paraId="2FBDBF54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4.3</w:t>
      </w:r>
      <w:r>
        <w:rPr>
          <w:szCs w:val="24"/>
          <w:lang w:eastAsia="lt-LT"/>
        </w:rPr>
        <w:t>. sudaryti galimybę</w:t>
      </w:r>
      <w:r>
        <w:rPr>
          <w:szCs w:val="24"/>
          <w:shd w:val="clear" w:color="auto" w:fill="FFFFFF"/>
          <w:lang w:eastAsia="lt-LT"/>
        </w:rPr>
        <w:t xml:space="preserve"> VDV IS formoje</w:t>
      </w:r>
      <w:r>
        <w:rPr>
          <w:szCs w:val="24"/>
          <w:lang w:eastAsia="lt-LT"/>
        </w:rPr>
        <w:t>:</w:t>
      </w:r>
    </w:p>
    <w:p w14:paraId="1D61C3B3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val="en-US" w:eastAsia="lt-LT"/>
        </w:rPr>
        <w:t>4.3.1</w:t>
      </w:r>
      <w:r>
        <w:rPr>
          <w:szCs w:val="24"/>
          <w:lang w:val="en-US" w:eastAsia="lt-LT"/>
        </w:rPr>
        <w:t>.</w:t>
      </w:r>
      <w:r>
        <w:rPr>
          <w:szCs w:val="24"/>
          <w:lang w:eastAsia="lt-LT"/>
        </w:rPr>
        <w:t xml:space="preserve"> NVSPL įvesti šio sprendimo 2.2 ir 3.3 papunkčiuose nurodytą informaciją;</w:t>
      </w:r>
    </w:p>
    <w:p w14:paraId="4A9D6243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.3.2</w:t>
      </w:r>
      <w:r>
        <w:rPr>
          <w:szCs w:val="24"/>
          <w:lang w:eastAsia="lt-LT"/>
        </w:rPr>
        <w:t>. 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tyrimus atliekančias įstaigas įvesti šio sprendimo 2.2 papunktyje nurodytą informaciją;</w:t>
      </w:r>
    </w:p>
    <w:p w14:paraId="12CF7753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shd w:val="clear" w:color="auto" w:fill="FFFFFF"/>
          <w:lang w:eastAsia="lt-LT"/>
        </w:rPr>
      </w:pPr>
      <w:r>
        <w:rPr>
          <w:szCs w:val="24"/>
          <w:shd w:val="clear" w:color="auto" w:fill="FFFFFF"/>
          <w:lang w:eastAsia="lt-LT"/>
        </w:rPr>
        <w:t>4.3.3</w:t>
      </w:r>
      <w:r>
        <w:rPr>
          <w:szCs w:val="24"/>
          <w:shd w:val="clear" w:color="auto" w:fill="FFFFFF"/>
          <w:lang w:eastAsia="lt-LT"/>
        </w:rPr>
        <w:t xml:space="preserve">. </w:t>
      </w:r>
      <w:r>
        <w:rPr>
          <w:szCs w:val="24"/>
          <w:lang w:eastAsia="lt-LT"/>
        </w:rPr>
        <w:t xml:space="preserve">asmens sveikatos priežiūros įstaigoms, teikiančioms </w:t>
      </w:r>
      <w:r>
        <w:rPr>
          <w:szCs w:val="24"/>
          <w:shd w:val="clear" w:color="auto" w:fill="FFFFFF"/>
          <w:lang w:eastAsia="lt-LT"/>
        </w:rPr>
        <w:t xml:space="preserve">PGR tyrimų paslaugas, įvesti šio sprendimo 3.3 papunktyje nurodytą </w:t>
      </w:r>
      <w:r>
        <w:rPr>
          <w:szCs w:val="24"/>
          <w:shd w:val="clear" w:color="auto" w:fill="FFFFFF"/>
          <w:lang w:eastAsia="lt-LT"/>
        </w:rPr>
        <w:t>informaciją;</w:t>
      </w:r>
    </w:p>
    <w:p w14:paraId="3C21782E" w14:textId="77777777" w:rsidR="00D12D51" w:rsidRDefault="00575C4D">
      <w:pPr>
        <w:tabs>
          <w:tab w:val="left" w:pos="1276"/>
        </w:tabs>
        <w:ind w:firstLine="720"/>
        <w:jc w:val="both"/>
        <w:rPr>
          <w:szCs w:val="24"/>
          <w:lang w:eastAsia="lt-LT"/>
        </w:rPr>
      </w:pPr>
      <w:r>
        <w:rPr>
          <w:szCs w:val="24"/>
          <w:shd w:val="clear" w:color="auto" w:fill="FFFFFF"/>
          <w:lang w:eastAsia="lt-LT"/>
        </w:rPr>
        <w:t>4.4</w:t>
      </w:r>
      <w:r>
        <w:rPr>
          <w:szCs w:val="24"/>
          <w:shd w:val="clear" w:color="auto" w:fill="FFFFFF"/>
          <w:lang w:eastAsia="lt-LT"/>
        </w:rPr>
        <w:t xml:space="preserve">. suteikti Nacionaliniam visuomenės sveikatos centrui (toliau – NVSC) prieigą prie VDV IS sukauptų </w:t>
      </w:r>
      <w:r>
        <w:rPr>
          <w:szCs w:val="24"/>
          <w:lang w:eastAsia="lt-LT"/>
        </w:rPr>
        <w:t>SARS-</w:t>
      </w:r>
      <w:proofErr w:type="spellStart"/>
      <w:r>
        <w:rPr>
          <w:szCs w:val="24"/>
          <w:lang w:eastAsia="lt-LT"/>
        </w:rPr>
        <w:t>CoV-2</w:t>
      </w:r>
      <w:proofErr w:type="spellEnd"/>
      <w:r>
        <w:rPr>
          <w:szCs w:val="24"/>
          <w:lang w:eastAsia="lt-LT"/>
        </w:rPr>
        <w:t xml:space="preserve"> genomo </w:t>
      </w:r>
      <w:proofErr w:type="spellStart"/>
      <w:r>
        <w:rPr>
          <w:szCs w:val="24"/>
          <w:lang w:eastAsia="lt-LT"/>
        </w:rPr>
        <w:t>sekoskaitos</w:t>
      </w:r>
      <w:proofErr w:type="spellEnd"/>
      <w:r>
        <w:rPr>
          <w:szCs w:val="24"/>
          <w:lang w:eastAsia="lt-LT"/>
        </w:rPr>
        <w:t xml:space="preserve"> tyrimų rezultatų.</w:t>
      </w:r>
    </w:p>
    <w:p w14:paraId="3589F7B6" w14:textId="7FC2DE6C" w:rsidR="00D12D51" w:rsidRDefault="00575C4D" w:rsidP="00575C4D">
      <w:pPr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</w:t>
      </w:r>
      <w:r>
        <w:rPr>
          <w:rFonts w:eastAsia="Calibri"/>
          <w:szCs w:val="24"/>
          <w:lang w:eastAsia="lt-LT"/>
        </w:rPr>
        <w:t xml:space="preserve">Pavesti NVSC, </w:t>
      </w:r>
      <w:r>
        <w:rPr>
          <w:szCs w:val="24"/>
          <w:lang w:eastAsia="lt-LT"/>
        </w:rPr>
        <w:t>Policijos departamentui prie Lietuvos Respublikos vidaus reikalų</w:t>
      </w:r>
      <w:r>
        <w:rPr>
          <w:szCs w:val="24"/>
          <w:lang w:eastAsia="lt-LT"/>
        </w:rPr>
        <w:t xml:space="preserve"> ministerijos ir savivaldybių administracijų direktoriams, </w:t>
      </w:r>
      <w:r>
        <w:rPr>
          <w:rFonts w:eastAsia="Calibri"/>
          <w:szCs w:val="24"/>
          <w:lang w:eastAsia="lt-LT"/>
        </w:rPr>
        <w:t>nustačius epidemiologiškai pavojingus SARS-</w:t>
      </w:r>
      <w:proofErr w:type="spellStart"/>
      <w:r>
        <w:rPr>
          <w:rFonts w:eastAsia="Calibri"/>
          <w:szCs w:val="24"/>
          <w:lang w:eastAsia="lt-LT"/>
        </w:rPr>
        <w:t>CoV-2</w:t>
      </w:r>
      <w:proofErr w:type="spellEnd"/>
      <w:r>
        <w:rPr>
          <w:rFonts w:eastAsia="Calibri"/>
          <w:szCs w:val="24"/>
          <w:lang w:eastAsia="lt-LT"/>
        </w:rPr>
        <w:t xml:space="preserve"> viruso variantus (pvz., B.1.351, </w:t>
      </w:r>
      <w:r>
        <w:rPr>
          <w:color w:val="000000"/>
          <w:szCs w:val="24"/>
          <w:lang w:eastAsia="lt-LT"/>
        </w:rPr>
        <w:t>P.1 ir kt.</w:t>
      </w:r>
      <w:r>
        <w:rPr>
          <w:rFonts w:eastAsia="Calibri"/>
          <w:szCs w:val="24"/>
          <w:lang w:eastAsia="lt-LT"/>
        </w:rPr>
        <w:t>), vykdyti veiksmus, nustatytus Lietuvos Respublikos sveikatos apsaugos m</w:t>
      </w:r>
      <w:r>
        <w:rPr>
          <w:szCs w:val="24"/>
          <w:lang w:eastAsia="lt-LT"/>
        </w:rPr>
        <w:t>inistro, valstybės lygio ekstrem</w:t>
      </w:r>
      <w:r>
        <w:rPr>
          <w:szCs w:val="24"/>
          <w:lang w:eastAsia="lt-LT"/>
        </w:rPr>
        <w:t xml:space="preserve">aliosios situacijos valstybės operacijų vadovo </w:t>
      </w:r>
      <w:r>
        <w:rPr>
          <w:rFonts w:eastAsia="Calibri"/>
          <w:szCs w:val="24"/>
          <w:lang w:eastAsia="lt-LT"/>
        </w:rPr>
        <w:t xml:space="preserve"> 2021 m. kovo 26 d. sprendime Nr. V-649 „Dėl pavedimo vykdyti Lietuvos Respublikoje aptinkamų pavojingų SARS-COV-2 viruso mutacijos nustatymą ir epidemiologinę kontrolę“.“</w:t>
      </w:r>
    </w:p>
    <w:p w14:paraId="6C2AC559" w14:textId="77777777" w:rsidR="00575C4D" w:rsidRDefault="00575C4D">
      <w:pPr>
        <w:jc w:val="both"/>
      </w:pPr>
    </w:p>
    <w:p w14:paraId="587684C6" w14:textId="77777777" w:rsidR="00575C4D" w:rsidRDefault="00575C4D">
      <w:pPr>
        <w:jc w:val="both"/>
      </w:pPr>
    </w:p>
    <w:p w14:paraId="55D08887" w14:textId="77777777" w:rsidR="00575C4D" w:rsidRDefault="00575C4D">
      <w:pPr>
        <w:jc w:val="both"/>
      </w:pPr>
    </w:p>
    <w:p w14:paraId="08F0BEF0" w14:textId="3FE1E763" w:rsidR="00D12D51" w:rsidRDefault="00575C4D">
      <w:pPr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lang w:eastAsia="lt-LT"/>
        </w:rPr>
        <w:t xml:space="preserve">Sveikatos apsaugos </w:t>
      </w:r>
      <w:r>
        <w:rPr>
          <w:color w:val="000000"/>
          <w:szCs w:val="24"/>
          <w:lang w:eastAsia="lt-LT"/>
        </w:rPr>
        <w:t>ministras,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>valstybės lygio</w:t>
      </w:r>
    </w:p>
    <w:p w14:paraId="3C1292C3" w14:textId="77777777" w:rsidR="00575C4D" w:rsidRDefault="00575C4D">
      <w:pPr>
        <w:rPr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ekstremaliosios situacijos valstybės operacijų vadovas</w:t>
      </w:r>
      <w:r>
        <w:rPr>
          <w:szCs w:val="24"/>
          <w:lang w:eastAsia="lt-LT"/>
        </w:rPr>
        <w:tab/>
        <w:t xml:space="preserve">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Arūnas Dulkys</w:t>
      </w:r>
    </w:p>
    <w:p w14:paraId="3783A521" w14:textId="77777777" w:rsidR="00D12D51" w:rsidRDefault="00575C4D">
      <w:pPr>
        <w:tabs>
          <w:tab w:val="right" w:pos="9638"/>
        </w:tabs>
        <w:jc w:val="center"/>
        <w:rPr>
          <w:caps/>
          <w:szCs w:val="24"/>
          <w:lang w:eastAsia="lt-LT"/>
        </w:rPr>
      </w:pPr>
    </w:p>
    <w:bookmarkStart w:id="0" w:name="_GoBack" w:displacedByCustomXml="next"/>
    <w:bookmarkEnd w:id="0" w:displacedByCustomXml="next"/>
    <w:sectPr w:rsidR="00D12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12674" w14:textId="77777777" w:rsidR="00D12D51" w:rsidRDefault="00575C4D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endnote>
  <w:endnote w:type="continuationSeparator" w:id="0">
    <w:p w14:paraId="7943C57F" w14:textId="77777777" w:rsidR="00D12D51" w:rsidRDefault="00575C4D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2444" w14:textId="77777777" w:rsidR="00D12D51" w:rsidRDefault="00D12D51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22ACE" w14:textId="77777777" w:rsidR="00D12D51" w:rsidRDefault="00D12D51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BD8D" w14:textId="77777777" w:rsidR="00D12D51" w:rsidRDefault="00D12D51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247E1" w14:textId="77777777" w:rsidR="00D12D51" w:rsidRDefault="00575C4D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separator/>
      </w:r>
    </w:p>
  </w:footnote>
  <w:footnote w:type="continuationSeparator" w:id="0">
    <w:p w14:paraId="614203CE" w14:textId="77777777" w:rsidR="00D12D51" w:rsidRDefault="00575C4D">
      <w:pPr>
        <w:ind w:firstLine="720"/>
        <w:rPr>
          <w:rFonts w:ascii="Arial" w:hAnsi="Arial" w:cs="Arial"/>
          <w:sz w:val="20"/>
          <w:szCs w:val="24"/>
          <w:lang w:eastAsia="lt-LT"/>
        </w:rPr>
      </w:pPr>
      <w:r>
        <w:rPr>
          <w:rFonts w:ascii="Arial" w:hAnsi="Arial" w:cs="Arial"/>
          <w:sz w:val="20"/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54DD" w14:textId="77777777" w:rsidR="00D12D51" w:rsidRDefault="00575C4D">
    <w:pPr>
      <w:framePr w:wrap="auto" w:vAnchor="text" w:hAnchor="margin" w:xAlign="center" w:y="1"/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end"/>
    </w:r>
  </w:p>
  <w:p w14:paraId="28E08139" w14:textId="77777777" w:rsidR="00D12D51" w:rsidRDefault="00D12D51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C291" w14:textId="77777777" w:rsidR="00D12D51" w:rsidRDefault="00575C4D">
    <w:pPr>
      <w:framePr w:wrap="auto" w:vAnchor="text" w:hAnchor="margin" w:xAlign="center" w:y="1"/>
      <w:tabs>
        <w:tab w:val="center" w:pos="4819"/>
        <w:tab w:val="right" w:pos="9638"/>
      </w:tabs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separate"/>
    </w:r>
    <w:r>
      <w:rPr>
        <w:rFonts w:ascii="Arial" w:hAnsi="Arial" w:cs="Arial"/>
        <w:noProof/>
        <w:sz w:val="20"/>
        <w:lang w:eastAsia="lt-LT"/>
      </w:rPr>
      <w:t>3</w:t>
    </w:r>
    <w:r>
      <w:rPr>
        <w:rFonts w:ascii="Arial" w:hAnsi="Arial" w:cs="Arial"/>
        <w:sz w:val="20"/>
        <w:lang w:eastAsia="lt-LT"/>
      </w:rPr>
      <w:fldChar w:fldCharType="end"/>
    </w:r>
  </w:p>
  <w:p w14:paraId="322DF604" w14:textId="77777777" w:rsidR="00D12D51" w:rsidRDefault="00D12D51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040A2" w14:textId="77777777" w:rsidR="00D12D51" w:rsidRDefault="00D12D51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5C"/>
    <w:rsid w:val="00575C4D"/>
    <w:rsid w:val="00D12D51"/>
    <w:rsid w:val="00D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E2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8454</Characters>
  <Application>Microsoft Office Word</Application>
  <DocSecurity>0</DocSecurity>
  <Lines>70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pavedimo organizuoti, koordinuoti ir vykdyti pagilinto SARS-CoV-2 testavimo - viruso genetinių variantų nustatymo procesą</vt:lpstr>
      <vt:lpstr>2001-05-00</vt:lpstr>
    </vt:vector>
  </TitlesOfParts>
  <Company>Infolex</Company>
  <LinksUpToDate>false</LinksUpToDate>
  <CharactersWithSpaces>9609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2021-04-01T09:41:00Z</dcterms:created>
  <dc:creator>Infolex</dc:creator>
  <lastModifiedBy>TAMALIŪNIENĖ Vilija</lastModifiedBy>
  <lastPrinted>2020-11-11T12:52:00Z</lastPrinted>
  <dcterms:modified xsi:type="dcterms:W3CDTF">2021-04-01T09:27:00Z</dcterms:modified>
  <revision>3</revision>
  <dc:title>Dėl pavedimo organizuoti, koordinuoti ir vykdyti pagilinto SARS-CoV-2 testavimo - viruso genetinių variantų nustatymo procesą</dc:title>
</coreProperties>
</file>