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6" w:rsidRDefault="00DB0F06">
      <w:pPr>
        <w:tabs>
          <w:tab w:val="center" w:pos="4986"/>
          <w:tab w:val="right" w:pos="9972"/>
        </w:tabs>
      </w:pPr>
    </w:p>
    <w:p w:rsidR="00DB0F06" w:rsidRDefault="004574F1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object w:dxaOrig="811" w:dyaOrig="961" w14:anchorId="50408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8" o:title=""/>
          </v:shape>
          <o:OLEObject Type="Embed" ProgID="Word.Picture.8" ShapeID="_x0000_i1025" DrawAspect="Content" ObjectID="_1688531469" r:id="rId9"/>
        </w:object>
      </w:r>
    </w:p>
    <w:p w:rsidR="00DB0F06" w:rsidRDefault="00DB0F06">
      <w:pPr>
        <w:tabs>
          <w:tab w:val="center" w:pos="4819"/>
          <w:tab w:val="right" w:pos="9638"/>
        </w:tabs>
        <w:jc w:val="center"/>
        <w:rPr>
          <w:rFonts w:eastAsia="Calibri"/>
          <w:b/>
          <w:bCs/>
          <w:szCs w:val="24"/>
        </w:rPr>
      </w:pPr>
    </w:p>
    <w:p w:rsidR="00DB0F06" w:rsidRDefault="004574F1">
      <w:pPr>
        <w:tabs>
          <w:tab w:val="center" w:pos="4819"/>
          <w:tab w:val="right" w:pos="9638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LIETUVOS RESPUBLIKOS SVEIKATOS APSAUGOS MINISTRAS</w:t>
      </w:r>
    </w:p>
    <w:p w:rsidR="00DB0F06" w:rsidRDefault="00DB0F06">
      <w:pPr>
        <w:tabs>
          <w:tab w:val="center" w:pos="4819"/>
          <w:tab w:val="right" w:pos="9638"/>
        </w:tabs>
        <w:jc w:val="center"/>
        <w:rPr>
          <w:rFonts w:eastAsia="Calibri"/>
          <w:b/>
          <w:bCs/>
          <w:szCs w:val="24"/>
        </w:rPr>
      </w:pPr>
    </w:p>
    <w:p w:rsidR="00DB0F06" w:rsidRDefault="004574F1">
      <w:pPr>
        <w:tabs>
          <w:tab w:val="center" w:pos="4819"/>
          <w:tab w:val="right" w:pos="9638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ĮSAKYMAS</w:t>
      </w:r>
    </w:p>
    <w:p w:rsidR="00DB0F06" w:rsidRDefault="004574F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 2008 M. GRUODŽIO 9 D. ĮSAKYMO NR. V-1229 „</w:t>
      </w:r>
      <w:r>
        <w:rPr>
          <w:b/>
          <w:szCs w:val="24"/>
          <w:lang w:eastAsia="lt-LT"/>
        </w:rPr>
        <w:t>DĖL BENDRŲJŲ VAIKŲ IR SUAUGUSIŲJŲ CHIRURGIJOS STACIONARINIŲ ANTRINIO LYGIO PASLAUGŲ TEIKIMO REIKALAVIMŲ BEI BENDRŲJŲ VAIKŲ IR SUAUGUSIŲJŲ SPECIALIZUOTŲ CHIRURGIJOS STACIONARINIŲ TRETINIO LYGIO PASLAUGŲ TEIKIMO REIKALAVIMŲ APRAŠŲ PATVIRTINIMO</w:t>
      </w:r>
      <w:r>
        <w:rPr>
          <w:b/>
          <w:bCs/>
          <w:szCs w:val="24"/>
        </w:rPr>
        <w:t>“ PAKEITIMO</w:t>
      </w:r>
    </w:p>
    <w:p w:rsidR="00DB0F06" w:rsidRDefault="00DB0F06">
      <w:pPr>
        <w:jc w:val="center"/>
        <w:rPr>
          <w:b/>
          <w:bCs/>
          <w:szCs w:val="24"/>
        </w:rPr>
      </w:pPr>
    </w:p>
    <w:p w:rsidR="00DB0F06" w:rsidRPr="004574F1" w:rsidRDefault="004574F1">
      <w:pPr>
        <w:jc w:val="center"/>
        <w:rPr>
          <w:color w:val="000000"/>
          <w:szCs w:val="24"/>
        </w:rPr>
      </w:pPr>
      <w:r w:rsidRPr="004574F1">
        <w:rPr>
          <w:color w:val="000000"/>
          <w:szCs w:val="24"/>
        </w:rPr>
        <w:t xml:space="preserve">2021 m. liepos 22 d. </w:t>
      </w:r>
      <w:r w:rsidRPr="004574F1">
        <w:rPr>
          <w:color w:val="000000"/>
          <w:szCs w:val="24"/>
        </w:rPr>
        <w:t xml:space="preserve">Nr. </w:t>
      </w:r>
      <w:r w:rsidRPr="004574F1">
        <w:rPr>
          <w:color w:val="333333"/>
          <w:szCs w:val="24"/>
        </w:rPr>
        <w:t>V-1711</w:t>
      </w:r>
    </w:p>
    <w:p w:rsidR="00DB0F06" w:rsidRDefault="004574F1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DB0F06" w:rsidRDefault="00DB0F06">
      <w:pPr>
        <w:jc w:val="center"/>
        <w:rPr>
          <w:color w:val="000000"/>
        </w:rPr>
      </w:pPr>
    </w:p>
    <w:p w:rsidR="00DB0F06" w:rsidRDefault="004574F1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 a k e i č i u Lietuvos Respublikos sveikatos apsaugos ministro 2008 m. gruodžio 9 d. įsakymą Nr. V-1229 „</w:t>
      </w:r>
      <w:r>
        <w:rPr>
          <w:bCs/>
          <w:szCs w:val="24"/>
          <w:lang w:eastAsia="lt-LT"/>
        </w:rPr>
        <w:t xml:space="preserve">Dėl Bendrųjų vaikų ir suaugusiųjų chirurgijos stacionarinių antrinio lygio paslaugų </w:t>
      </w:r>
      <w:r>
        <w:rPr>
          <w:bCs/>
          <w:szCs w:val="24"/>
          <w:lang w:eastAsia="lt-LT"/>
        </w:rPr>
        <w:t>teikimo reikalavimų bei Bendrųjų vaikų ir suaugusiųjų specializuotų chirurgijos stacionarinių tretinio lygio paslaugų teikimo reikalavimų aprašų patvirtinimo</w:t>
      </w:r>
      <w:r>
        <w:rPr>
          <w:color w:val="000000"/>
          <w:szCs w:val="24"/>
          <w:lang w:eastAsia="lt-LT"/>
        </w:rPr>
        <w:t>“: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 xml:space="preserve">. Pakeičiu nurodytu įsakymu patvirtintą </w:t>
      </w:r>
      <w:r>
        <w:rPr>
          <w:bCs/>
          <w:szCs w:val="24"/>
          <w:lang w:eastAsia="lt-LT"/>
        </w:rPr>
        <w:t>Bendrųjų vaikų ir suaugusiųjų chirurgijos stacionar</w:t>
      </w:r>
      <w:r>
        <w:rPr>
          <w:bCs/>
          <w:szCs w:val="24"/>
          <w:lang w:eastAsia="lt-LT"/>
        </w:rPr>
        <w:t>inių antrinio lygio paslaugų teikimo reikalavimų aprašą: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1.1.1</w:t>
      </w:r>
      <w:r>
        <w:rPr>
          <w:bCs/>
          <w:szCs w:val="24"/>
          <w:lang w:eastAsia="lt-LT"/>
        </w:rPr>
        <w:t>. Papildau 21 punktu: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21</w:t>
      </w:r>
      <w:r>
        <w:rPr>
          <w:bCs/>
          <w:szCs w:val="24"/>
          <w:lang w:eastAsia="lt-LT"/>
        </w:rPr>
        <w:t>. ASPĮ, teikianti asmens sveikatos priežiūros paslaugas klausos negalią turintiems pacientams: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</w:t>
      </w:r>
      <w:r>
        <w:rPr>
          <w:bCs/>
          <w:szCs w:val="24"/>
          <w:lang w:val="en-US" w:eastAsia="lt-LT"/>
        </w:rPr>
        <w:t>1</w:t>
      </w:r>
      <w:r>
        <w:rPr>
          <w:bCs/>
          <w:szCs w:val="24"/>
          <w:lang w:eastAsia="lt-LT"/>
        </w:rPr>
        <w:t>. užtikrina lietuvių gestų kalbos vertimo paslaugų prieinamumą: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szCs w:val="24"/>
          <w:lang w:eastAsia="lt-LT"/>
        </w:rPr>
        <w:t>21.1.1</w:t>
      </w:r>
      <w:r>
        <w:rPr>
          <w:bCs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užsako lietuvių gestų kalbos vertimo paslaugas elektroniniu paštu ar telefonu;</w:t>
      </w:r>
    </w:p>
    <w:p w:rsidR="00DB0F06" w:rsidRDefault="004574F1">
      <w:pPr>
        <w:ind w:firstLine="851"/>
        <w:jc w:val="both"/>
        <w:rPr>
          <w:bCs/>
          <w:szCs w:val="24"/>
        </w:rPr>
      </w:pPr>
      <w:r>
        <w:rPr>
          <w:bCs/>
          <w:color w:val="000000"/>
          <w:szCs w:val="24"/>
          <w:lang w:eastAsia="lt-LT"/>
        </w:rPr>
        <w:t>21.1.2</w:t>
      </w:r>
      <w:r>
        <w:rPr>
          <w:bCs/>
          <w:color w:val="000000"/>
          <w:szCs w:val="24"/>
          <w:lang w:eastAsia="lt-LT"/>
        </w:rPr>
        <w:t xml:space="preserve">. </w:t>
      </w:r>
      <w:r>
        <w:rPr>
          <w:bCs/>
          <w:szCs w:val="24"/>
        </w:rPr>
        <w:t xml:space="preserve">nuotolinio ryšio priemonėmis – vaizdo ir garso ryšių priemonėmis (įskaitant programinę įrangą, bendravimo platformas ir kt.) ir (ar) kitomis elektroninių ryšių technologijomis, kurios gali būti naudojamos teikiant lietuvių gestų </w:t>
      </w:r>
      <w:r>
        <w:rPr>
          <w:bCs/>
          <w:szCs w:val="24"/>
          <w:lang w:eastAsia="lt-LT"/>
        </w:rPr>
        <w:t>kalbos vertimo paslaugas</w:t>
      </w:r>
      <w:r>
        <w:rPr>
          <w:bCs/>
          <w:szCs w:val="24"/>
        </w:rPr>
        <w:t>, k</w:t>
      </w:r>
      <w:r>
        <w:rPr>
          <w:bCs/>
          <w:szCs w:val="24"/>
        </w:rPr>
        <w:t>ai paslaugos teikėjas ir paslaugos gavėjas yra skirtingose vietose tuo pačiu laiku;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21.2</w:t>
      </w:r>
      <w:r>
        <w:rPr>
          <w:bCs/>
          <w:szCs w:val="24"/>
          <w:lang w:eastAsia="lt-LT"/>
        </w:rPr>
        <w:t>. sudaro sąlygas pacientui pasikviesti lietuvių gestų kalbos vertėją;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21.3</w:t>
      </w:r>
      <w:r>
        <w:rPr>
          <w:bCs/>
          <w:szCs w:val="24"/>
          <w:lang w:eastAsia="lt-LT"/>
        </w:rPr>
        <w:t>. jei asmuo nemoka lietuvių gestų kalbos, sudaro galimybę bendrauti su pacientu rašt</w:t>
      </w:r>
      <w:r>
        <w:rPr>
          <w:bCs/>
          <w:szCs w:val="24"/>
          <w:lang w:eastAsia="lt-LT"/>
        </w:rPr>
        <w:t>u.“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1.1.2</w:t>
      </w:r>
      <w:r>
        <w:rPr>
          <w:bCs/>
          <w:color w:val="000000"/>
          <w:szCs w:val="24"/>
          <w:lang w:eastAsia="lt-LT"/>
        </w:rPr>
        <w:t>. Papildau 22 punktu: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22</w:t>
      </w:r>
      <w:r>
        <w:rPr>
          <w:bCs/>
          <w:color w:val="000000"/>
          <w:szCs w:val="24"/>
          <w:lang w:eastAsia="lt-LT"/>
        </w:rPr>
        <w:t xml:space="preserve">. </w:t>
      </w:r>
      <w:r>
        <w:rPr>
          <w:bCs/>
          <w:szCs w:val="24"/>
        </w:rPr>
        <w:t>ASPĮ turi būti ASPĮ vadovo patvirtintas ir viešai skelbiamas dokumentas</w:t>
      </w:r>
      <w:r>
        <w:rPr>
          <w:bCs/>
          <w:color w:val="000000"/>
          <w:szCs w:val="24"/>
          <w:lang w:eastAsia="lt-LT"/>
        </w:rPr>
        <w:t>, nustatantis informacijos apie teisę gauti lietuvių gestų kalbos vertimo paslaugas skelbimo ir šių paslaugų organizavimo bei užtikrinimo</w:t>
      </w:r>
      <w:r>
        <w:rPr>
          <w:bCs/>
          <w:color w:val="000000"/>
          <w:szCs w:val="24"/>
          <w:lang w:eastAsia="lt-LT"/>
        </w:rPr>
        <w:t xml:space="preserve"> klausos negalią turintiems pacientams tvarką, kurioje būtų numatytos ASPĮ ir paciento teisės ir pareigos ir aprašyti nuoseklūs lietuvių gestų kalbos vertimo paslaugos organizavimo ir teikimo veiksmai.“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1.2</w:t>
      </w:r>
      <w:r>
        <w:rPr>
          <w:bCs/>
          <w:color w:val="000000"/>
          <w:szCs w:val="24"/>
          <w:lang w:eastAsia="lt-LT"/>
        </w:rPr>
        <w:t xml:space="preserve">. Pakeičiu nurodytu įsakymu patvirtintą </w:t>
      </w:r>
      <w:r>
        <w:rPr>
          <w:bCs/>
          <w:szCs w:val="24"/>
          <w:lang w:eastAsia="lt-LT"/>
        </w:rPr>
        <w:t xml:space="preserve">Bendrųjų vaikų ir suaugusiųjų specializuotų chirurgijos stacionarinių tretinio lygio paslaugų teikimo reikalavimų </w:t>
      </w:r>
      <w:r>
        <w:rPr>
          <w:bCs/>
          <w:color w:val="000000"/>
          <w:szCs w:val="24"/>
          <w:lang w:eastAsia="lt-LT"/>
        </w:rPr>
        <w:t>aprašą: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1.2.1</w:t>
      </w:r>
      <w:r>
        <w:rPr>
          <w:bCs/>
          <w:color w:val="000000"/>
          <w:szCs w:val="24"/>
          <w:lang w:eastAsia="lt-LT"/>
        </w:rPr>
        <w:t>. Papildau 21 punktu: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21</w:t>
      </w:r>
      <w:r>
        <w:rPr>
          <w:bCs/>
          <w:szCs w:val="24"/>
          <w:lang w:eastAsia="lt-LT"/>
        </w:rPr>
        <w:t>. ASPĮ, teikianti asmens sveikatos priežiūros paslaugas klausos negalią turintiems pacientams: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</w:t>
      </w:r>
      <w:r>
        <w:rPr>
          <w:bCs/>
          <w:szCs w:val="24"/>
          <w:lang w:val="en-US" w:eastAsia="lt-LT"/>
        </w:rPr>
        <w:t>1</w:t>
      </w:r>
      <w:r>
        <w:rPr>
          <w:bCs/>
          <w:szCs w:val="24"/>
          <w:lang w:eastAsia="lt-LT"/>
        </w:rPr>
        <w:t>. užtikrina lietuvių gestų kalbos vertimo paslaugų prieinamumą: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szCs w:val="24"/>
          <w:lang w:eastAsia="lt-LT"/>
        </w:rPr>
        <w:t>21.1.1</w:t>
      </w:r>
      <w:r>
        <w:rPr>
          <w:bCs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užsako lietuvių gestų kalbos vertimo paslaugas elektroniniu paštu ar telefonu;</w:t>
      </w:r>
    </w:p>
    <w:p w:rsidR="00DB0F06" w:rsidRDefault="004574F1">
      <w:pPr>
        <w:ind w:firstLine="851"/>
        <w:jc w:val="both"/>
        <w:rPr>
          <w:bCs/>
          <w:szCs w:val="24"/>
        </w:rPr>
      </w:pPr>
      <w:r>
        <w:rPr>
          <w:bCs/>
          <w:color w:val="000000"/>
          <w:szCs w:val="24"/>
          <w:lang w:eastAsia="lt-LT"/>
        </w:rPr>
        <w:t>21.1.2</w:t>
      </w:r>
      <w:r>
        <w:rPr>
          <w:bCs/>
          <w:color w:val="000000"/>
          <w:szCs w:val="24"/>
          <w:lang w:eastAsia="lt-LT"/>
        </w:rPr>
        <w:t xml:space="preserve">. </w:t>
      </w:r>
      <w:r>
        <w:rPr>
          <w:bCs/>
          <w:szCs w:val="24"/>
        </w:rPr>
        <w:t xml:space="preserve">nuotolinio ryšio priemonėmis – vaizdo ir garso ryšių priemonėmis (įskaitant programinę įrangą, bendravimo platformas ir kt.) ir (ar) kitomis elektroninių ryšių technologijomis, kurios gali būti naudojamos teikiant lietuvių gestų </w:t>
      </w:r>
      <w:r>
        <w:rPr>
          <w:bCs/>
          <w:szCs w:val="24"/>
          <w:lang w:eastAsia="lt-LT"/>
        </w:rPr>
        <w:t>kalbos vertimo paslaugas</w:t>
      </w:r>
      <w:r>
        <w:rPr>
          <w:bCs/>
          <w:szCs w:val="24"/>
        </w:rPr>
        <w:t>, k</w:t>
      </w:r>
      <w:r>
        <w:rPr>
          <w:bCs/>
          <w:szCs w:val="24"/>
        </w:rPr>
        <w:t>ai paslaugos teikėjas ir paslaugos gavėjas yra skirtingose vietose tuo pačiu laiku;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21.2</w:t>
      </w:r>
      <w:r>
        <w:rPr>
          <w:bCs/>
          <w:szCs w:val="24"/>
          <w:lang w:eastAsia="lt-LT"/>
        </w:rPr>
        <w:t>. sudaro sąlygas pacientui pasikviesti lietuvių gestų kalbos vertėją;</w:t>
      </w:r>
    </w:p>
    <w:p w:rsidR="00DB0F06" w:rsidRDefault="004574F1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21.3</w:t>
      </w:r>
      <w:r>
        <w:rPr>
          <w:bCs/>
          <w:szCs w:val="24"/>
          <w:lang w:eastAsia="lt-LT"/>
        </w:rPr>
        <w:t>. jei asmuo nemoka lietuvių gestų kalbos, sudaro galimybę bendrauti su pacientu rašt</w:t>
      </w:r>
      <w:r>
        <w:rPr>
          <w:bCs/>
          <w:szCs w:val="24"/>
          <w:lang w:eastAsia="lt-LT"/>
        </w:rPr>
        <w:t>u.“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1.2.2</w:t>
      </w:r>
      <w:r>
        <w:rPr>
          <w:bCs/>
          <w:color w:val="000000"/>
          <w:szCs w:val="24"/>
          <w:lang w:eastAsia="lt-LT"/>
        </w:rPr>
        <w:t>. Papildau 22 punktu:</w:t>
      </w:r>
    </w:p>
    <w:p w:rsidR="00DB0F06" w:rsidRDefault="004574F1">
      <w:pPr>
        <w:ind w:firstLine="851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22</w:t>
      </w:r>
      <w:r>
        <w:rPr>
          <w:bCs/>
          <w:color w:val="000000"/>
          <w:szCs w:val="24"/>
          <w:lang w:eastAsia="lt-LT"/>
        </w:rPr>
        <w:t xml:space="preserve">. </w:t>
      </w:r>
      <w:r>
        <w:rPr>
          <w:bCs/>
          <w:szCs w:val="24"/>
        </w:rPr>
        <w:t>ASPĮ turi būti ASPĮ vadovo patvirtintas ir viešai skelbiamas dokumentas</w:t>
      </w:r>
      <w:r>
        <w:rPr>
          <w:bCs/>
          <w:color w:val="000000"/>
          <w:szCs w:val="24"/>
          <w:lang w:eastAsia="lt-LT"/>
        </w:rPr>
        <w:t>, nustatantis informacijos apie teisę gauti lietuvių gestų kalbos vertimo paslaugas skelbimo ir šių paslaugų organizavimo bei užtikrinimo</w:t>
      </w:r>
      <w:r>
        <w:rPr>
          <w:bCs/>
          <w:color w:val="000000"/>
          <w:szCs w:val="24"/>
          <w:lang w:eastAsia="lt-LT"/>
        </w:rPr>
        <w:t xml:space="preserve"> klausos negalią turintiems pacientams tvarką, kurioje būtų numatytos ASPĮ ir paciento teisės ir pareigos ir aprašyti nuoseklūs lietuvių gestų kalbos vertimo paslaugos organizavimo ir teikimo veiksmai.“</w:t>
      </w:r>
    </w:p>
    <w:p w:rsidR="00DB0F06" w:rsidRDefault="004574F1" w:rsidP="004574F1">
      <w:pPr>
        <w:ind w:firstLine="851"/>
        <w:jc w:val="both"/>
      </w:pPr>
      <w:r>
        <w:rPr>
          <w:bCs/>
          <w:color w:val="000000"/>
          <w:szCs w:val="24"/>
          <w:lang w:eastAsia="lt-LT"/>
        </w:rPr>
        <w:t>2</w:t>
      </w:r>
      <w:r>
        <w:rPr>
          <w:bCs/>
          <w:color w:val="000000"/>
          <w:szCs w:val="24"/>
          <w:lang w:eastAsia="lt-LT"/>
        </w:rPr>
        <w:t>. N u s t a t a u, kad šis įsakymas įsig</w:t>
      </w:r>
      <w:r>
        <w:rPr>
          <w:bCs/>
          <w:color w:val="000000"/>
          <w:szCs w:val="24"/>
          <w:lang w:eastAsia="lt-LT"/>
        </w:rPr>
        <w:t>alioja 2021 m. lapkričio 1 d.</w:t>
      </w:r>
    </w:p>
    <w:p w:rsidR="004574F1" w:rsidRDefault="004574F1">
      <w:pPr>
        <w:widowControl w:val="0"/>
        <w:tabs>
          <w:tab w:val="right" w:pos="9498"/>
        </w:tabs>
        <w:suppressAutoHyphens/>
        <w:jc w:val="both"/>
      </w:pPr>
    </w:p>
    <w:p w:rsidR="004574F1" w:rsidRDefault="004574F1">
      <w:pPr>
        <w:widowControl w:val="0"/>
        <w:tabs>
          <w:tab w:val="right" w:pos="9498"/>
        </w:tabs>
        <w:suppressAutoHyphens/>
        <w:jc w:val="both"/>
      </w:pPr>
    </w:p>
    <w:p w:rsidR="004574F1" w:rsidRDefault="004574F1">
      <w:pPr>
        <w:widowControl w:val="0"/>
        <w:tabs>
          <w:tab w:val="right" w:pos="9498"/>
        </w:tabs>
        <w:suppressAutoHyphens/>
        <w:jc w:val="both"/>
      </w:pPr>
    </w:p>
    <w:p w:rsidR="00DB0F06" w:rsidRDefault="004574F1">
      <w:pPr>
        <w:widowControl w:val="0"/>
        <w:tabs>
          <w:tab w:val="right" w:pos="9498"/>
        </w:tabs>
        <w:suppressAutoHyphens/>
        <w:jc w:val="both"/>
        <w:rPr>
          <w:strike/>
          <w:szCs w:val="24"/>
        </w:rPr>
      </w:pPr>
      <w:bookmarkStart w:id="0" w:name="_GoBack"/>
      <w:bookmarkEnd w:id="0"/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p w:rsidR="00DB0F06" w:rsidRDefault="004574F1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sectPr w:rsidR="00DB0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568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6" w:rsidRDefault="004574F1">
      <w:r>
        <w:separator/>
      </w:r>
    </w:p>
  </w:endnote>
  <w:endnote w:type="continuationSeparator" w:id="0">
    <w:p w:rsidR="00DB0F06" w:rsidRDefault="0045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DB0F0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DB0F0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DB0F0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6" w:rsidRDefault="004574F1">
      <w:r>
        <w:separator/>
      </w:r>
    </w:p>
  </w:footnote>
  <w:footnote w:type="continuationSeparator" w:id="0">
    <w:p w:rsidR="00DB0F06" w:rsidRDefault="0045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4574F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DB0F06" w:rsidRDefault="00DB0F0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4574F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DB0F06" w:rsidRDefault="00DB0F0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6" w:rsidRDefault="00DB0F0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9"/>
    <w:rsid w:val="004574F1"/>
    <w:rsid w:val="006E6969"/>
    <w:rsid w:val="00D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2021-07-22T15:54:00Z</dcterms:created>
  <dc:creator>User</dc:creator>
  <lastModifiedBy>ŠAULYTĖ SKAIRIENĖ Dalia</lastModifiedBy>
  <dcterms:modified xsi:type="dcterms:W3CDTF">2021-07-23T04:45:00Z</dcterms:modified>
  <revision>3</revision>
</coreProperties>
</file>