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4FEFB77" wp14:editId="5501EBE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VALSTYBĖS INFORMACINIŲ IŠTEKLIŲ VALDYMO ĮSTATYMO NR. XI-1807 16 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19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XIII-2729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16 straipsnio pakeitimas</w:t>
      </w:r>
    </w:p>
    <w:p>
      <w:pPr>
        <w:tabs>
          <w:tab w:val="left" w:pos="851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Pakeisti 16 </w:t>
      </w:r>
      <w:r>
        <w:rPr>
          <w:bCs/>
          <w:iCs/>
          <w:szCs w:val="24"/>
          <w:lang w:eastAsia="lt-LT"/>
        </w:rPr>
        <w:t>straipsnio 1 dalies 3 punktą ir jį išdėstyti taip</w:t>
      </w:r>
      <w:r>
        <w:rPr>
          <w:szCs w:val="24"/>
          <w:lang w:eastAsia="lt-LT"/>
        </w:rPr>
        <w:t>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) nekilnojamasis turtas;“.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Pakeisti 16 straipsnio 1 dalies 6 punktą</w:t>
      </w:r>
      <w:r>
        <w:rPr>
          <w:bCs/>
          <w:iCs/>
          <w:szCs w:val="24"/>
          <w:lang w:eastAsia="lt-LT"/>
        </w:rPr>
        <w:t xml:space="preserve"> ir jį išdėstyti taip</w:t>
      </w:r>
      <w:r>
        <w:rPr>
          <w:szCs w:val="24"/>
          <w:lang w:eastAsia="lt-LT"/>
        </w:rPr>
        <w:t>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daiktinės teisės.“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</w:p>
    <w:p>
      <w:pPr>
        <w:tabs>
          <w:tab w:val="left" w:pos="851"/>
        </w:tabs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</w:t>
      </w:r>
      <w:r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Įstatymo įsigaliojimas </w:t>
      </w: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Šis įstatymas įsigalioja 2022 m. sausio 1 d.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496</Characters>
  <Application>Microsoft Office Word</Application>
  <DocSecurity>4</DocSecurity>
  <Lines>27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561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2020-01-03T12:45:00Z</dcterms:created>
  <dc:creator>MOZERIENĖ Dainora</dc:creator>
  <lastModifiedBy>adlibuser</lastModifiedBy>
  <lastPrinted>2004-12-10T05:45:00Z</lastPrinted>
  <dcterms:modified xsi:type="dcterms:W3CDTF">2020-01-03T12:45:00Z</dcterms:modified>
  <revision>2</revision>
</coreProperties>
</file>