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f992f4db2da4b42a118ffabf94e798e"/>
        <w:lock w:val="sdtLocked"/>
        <w:richText/>
      </w:sdtPr>
      <w:sdtContent>
        <w:p w14:paraId="01629B40" w14:textId="77777777">
          <w:pPr>
            <w:tabs>
              <w:tab w:val="center" w:pos="4819"/>
              <w:tab w:val="right" w:pos="9638"/>
            </w:tabs>
          </w:pPr>
        </w:p>
        <w:p w14:paraId="74AC6B74" w14:textId="269265E8">
          <w:pPr>
            <w:tabs>
              <w:tab w:val="center" w:pos="4819"/>
              <w:tab w:val="right" w:pos="9638"/>
            </w:tabs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val="en-GB" w:eastAsia="ar-SA"/>
            </w:rPr>
            <w:object w:dxaOrig="691" w:dyaOrig="811" w14:anchorId="74AC6B8F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4.5pt;height:40.5pt" o:ole="" filled="t">
                <v:fill color2="black"/>
                <v:imagedata r:id="rId6" o:title=""/>
              </v:shape>
              <o:OLEObject Type="Embed" ProgID="Word.Picture.8" ShapeID="_x0000_i1025" DrawAspect="Content" ObjectID="_1765892968" r:id="rId7"/>
            </w:object>
          </w:r>
        </w:p>
        <w:p w14:paraId="74AC6B75" w14:textId="77777777">
          <w:pPr>
            <w:suppressAutoHyphens/>
            <w:rPr>
              <w:sz w:val="12"/>
              <w:szCs w:val="12"/>
              <w:lang w:eastAsia="ar-SA"/>
            </w:rPr>
          </w:pPr>
        </w:p>
        <w:p w14:paraId="74AC6B76" w14:textId="77777777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LIETUVOS RESPUBLIKOS</w:t>
          </w:r>
        </w:p>
        <w:p w14:paraId="74AC6B77" w14:textId="77777777">
          <w:pPr>
            <w:tabs>
              <w:tab w:val="left" w:pos="9070"/>
            </w:tabs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VYRIAUSIOJI RINKIMŲ KOMISIJA</w:t>
          </w:r>
        </w:p>
        <w:p w14:paraId="74AC6B79" w14:textId="77777777">
          <w:pPr>
            <w:suppressAutoHyphens/>
            <w:jc w:val="center"/>
            <w:rPr>
              <w:b/>
              <w:caps/>
              <w:spacing w:val="40"/>
              <w:szCs w:val="24"/>
              <w:lang w:eastAsia="ar-SA"/>
            </w:rPr>
          </w:pPr>
        </w:p>
        <w:p w14:paraId="6739B7E5" w14:textId="77777777">
          <w:pPr>
            <w:suppressAutoHyphens/>
            <w:jc w:val="center"/>
            <w:rPr>
              <w:b/>
              <w:caps/>
              <w:spacing w:val="40"/>
              <w:szCs w:val="24"/>
              <w:lang w:eastAsia="ar-SA"/>
            </w:rPr>
          </w:pPr>
        </w:p>
        <w:p w14:paraId="74AC6B7A" w14:textId="77777777">
          <w:pPr>
            <w:suppressAutoHyphens/>
            <w:jc w:val="center"/>
            <w:rPr>
              <w:b/>
              <w:caps/>
              <w:szCs w:val="24"/>
              <w:lang w:eastAsia="ar-SA"/>
            </w:rPr>
          </w:pPr>
          <w:r>
            <w:rPr>
              <w:b/>
              <w:caps/>
              <w:szCs w:val="24"/>
              <w:lang w:eastAsia="ar-SA"/>
            </w:rPr>
            <w:t>SpREndimas</w:t>
          </w:r>
        </w:p>
        <w:p w14:paraId="39DB8F6C" w14:textId="7E365E88">
          <w:pPr>
            <w:tabs>
              <w:tab w:val="left" w:pos="10099"/>
            </w:tabs>
            <w:ind w:right="-2"/>
            <w:jc w:val="center"/>
            <w:rPr>
              <w:b/>
              <w:caps/>
              <w:szCs w:val="24"/>
            </w:rPr>
          </w:pPr>
          <w:r>
            <w:rPr>
              <w:b/>
              <w:szCs w:val="24"/>
              <w:lang w:eastAsia="ar-SA"/>
            </w:rPr>
            <w:t>DĖL VYRIAUSIOSIOS RINKIMŲ KOMISIJOS 2022 M. RUGPJŪČIO 11 D. SPRENDIMO NR. SP-60 „</w:t>
          </w:r>
          <w:r>
            <w:rPr>
              <w:b/>
              <w:caps/>
              <w:szCs w:val="24"/>
            </w:rPr>
            <w:t>DĖL RINKIMŲ (REFERENDUMO) STEBĖTOJŲ REGISTRAVIMO TVARKOS APRAŠO PATVIRTINIMO“ PAKEITIMO</w:t>
          </w:r>
        </w:p>
        <w:p w14:paraId="74AC6B7B" w14:textId="3719F122">
          <w:pPr>
            <w:tabs>
              <w:tab w:val="left" w:pos="3544"/>
            </w:tabs>
            <w:suppressAutoHyphens/>
            <w:ind w:firstLine="62"/>
            <w:jc w:val="center"/>
            <w:rPr>
              <w:b/>
              <w:szCs w:val="24"/>
              <w:lang w:eastAsia="ar-SA"/>
            </w:rPr>
          </w:pPr>
        </w:p>
        <w:p w14:paraId="74AC6B7D" w14:textId="4B1DD258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2023 m. gruodžio 21 d. Nr. Sp-312</w:t>
          </w:r>
        </w:p>
        <w:p w14:paraId="74AC6B7E" w14:textId="77777777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Vilnius</w:t>
          </w:r>
        </w:p>
        <w:p w14:paraId="3ED0D57C" w14:textId="77777777">
          <w:pPr>
            <w:suppressAutoHyphens/>
            <w:spacing w:line="360" w:lineRule="auto"/>
            <w:rPr>
              <w:szCs w:val="24"/>
              <w:lang w:eastAsia="ar-SA"/>
            </w:rPr>
          </w:pPr>
        </w:p>
        <w:sdt>
          <w:sdtPr>
            <w:alias w:val="preambule"/>
            <w:tag w:val="part_e9b4147a9bef4b098fd86b7ea4597ac6"/>
            <w:lock w:val="sdtLocked"/>
            <w:richText/>
          </w:sdtPr>
          <w:sdtContent>
            <w:p w14:paraId="74AC6B80" w14:textId="50A1C402">
              <w:pPr>
                <w:suppressAutoHyphens/>
                <w:spacing w:line="360" w:lineRule="auto"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Lietuvos Respublikos vyriausioji rinkimų komisija, vadovaudamasi Lietuvos Respublikos rinkimų kodekso 32 straipsnio 1 dalies 1 punktu ir 92 straipsnio 8 dalimi, </w:t>
              </w:r>
              <w:r>
                <w:rPr>
                  <w:spacing w:val="6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pastraipa"/>
            <w:tag w:val="part_73aa348413cc4cb09603e0831b9ad4d0"/>
            <w:lock w:val="sdtLocked"/>
            <w:richText/>
          </w:sdtPr>
          <w:sdtContent>
            <w:p w14:paraId="723AB5A3" w14:textId="6016346D">
              <w:pPr>
                <w:suppressAutoHyphens/>
                <w:spacing w:line="360" w:lineRule="auto"/>
                <w:ind w:firstLine="720"/>
                <w:jc w:val="both"/>
                <w:rPr>
                  <w:bCs/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Pakeisti Rinkimų (referendumo) stebėtojų registravimo tvarkos aprašo, patvirtinto Lietuvos Respublikos vyriausiosios rinkimų komisijos 2022 m. rugpjūčio 11 d. sprendimu Nr. Sp-60 „</w:t>
              </w:r>
              <w:r>
                <w:rPr>
                  <w:bCs/>
                  <w:szCs w:val="24"/>
                </w:rPr>
                <w:t>Dėl rinkimų (referendumo) stebėtojų registravimo tvarkos aprašo patvirtinimo“ 15 punktą ir jį išdėstyti taip:</w:t>
              </w:r>
            </w:p>
            <w:sdt>
              <w:sdtPr>
                <w:alias w:val="citata"/>
                <w:tag w:val="part_7b50898552794e95aad3b7b2436cc1d7"/>
                <w:lock w:val="sdtLocked"/>
                <w:richText/>
              </w:sdtPr>
              <w:sdtContent>
                <w:sdt>
                  <w:sdtPr>
                    <w:alias w:val="15 p."/>
                    <w:tag w:val="part_ef40ad8b6b3f48bbbe0421ea5a4455e8"/>
                    <w:lock w:val="sdtLocked"/>
                    <w:richText/>
                  </w:sdtPr>
                  <w:sdtContent>
                    <w:p w14:paraId="1C8FF2C5" w14:textId="6A4B1118">
                      <w:pPr>
                        <w:spacing w:line="360" w:lineRule="auto"/>
                        <w:ind w:firstLine="720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ef40ad8b6b3f48bbbe0421ea5a4455e8"/>
                          <w:lock w:val="sdtLocked"/>
                          <w:richText/>
                        </w:sdtPr>
                        <w:sdtContent>
                          <w:r>
                            <w:t>15</w:t>
                          </w:r>
                        </w:sdtContent>
                      </w:sdt>
                      <w:r>
                        <w:t>. Rinkimų (referendumo) komisijos ir įstaigų, kuriose yra sudaryti specialūs balsavimo punktai, vadovai turi pasirūpinti, kad stebėtojams balsavimo patalpose būtų sudarytos tinkamos sąlygos stebėti:</w:t>
                      </w:r>
                    </w:p>
                    <w:sdt>
                      <w:sdtPr>
                        <w:alias w:val="15.1 pp."/>
                        <w:tag w:val="part_6d0f6fb6a64144fbaa14108efaa9245a"/>
                        <w:lock w:val="sdtLocked"/>
                        <w:richText/>
                      </w:sdtPr>
                      <w:sdtContent>
                        <w:p w14:paraId="2D1A5189" w14:textId="0B671617">
                          <w:pPr>
                            <w:spacing w:line="360" w:lineRule="auto"/>
                            <w:ind w:firstLine="720"/>
                            <w:jc w:val="both"/>
                          </w:pPr>
                          <w:sdt>
                            <w:sdtPr>
                              <w:alias w:val="Numeris"/>
                              <w:tag w:val="nr_6d0f6fb6a64144fbaa14108efaa9245a"/>
                              <w:lock w:val="sdtLocked"/>
                              <w:richText/>
                            </w:sdtPr>
                            <w:sdtContent>
                              <w:r>
                                <w:t>15.1</w:t>
                              </w:r>
                            </w:sdtContent>
                          </w:sdt>
                          <w:r>
                            <w:t>. kaip organizuojamas ir vykdomas balsavimas (balsuojant iki rinkimų dienos, rinkimų dieną);</w:t>
                          </w:r>
                        </w:p>
                      </w:sdtContent>
                    </w:sdt>
                    <w:sdt>
                      <w:sdtPr>
                        <w:alias w:val="15.2 pp."/>
                        <w:tag w:val="part_67cdf09b6c854a14ac8003625cfe496d"/>
                        <w:lock w:val="sdtLocked"/>
                        <w:richText/>
                      </w:sdtPr>
                      <w:sdtContent>
                        <w:p w14:paraId="5D73DF7B" w14:textId="0CC72722">
                          <w:pPr>
                            <w:spacing w:line="360" w:lineRule="auto"/>
                            <w:ind w:firstLine="720"/>
                            <w:jc w:val="both"/>
                          </w:pPr>
                          <w:sdt>
                            <w:sdtPr>
                              <w:alias w:val="Numeris"/>
                              <w:tag w:val="nr_67cdf09b6c854a14ac8003625cfe496d"/>
                              <w:lock w:val="sdtLocked"/>
                              <w:richText/>
                            </w:sdtPr>
                            <w:sdtContent>
                              <w:r>
                                <w:t>15.2</w:t>
                              </w:r>
                            </w:sdtContent>
                          </w:sdt>
                          <w:r>
                            <w:t>. kaip skaičiuojami rinkėjų balsai ir surašomas rinkėjų balsų skaičiavimo protokolas (rinkimų dieną ar perskaičiuojant balsus).“</w:t>
                          </w:r>
                        </w:p>
                        <w:p w14:paraId="6C109255" w14:textId="77777777">
                          <w:pPr>
                            <w:suppressAutoHyphens/>
                            <w:spacing w:line="360" w:lineRule="auto"/>
                            <w:ind w:firstLine="720"/>
                            <w:jc w:val="both"/>
                            <w:rPr>
                              <w:lang w:eastAsia="ar-SA"/>
                            </w:rPr>
                          </w:pPr>
                        </w:p>
                        <w:p w14:paraId="15BCF518" w14:textId="50643F7F">
                          <w:pPr>
                            <w:suppressAutoHyphens/>
                          </w:pPr>
                        </w:p>
                        <w:p w14:paraId="30E4BE62" w14:textId="77777777">
                          <w:pPr>
                            <w:suppressAutoHyphens/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27a99a6c16a94887b903b7222d0b43b0"/>
            <w:lock w:val="sdtLocked"/>
            <w:richText/>
          </w:sdtPr>
          <w:sdtContent>
            <w:p w14:paraId="74AC6B8E" w14:textId="072E77C7">
              <w:pPr>
                <w:suppressAutoHyphens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Komisijos pirmininkė</w:t>
                <w:tab/>
                <w:tab/>
                <w:tab/>
                <w:t xml:space="preserve">                                             Lina Petronienė</w:t>
              </w: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footnotePr>
        <w:pos w:val="beneathText"/>
      </w:footnotePr>
      <w:pgSz w:w="11905" w:h="16837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B0CF33E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endnote>
  <w:endnote w:type="continuationSeparator" w:id="0">
    <w:p w14:paraId="7426CAEE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AC6B98" w14:textId="77777777">
    <w:pPr>
      <w:tabs>
        <w:tab w:val="center" w:pos="4513"/>
        <w:tab w:val="right" w:pos="9026"/>
      </w:tabs>
      <w:suppressAutoHyphens/>
      <w:rPr>
        <w:szCs w:val="24"/>
        <w:lang w:val="en-GB"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AC6B99" w14:textId="77777777">
    <w:pPr>
      <w:tabs>
        <w:tab w:val="center" w:pos="4513"/>
        <w:tab w:val="right" w:pos="9026"/>
      </w:tabs>
      <w:suppressAutoHyphens/>
      <w:rPr>
        <w:szCs w:val="24"/>
        <w:lang w:val="en-GB"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AC6B9B" w14:textId="77777777">
    <w:pPr>
      <w:tabs>
        <w:tab w:val="center" w:pos="4513"/>
        <w:tab w:val="right" w:pos="9026"/>
      </w:tabs>
      <w:suppressAutoHyphens/>
      <w:rPr>
        <w:szCs w:val="24"/>
        <w:lang w:val="en-GB"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133529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footnote>
  <w:footnote w:type="continuationSeparator" w:id="0">
    <w:p w14:paraId="5A59EE9B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AC6B94" w14:textId="7A0529D7">
    <w:pPr>
      <w:framePr w:wrap="auto" w:vAnchor="text" w:hAnchor="margin" w:xAlign="center" w:y="1"/>
      <w:tabs>
        <w:tab w:val="center" w:pos="4819"/>
        <w:tab w:val="right" w:pos="9638"/>
      </w:tabs>
      <w:suppressAutoHyphens/>
      <w:rPr>
        <w:szCs w:val="24"/>
        <w:lang w:val="en-GB" w:eastAsia="ar-SA"/>
      </w:rPr>
    </w:pPr>
    <w:r>
      <w:rPr>
        <w:szCs w:val="24"/>
        <w:lang w:val="en-GB" w:eastAsia="ar-SA"/>
      </w:rPr>
      <w:fldChar w:fldCharType="begin"/>
    </w:r>
    <w:r>
      <w:rPr>
        <w:szCs w:val="24"/>
        <w:lang w:val="en-GB" w:eastAsia="ar-SA"/>
      </w:rPr>
      <w:instrText xml:space="preserve">PAGE  </w:instrText>
    </w:r>
    <w:r>
      <w:rPr>
        <w:szCs w:val="24"/>
        <w:lang w:val="en-GB" w:eastAsia="ar-SA"/>
      </w:rPr>
      <w:fldChar w:fldCharType="separate"/>
    </w:r>
    <w:r>
      <w:rPr>
        <w:szCs w:val="24"/>
        <w:lang w:val="en-GB" w:eastAsia="ar-SA"/>
      </w:rPr>
      <w:t>1</w:t>
    </w:r>
    <w:r>
      <w:rPr>
        <w:szCs w:val="24"/>
        <w:lang w:val="en-GB" w:eastAsia="ar-SA"/>
      </w:rPr>
      <w:fldChar w:fldCharType="end"/>
    </w:r>
  </w:p>
  <w:p w14:paraId="74AC6B95" w14:textId="77777777">
    <w:pPr>
      <w:tabs>
        <w:tab w:val="center" w:pos="4819"/>
        <w:tab w:val="right" w:pos="9638"/>
      </w:tabs>
      <w:suppressAutoHyphens/>
      <w:rPr>
        <w:szCs w:val="24"/>
        <w:lang w:val="en-GB"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AC6B96" w14:textId="77777777">
    <w:pPr>
      <w:framePr w:wrap="auto" w:vAnchor="text" w:hAnchor="margin" w:xAlign="center" w:y="1"/>
      <w:tabs>
        <w:tab w:val="center" w:pos="4819"/>
        <w:tab w:val="right" w:pos="9638"/>
      </w:tabs>
      <w:suppressAutoHyphens/>
      <w:rPr>
        <w:szCs w:val="24"/>
        <w:lang w:val="en-GB" w:eastAsia="ar-SA"/>
      </w:rPr>
    </w:pPr>
    <w:r>
      <w:rPr>
        <w:szCs w:val="24"/>
        <w:lang w:val="en-GB" w:eastAsia="ar-SA"/>
      </w:rPr>
      <w:fldChar w:fldCharType="begin"/>
    </w:r>
    <w:r>
      <w:rPr>
        <w:szCs w:val="24"/>
        <w:lang w:val="en-GB" w:eastAsia="ar-SA"/>
      </w:rPr>
      <w:instrText xml:space="preserve">PAGE  </w:instrText>
    </w:r>
    <w:r>
      <w:rPr>
        <w:szCs w:val="24"/>
        <w:lang w:val="en-GB" w:eastAsia="ar-SA"/>
      </w:rPr>
      <w:fldChar w:fldCharType="separate"/>
    </w:r>
    <w:r>
      <w:rPr>
        <w:szCs w:val="24"/>
        <w:lang w:val="en-GB" w:eastAsia="ar-SA"/>
      </w:rPr>
      <w:t>2</w:t>
    </w:r>
    <w:r>
      <w:rPr>
        <w:szCs w:val="24"/>
        <w:lang w:val="en-GB" w:eastAsia="ar-SA"/>
      </w:rPr>
      <w:fldChar w:fldCharType="end"/>
    </w:r>
  </w:p>
  <w:p w14:paraId="74AC6B97" w14:textId="77777777">
    <w:pPr>
      <w:tabs>
        <w:tab w:val="center" w:pos="4819"/>
        <w:tab w:val="right" w:pos="9638"/>
      </w:tabs>
      <w:suppressAutoHyphens/>
      <w:rPr>
        <w:szCs w:val="24"/>
        <w:lang w:val="en-GB"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A8CB47" w14:textId="77777777"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08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74AC6B72"/>
  <w15:docId w15:val="{7CBA752A-1F1A-48DC-99B9-57C85E06180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56341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75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19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oleObject" Target="embeddings/oleObject1.bin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b57ef6779e824a839ad8d6d3283581f3" PartId="cf992f4db2da4b42a118ffabf94e798e">
    <Part Type="preambule" DocPartId="fd7bc70b1ec3434eac385b4409c04e61" PartId="e9b4147a9bef4b098fd86b7ea4597ac6"/>
    <Part Type="pastraipa" DocPartId="04bb6fef0910433c9174482108b6da19" PartId="73aa348413cc4cb09603e0831b9ad4d0">
      <Part Type="citata" DocPartId="e67b92544d434c40819db1f11cd7d0a7" PartId="7b50898552794e95aad3b7b2436cc1d7">
        <Part Type="punktas" Nr="15" Abbr="15 p." DocPartId="3177ea40542b470aabd876242f76def0" PartId="ef40ad8b6b3f48bbbe0421ea5a4455e8">
          <Part Type="papunktis" Nr="15.1" Abbr="15.1 pp." DocPartId="a192d5907528412cb30d377a1ce19eb3" PartId="6d0f6fb6a64144fbaa14108efaa9245a"/>
          <Part Type="papunktis" Nr="15.2" Abbr="15.2 pp." DocPartId="d59ecfc79a454944a87d32545b9a1ebc" PartId="67cdf09b6c854a14ac8003625cfe496d"/>
        </Part>
      </Part>
    </Part>
    <Part Type="signatura" DocPartId="1d3793ee18644e2ba72c0a868bd3bbab" PartId="27a99a6c16a94887b903b7222d0b43b0"/>
  </Part>
</Parts>
</file>

<file path=customXml/itemProps1.xml><?xml version="1.0" encoding="utf-8"?>
<ds:datastoreItem xmlns:ds="http://schemas.openxmlformats.org/officeDocument/2006/customXml" ds:itemID="{7FC8E3E9-BFF0-4729-9111-6C452104FF0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158</Words>
  <Characters>1130</Characters>
  <Application>Microsoft Office Word</Application>
  <DocSecurity>4</DocSecurity>
  <Lines>33</Lines>
  <Paragraphs>14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 Nr</vt:lpstr>
      <vt:lpstr>Projektas Nr</vt:lpstr>
    </vt:vector>
  </TitlesOfParts>
  <Company>VRK</Company>
  <LinksUpToDate>false</LinksUpToDate>
  <CharactersWithSpaces>1274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2024-01-04T15:02:00Z</dcterms:created>
  <dc:creator>N. Žemaitienė</dc:creator>
  <lastModifiedBy>adlibuser</lastModifiedBy>
  <lastPrinted>2021-12-14T06:47:00Z</lastPrinted>
  <dcterms:modified xsi:type="dcterms:W3CDTF">2024-01-04T15:02:00Z</dcterms:modified>
  <revision>2</revision>
  <dc:title>Projektas Nr</dc:title>
</coreProperties>
</file>