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6FF2F9D" wp14:editId="56D2692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FINANSINIŲ ATASKAITŲ AUDITO ĮSTATYMO NR. VIII-1227 10, 14, 15, 20, 23 IR 24 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29 d. Nr. XIII-573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10 straipsnio pakeitimas</w:t>
      </w: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10 straipsnio 1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buvo pripažintas kaltu dėl sunkaus ar labai sunkaus nusikaltimo nuosavybei, turtinėms teisėms, turtiniams interesams, ekonomikai, verslo tvarkai, finansų sistemai, valstybės tarnybai arba viešiesiems interesams ir teistumas neišnykęs arba nepanaikintas;“.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10 straipsnį 6 punktu: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) </w:t>
      </w:r>
      <w:r>
        <w:rPr>
          <w:bCs/>
          <w:szCs w:val="24"/>
        </w:rPr>
        <w:t>pažeidė Lietuvos Respublikos pinigų plovimo ir teroristų finansavimo prevencijos įstatymą ir</w:t>
      </w:r>
      <w:r>
        <w:rPr>
          <w:szCs w:val="24"/>
        </w:rPr>
        <w:t xml:space="preserve"> jam buvo paskirta Pinigų plovimo ir teroristų finansavimo prevencijos įstatymo 36 straipsnio 1 dalies 6 punkte numatyta poveikio priemonė – išduotos licencijos ar leidimo vykdyti veiklą panaikinimas ir nuo šios poveikio priemonės paskyrimo nepraėjo penkeri metai.“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14 straipsnio pakeitimas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14 straipsnio 1 dalį 4 punktu: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auditoriui paskiriama Pinigų plovimo ir teroristų finansavimo prevencijos įstatymo 36 straipsnio 1 dalies 6 punkte numatyta poveikio priemonė.“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15 straipsnio 1 dalį 7 punktu: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) </w:t>
      </w:r>
      <w:r>
        <w:rPr>
          <w:bCs/>
          <w:color w:val="000000"/>
          <w:szCs w:val="24"/>
        </w:rPr>
        <w:t xml:space="preserve">įsiteisėjus sprendimui, kuriuo </w:t>
      </w:r>
      <w:r>
        <w:rPr>
          <w:szCs w:val="24"/>
        </w:rPr>
        <w:t>auditoriui paskiriama Pinigų plovimo ir teroristų finansavimo prevencijos įstatymo 36 straipsnio 1 dalies 6 punkte numatyta poveikio priemonė.“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424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20 straipsnio pakeitimas</w:t>
      </w:r>
    </w:p>
    <w:p>
      <w:pPr>
        <w:tabs>
          <w:tab w:val="left" w:pos="42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20 straipsnį ir jį išdėstyti taip:</w:t>
      </w:r>
    </w:p>
    <w:p>
      <w:pPr>
        <w:tabs>
          <w:tab w:val="left" w:pos="42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20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Audito įmonių nepriekaištinga reputacija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  <w:lang w:eastAsia="lt-LT"/>
        </w:rPr>
        <w:t xml:space="preserve">Audito įmonė nėra laikoma nepriekaištingos reputacijos, jeigu dėl jos arba jos patronuojančiosios įmonės yra </w:t>
      </w:r>
      <w:r>
        <w:rPr>
          <w:szCs w:val="24"/>
        </w:rPr>
        <w:t>įsiteisėjęs apkaltinamasis teismo nuosprendis už sunkų ar labai sunkų nusikaltimą</w:t>
      </w:r>
      <w:r>
        <w:rPr>
          <w:szCs w:val="24"/>
          <w:lang w:eastAsia="lt-LT"/>
        </w:rPr>
        <w:t xml:space="preserve"> nuosavybei, turtinėms teisėms, turtiniams interesams, ekonomikai, verslo tvarkai, finansų sistemai, viešiesiems interesams, teisingumui arba visuomenės saugumui</w:t>
      </w:r>
      <w:r>
        <w:rPr>
          <w:szCs w:val="24"/>
        </w:rPr>
        <w:t xml:space="preserve"> arba per pastaruosius 3 metus yra įsiteisėjęs apkaltinamasis teismo nuosprendis už kitą tyčinę nusikalstamą veiką ir jos teistumas neišnykęs arba nepanaikintas, </w:t>
      </w:r>
      <w:r>
        <w:rPr>
          <w:bCs/>
          <w:szCs w:val="24"/>
        </w:rPr>
        <w:t>taip pat jeigu audito įmonei buvo paskirta Pinigų plovimo ir teroristų finansavimo prevencijos įstatymo 36 straipsnio 1 dalies 6 punkte numatyta poveikio priemonė – išduotos licencijos ar leidimo vykdyti veiklą panaikinimas ir nuo šios poveikio priemonės paskyrimo nepraėjo penkeri metai</w:t>
      </w:r>
      <w:r>
        <w:rPr>
          <w:szCs w:val="24"/>
        </w:rPr>
        <w:t>.“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23 straipsnio pakeitimas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23 straipsnio 1 dalį 6 punktu: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) audito įmonei paskiriama Pinigų plovimo ir teroristų finansavimo prevencijos įstatymo 36 straipsnio 1 dalies 6 punkte numatyta poveikio priemonė.“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 straipsnio pakeitimas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24 straipsnio 1 dalį 5 punktu: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 xml:space="preserve">) </w:t>
      </w:r>
      <w:r>
        <w:rPr>
          <w:bCs/>
          <w:color w:val="000000"/>
          <w:szCs w:val="24"/>
        </w:rPr>
        <w:t xml:space="preserve">įsiteisėjus sprendimui, kuriuo </w:t>
      </w:r>
      <w:r>
        <w:rPr>
          <w:szCs w:val="24"/>
        </w:rPr>
        <w:t>audito įmonei paskiriama Pinigų plovimo ir teroristų finansavimo prevencijos įstatymo 36 straipsnio 1 dalies 6 punkte numatyta poveikio priemonė.“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2675</Characters>
  <Application>Microsoft Office Word</Application>
  <DocSecurity>4</DocSecurity>
  <Lines>65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3044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2017-07-12T13:41:00Z</dcterms:created>
  <dc:creator>MANIUŠKIENĖ Violeta</dc:creator>
  <lastModifiedBy>adlibuser</lastModifiedBy>
  <lastPrinted>2004-12-10T05:45:00Z</lastPrinted>
  <dcterms:modified xsi:type="dcterms:W3CDTF">2017-07-12T13:41:00Z</dcterms:modified>
  <revision>2</revision>
</coreProperties>
</file>