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1CF5" w14:textId="77777777" w:rsidR="00C40AD7" w:rsidRDefault="00C40AD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5D51CF6" w14:textId="77777777" w:rsidR="00C40AD7" w:rsidRDefault="00E00FCE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5D51D1F" wp14:editId="65D51D2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1CF7" w14:textId="77777777" w:rsidR="00C40AD7" w:rsidRDefault="00C40AD7">
      <w:pPr>
        <w:jc w:val="center"/>
        <w:rPr>
          <w:caps/>
          <w:sz w:val="12"/>
          <w:szCs w:val="12"/>
        </w:rPr>
      </w:pPr>
    </w:p>
    <w:p w14:paraId="65D51CF8" w14:textId="77777777" w:rsidR="00C40AD7" w:rsidRDefault="00E00FC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5D51CF9" w14:textId="77777777" w:rsidR="00C40AD7" w:rsidRDefault="00E00FCE">
      <w:pPr>
        <w:jc w:val="center"/>
        <w:rPr>
          <w:b/>
          <w:caps/>
        </w:rPr>
      </w:pPr>
      <w:r>
        <w:rPr>
          <w:b/>
          <w:caps/>
        </w:rPr>
        <w:t xml:space="preserve">VALSTYBĖS IR SAVIVALDYBIŲ TURTO VALDYMO, NAUDOJIMO IR DISPONAVIMO JUO ĮSTATYMO NR. VIII-729 14 IR 15 STRAIPSNIŲ PAKEITIMO </w:t>
      </w:r>
    </w:p>
    <w:p w14:paraId="65D51CFA" w14:textId="77777777" w:rsidR="00C40AD7" w:rsidRDefault="00E00FCE">
      <w:pPr>
        <w:jc w:val="center"/>
        <w:rPr>
          <w:caps/>
        </w:rPr>
      </w:pPr>
      <w:r>
        <w:rPr>
          <w:b/>
          <w:caps/>
        </w:rPr>
        <w:t>ĮSTATYMAS</w:t>
      </w:r>
    </w:p>
    <w:p w14:paraId="65D51CFB" w14:textId="77777777" w:rsidR="00C40AD7" w:rsidRDefault="00C40AD7">
      <w:pPr>
        <w:jc w:val="center"/>
        <w:rPr>
          <w:b/>
          <w:caps/>
        </w:rPr>
      </w:pPr>
    </w:p>
    <w:p w14:paraId="65D51CFC" w14:textId="77777777" w:rsidR="00C40AD7" w:rsidRDefault="00E00FCE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XIII-3047</w:t>
      </w:r>
    </w:p>
    <w:p w14:paraId="65D51CFD" w14:textId="77777777" w:rsidR="00C40AD7" w:rsidRDefault="00E00FCE">
      <w:pPr>
        <w:jc w:val="center"/>
        <w:rPr>
          <w:szCs w:val="24"/>
        </w:rPr>
      </w:pPr>
      <w:r>
        <w:rPr>
          <w:szCs w:val="24"/>
        </w:rPr>
        <w:t>Vilnius</w:t>
      </w:r>
    </w:p>
    <w:p w14:paraId="65D51CFE" w14:textId="77777777" w:rsidR="00C40AD7" w:rsidRDefault="00C40AD7">
      <w:pPr>
        <w:jc w:val="center"/>
        <w:rPr>
          <w:sz w:val="22"/>
        </w:rPr>
      </w:pPr>
    </w:p>
    <w:p w14:paraId="65D51D01" w14:textId="77777777" w:rsidR="00C40AD7" w:rsidRDefault="00C40AD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5D51D02" w14:textId="77777777" w:rsidR="00C40AD7" w:rsidRDefault="00E00FC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14 straipsnio pakeitimas</w:t>
      </w:r>
    </w:p>
    <w:p w14:paraId="65D51D03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14 straipsnio 1 dalį ir ją išdėstyti taip:</w:t>
      </w:r>
    </w:p>
    <w:p w14:paraId="65D51D04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Valstybės ir savivaldybių</w:t>
      </w:r>
      <w:r>
        <w:rPr>
          <w:szCs w:val="24"/>
          <w:lang w:eastAsia="lt-LT"/>
        </w:rPr>
        <w:t xml:space="preserve"> turtas, išskyrus centralizuotai valdyti perduotą valstybės nekilnojamąjį turtą, gali būti perduodamas panaudos pagrindais laikinai neatlygintinai valdyti ir naudotis atitinkamai Vyriausybės arba savivaldybės tarybos nustatyta tvarka šiems subjektams:</w:t>
      </w:r>
    </w:p>
    <w:p w14:paraId="65D51D05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biudžetinėms įstaigoms; </w:t>
      </w:r>
    </w:p>
    <w:p w14:paraId="65D51D06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viešosioms įstaigoms, kurios pagal Lietuvos Respublikos viešojo sektoriaus atskaitomybės įstatymą laikomos viešojo sektoriaus subjektais;</w:t>
      </w:r>
    </w:p>
    <w:p w14:paraId="65D51D07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</w:rPr>
        <w:t xml:space="preserve">) asociacijoms (tik šio straipsnio 2 dalyje nustatytiems veiklos tikslams); </w:t>
      </w:r>
    </w:p>
    <w:p w14:paraId="65D51D08" w14:textId="77777777" w:rsidR="00C40AD7" w:rsidRDefault="00E00FC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) labdaros ir paramos fondams (tik šio straipsnio 2 dalyje </w:t>
      </w:r>
      <w:r>
        <w:rPr>
          <w:szCs w:val="24"/>
        </w:rPr>
        <w:t>nustatytiems veiklos tikslams</w:t>
      </w:r>
      <w:r>
        <w:rPr>
          <w:szCs w:val="24"/>
          <w:lang w:eastAsia="lt-LT"/>
        </w:rPr>
        <w:t>);</w:t>
      </w:r>
      <w:r>
        <w:rPr>
          <w:szCs w:val="24"/>
        </w:rPr>
        <w:t xml:space="preserve"> </w:t>
      </w:r>
    </w:p>
    <w:p w14:paraId="65D51D09" w14:textId="77777777" w:rsidR="00C40AD7" w:rsidRDefault="00E00FC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egzilio sąlygomis veikiančioms aukštosioms mokykloms;</w:t>
      </w:r>
    </w:p>
    <w:p w14:paraId="65D51D0A" w14:textId="77777777" w:rsidR="00C40AD7" w:rsidRDefault="00E00FCE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>) regionų plėtros taryboms;</w:t>
      </w:r>
    </w:p>
    <w:p w14:paraId="65D51D0B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7</w:t>
      </w:r>
      <w:r>
        <w:rPr>
          <w:szCs w:val="24"/>
          <w:lang w:eastAsia="lt-LT"/>
        </w:rPr>
        <w:t>) kitiems subjektams, jeigu tokio perdavimo tvarka ir sąlygos n</w:t>
      </w:r>
      <w:r>
        <w:rPr>
          <w:szCs w:val="24"/>
          <w:lang w:eastAsia="lt-LT"/>
        </w:rPr>
        <w:t>ustatytos Lietuvos Respublikos Prezidento įstatyme, Lietuvos Respublikos neįgaliųjų socialinės integracijos įstatyme, Lietuvos Respublikos švietimo įstatyme, Lietuvos Respublikos šeimynų įstatyme, Lietuvos Respublikos Lietuvos šaulių sąjungos įstatyme, Lie</w:t>
      </w:r>
      <w:r>
        <w:rPr>
          <w:szCs w:val="24"/>
          <w:lang w:eastAsia="lt-LT"/>
        </w:rPr>
        <w:t xml:space="preserve">tuvos Respublikos investicijų įstatyme, Lietuvos Respublikos koncesijų įstatyme, Lietuvos Respublikos </w:t>
      </w:r>
      <w:r>
        <w:rPr>
          <w:szCs w:val="24"/>
        </w:rPr>
        <w:t>valstybės įmonės Lietuvos oro uostų valdomų oro uostų koncesijos įstatyme,</w:t>
      </w:r>
      <w:r>
        <w:rPr>
          <w:szCs w:val="24"/>
          <w:lang w:eastAsia="lt-LT"/>
        </w:rPr>
        <w:t xml:space="preserve"> Lietuvos Respublikos tarptautinėse sutartyse ar tarptautiniuose susitarimuose.“</w:t>
      </w:r>
    </w:p>
    <w:p w14:paraId="65D51D0C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14 straipsnio 3 dalį ir ją išdėstyti taip:</w:t>
      </w:r>
    </w:p>
    <w:p w14:paraId="65D51D0D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Valstybės ir savivaldybių turtas šio straipsnio 1 dalies 2–</w:t>
      </w:r>
      <w:r>
        <w:rPr>
          <w:bCs/>
          <w:szCs w:val="24"/>
          <w:lang w:eastAsia="lt-LT"/>
        </w:rPr>
        <w:t>6</w:t>
      </w:r>
      <w:r>
        <w:rPr>
          <w:szCs w:val="24"/>
          <w:lang w:eastAsia="lt-LT"/>
        </w:rPr>
        <w:t xml:space="preserve"> punktuose nurodytiems subjektams gali būti perduodamas panaudos pagrindais laikinai neatlygintinai valdyti ir naudotis, jeigu:</w:t>
      </w:r>
    </w:p>
    <w:p w14:paraId="65D51D0E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panaudos subjektas pagrindžia, kad prašomas panaudos pagrindais suteikti turtas reikalingas jo vykdomai veiklai (jeigu subj</w:t>
      </w:r>
      <w:r>
        <w:rPr>
          <w:szCs w:val="24"/>
          <w:lang w:eastAsia="lt-LT"/>
        </w:rPr>
        <w:t xml:space="preserve">ektas yra asociacija ar labdaros ir paramos fondas, – </w:t>
      </w:r>
      <w:r>
        <w:rPr>
          <w:szCs w:val="24"/>
          <w:lang w:eastAsia="lt-LT"/>
        </w:rPr>
        <w:lastRenderedPageBreak/>
        <w:t>šio straipsnio 2 dalyje nustatytiems veiklos tikslams), dėl kurios turtas galėtų būti perduotas, ir jo naudojimo paskirtis atitinka šio subjekto steigimo dokumentuose nustatytus veiklos sritis ir tikslu</w:t>
      </w:r>
      <w:r>
        <w:rPr>
          <w:szCs w:val="24"/>
          <w:lang w:eastAsia="lt-LT"/>
        </w:rPr>
        <w:t xml:space="preserve">s; </w:t>
      </w:r>
    </w:p>
    <w:p w14:paraId="65D51D0F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Vyriausybės nustatyta tvarka yra įvertintas poveikis konkurencijai ir atitiktis valstybės pagalbos reikalavimams.“</w:t>
      </w:r>
    </w:p>
    <w:p w14:paraId="65D51D10" w14:textId="77777777" w:rsidR="00C40AD7" w:rsidRDefault="00E00FCE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14 straipsnio 4 dalį ir ją išdėstyti taip:</w:t>
      </w:r>
    </w:p>
    <w:p w14:paraId="65D51D11" w14:textId="77777777" w:rsidR="00C40AD7" w:rsidRDefault="00E00FCE">
      <w:pPr>
        <w:spacing w:line="360" w:lineRule="auto"/>
        <w:ind w:firstLine="720"/>
        <w:jc w:val="both"/>
      </w:pPr>
      <w:r>
        <w:rPr>
          <w:szCs w:val="24"/>
          <w:lang w:eastAsia="lt-LT"/>
        </w:rPr>
        <w:t>„</w:t>
      </w:r>
      <w:r>
        <w:t>4</w:t>
      </w:r>
      <w:r>
        <w:t xml:space="preserve">. Sprendimą dėl valstybės turto perdavimo pagal panaudos </w:t>
      </w:r>
      <w:r>
        <w:t>sutartį šio straipsnio 1 dalyje nurodytiems subjektams priima Vyriausybė arba jos įgalioti turto valdytojai Vyriausybės nustatyta tvarka.</w:t>
      </w:r>
      <w:r>
        <w:rPr>
          <w:b/>
          <w:bCs/>
        </w:rPr>
        <w:t xml:space="preserve"> </w:t>
      </w:r>
      <w:r>
        <w:t>Sprendimą dėl savivaldybės turto perdavimo pagal panaudos sutartį šio straipsnio 1 dalyje nurodytiems subjektams priim</w:t>
      </w:r>
      <w:r>
        <w:t>a savivaldybės taryba ar jos įgaliota institucija. Valstybės ir savivaldybių ilgalaikis materialusis turtas šio straipsnio 1 dalies 2–</w:t>
      </w:r>
      <w:r>
        <w:rPr>
          <w:bCs/>
        </w:rPr>
        <w:t>7</w:t>
      </w:r>
      <w:r>
        <w:rPr>
          <w:b/>
          <w:bCs/>
        </w:rPr>
        <w:t xml:space="preserve"> </w:t>
      </w:r>
      <w:r>
        <w:t>punktuose nurodytiems subjektams gali būti perduotas panaudos teise ne ilgesniam kaip 10 metų laikotarpiui, jeigu įstaty</w:t>
      </w:r>
      <w:r>
        <w:t>mai nenustato kitaip. Sprendime turi būti nurodytas panaudos sutarties terminas ir turto panaudojimo paskirtis, taip pat gali būti nurodytos kitos panaudos sąlygos. Šios sąlygos privalo būti įrašytos į panaudos sutartį. Valstybės ar savivaldybės turto pana</w:t>
      </w:r>
      <w:r>
        <w:t>udos sutartį su panaudos subjektais sudaro valstybės ar savivaldybės turto valdytojas.“</w:t>
      </w:r>
    </w:p>
    <w:p w14:paraId="65D51D12" w14:textId="77777777" w:rsidR="00C40AD7" w:rsidRDefault="00E00FCE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5D51D13" w14:textId="77777777" w:rsidR="00C40AD7" w:rsidRDefault="00E00FCE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pakeitimas</w:t>
      </w:r>
      <w:r>
        <w:rPr>
          <w:b/>
          <w:szCs w:val="24"/>
          <w:lang w:eastAsia="lt-LT"/>
        </w:rPr>
        <w:t xml:space="preserve"> </w:t>
      </w:r>
    </w:p>
    <w:p w14:paraId="65D51D14" w14:textId="77777777" w:rsidR="00C40AD7" w:rsidRDefault="00E00FC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15 straipsnio 2 dalies 6 punktą ir jį išdėstyti taip:</w:t>
      </w:r>
    </w:p>
    <w:p w14:paraId="65D51D15" w14:textId="77777777" w:rsidR="00C40AD7" w:rsidRDefault="00E00FC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 xml:space="preserve">) </w:t>
      </w:r>
      <w:r>
        <w:rPr>
          <w:szCs w:val="24"/>
          <w:lang w:eastAsia="lt-LT"/>
        </w:rPr>
        <w:t>valstybės</w:t>
      </w:r>
      <w:r>
        <w:rPr>
          <w:szCs w:val="24"/>
        </w:rPr>
        <w:t xml:space="preserve"> arba savivaldybės ilgalaikis materia</w:t>
      </w:r>
      <w:r>
        <w:rPr>
          <w:szCs w:val="24"/>
        </w:rPr>
        <w:t>lusis turtas išnuomojamas</w:t>
      </w:r>
      <w:r>
        <w:rPr>
          <w:bCs/>
          <w:szCs w:val="24"/>
        </w:rPr>
        <w:t xml:space="preserve"> pelno nesiekiantiems su</w:t>
      </w:r>
      <w:bookmarkStart w:id="0" w:name="_GoBack"/>
      <w:bookmarkEnd w:id="0"/>
      <w:r>
        <w:rPr>
          <w:bCs/>
          <w:szCs w:val="24"/>
        </w:rPr>
        <w:t xml:space="preserve">bjektams, kurių pagrindinis veiklos tikslas atitinka bent vieną iš šio įstatymo 14 straipsnio 2 dalyje nustatytų tikslų, </w:t>
      </w:r>
      <w:r>
        <w:rPr>
          <w:szCs w:val="24"/>
        </w:rPr>
        <w:t>arba regionų plėtros taryboms</w:t>
      </w:r>
      <w:r>
        <w:rPr>
          <w:bCs/>
          <w:szCs w:val="24"/>
        </w:rPr>
        <w:t>;“.</w:t>
      </w:r>
    </w:p>
    <w:p w14:paraId="65D51D16" w14:textId="77777777" w:rsidR="00C40AD7" w:rsidRDefault="00E00FCE">
      <w:pPr>
        <w:tabs>
          <w:tab w:val="left" w:pos="6237"/>
        </w:tabs>
        <w:spacing w:line="360" w:lineRule="auto"/>
        <w:ind w:firstLine="720"/>
        <w:jc w:val="both"/>
        <w:rPr>
          <w:bCs/>
          <w:iCs/>
          <w:szCs w:val="24"/>
        </w:rPr>
      </w:pPr>
    </w:p>
    <w:p w14:paraId="65D51D17" w14:textId="77777777" w:rsidR="00C40AD7" w:rsidRDefault="00E00FCE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65D51D18" w14:textId="77777777" w:rsidR="00C40AD7" w:rsidRDefault="00E00FCE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</w:t>
      </w:r>
      <w:r>
        <w:rPr>
          <w:szCs w:val="24"/>
          <w:lang w:eastAsia="lt-LT"/>
        </w:rPr>
        <w:t xml:space="preserve"> įstatymas įsigalioja 2020 m. rugsėjo 1 d.</w:t>
      </w:r>
    </w:p>
    <w:p w14:paraId="65D51D19" w14:textId="77777777" w:rsidR="00C40AD7" w:rsidRDefault="00E00FCE">
      <w:pPr>
        <w:spacing w:line="360" w:lineRule="auto"/>
        <w:ind w:firstLine="720"/>
        <w:jc w:val="both"/>
      </w:pPr>
    </w:p>
    <w:p w14:paraId="65D51D1A" w14:textId="77777777" w:rsidR="00C40AD7" w:rsidRDefault="00E00FCE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5D51D1B" w14:textId="77777777" w:rsidR="00C40AD7" w:rsidRDefault="00C40AD7">
      <w:pPr>
        <w:spacing w:line="360" w:lineRule="auto"/>
        <w:rPr>
          <w:i/>
          <w:szCs w:val="24"/>
        </w:rPr>
      </w:pPr>
    </w:p>
    <w:p w14:paraId="65D51D1C" w14:textId="77777777" w:rsidR="00C40AD7" w:rsidRDefault="00C40AD7">
      <w:pPr>
        <w:spacing w:line="360" w:lineRule="auto"/>
        <w:rPr>
          <w:i/>
          <w:szCs w:val="24"/>
        </w:rPr>
      </w:pPr>
    </w:p>
    <w:p w14:paraId="65D51D1D" w14:textId="77777777" w:rsidR="00C40AD7" w:rsidRDefault="00C40AD7">
      <w:pPr>
        <w:spacing w:line="360" w:lineRule="auto"/>
      </w:pPr>
    </w:p>
    <w:p w14:paraId="65D51D1E" w14:textId="77777777" w:rsidR="00C40AD7" w:rsidRDefault="00E00FCE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C40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51D23" w14:textId="77777777" w:rsidR="00C40AD7" w:rsidRDefault="00E00FC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5D51D24" w14:textId="77777777" w:rsidR="00C40AD7" w:rsidRDefault="00E00FC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1D29" w14:textId="77777777" w:rsidR="00C40AD7" w:rsidRDefault="00E00FC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5D51D2A" w14:textId="77777777" w:rsidR="00C40AD7" w:rsidRDefault="00C40AD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1D2B" w14:textId="77777777" w:rsidR="00C40AD7" w:rsidRDefault="00C40AD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1D2D" w14:textId="77777777" w:rsidR="00C40AD7" w:rsidRDefault="00C40AD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1D21" w14:textId="77777777" w:rsidR="00C40AD7" w:rsidRDefault="00E00FC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5D51D22" w14:textId="77777777" w:rsidR="00C40AD7" w:rsidRDefault="00E00FC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1D25" w14:textId="77777777" w:rsidR="00C40AD7" w:rsidRDefault="00E00FC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5D51D26" w14:textId="77777777" w:rsidR="00C40AD7" w:rsidRDefault="00C40AD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1D27" w14:textId="77777777" w:rsidR="00C40AD7" w:rsidRDefault="00E00FCE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5D51D28" w14:textId="77777777" w:rsidR="00C40AD7" w:rsidRDefault="00C40AD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1D2C" w14:textId="77777777" w:rsidR="00C40AD7" w:rsidRDefault="00C40AD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C"/>
    <w:rsid w:val="0032518C"/>
    <w:rsid w:val="00C40AD7"/>
    <w:rsid w:val="00E0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51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3462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3937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2020-06-25T12:58:00Z</dcterms:created>
  <dc:creator>MOZERIENĖ Dainora</dc:creator>
  <lastModifiedBy>TRAPINSKIENĖ Aušrinė</lastModifiedBy>
  <lastPrinted>2004-12-10T05:45:00Z</lastPrinted>
  <dcterms:modified xsi:type="dcterms:W3CDTF">2020-06-25T13:11:00Z</dcterms:modified>
  <revision>3</revision>
</coreProperties>
</file>