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B5DE" w14:textId="77777777" w:rsidR="00FA589C" w:rsidRDefault="00FA589C">
      <w:pPr>
        <w:tabs>
          <w:tab w:val="center" w:pos="4153"/>
          <w:tab w:val="right" w:pos="8306"/>
        </w:tabs>
        <w:rPr>
          <w:lang w:eastAsia="lt-LT"/>
        </w:rPr>
      </w:pPr>
    </w:p>
    <w:p w14:paraId="19BAB5DF" w14:textId="77777777" w:rsidR="00FA589C" w:rsidRDefault="00FA589C">
      <w:pPr>
        <w:jc w:val="center"/>
        <w:rPr>
          <w:lang w:eastAsia="lt-LT"/>
        </w:rPr>
      </w:pPr>
    </w:p>
    <w:p w14:paraId="19BAB5E0" w14:textId="77777777" w:rsidR="00FA589C" w:rsidRDefault="00FA589C">
      <w:pPr>
        <w:jc w:val="center"/>
        <w:rPr>
          <w:lang w:eastAsia="lt-LT"/>
        </w:rPr>
      </w:pPr>
    </w:p>
    <w:p w14:paraId="19BAB5E1" w14:textId="77777777" w:rsidR="00FA589C" w:rsidRDefault="00BF3DA8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19BAB760" wp14:editId="19BAB761">
            <wp:extent cx="5429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B5E2" w14:textId="77777777" w:rsidR="00FA589C" w:rsidRDefault="00FA589C">
      <w:pPr>
        <w:rPr>
          <w:sz w:val="10"/>
          <w:szCs w:val="10"/>
        </w:rPr>
      </w:pPr>
    </w:p>
    <w:p w14:paraId="19BAB5E3" w14:textId="77777777" w:rsidR="00FA589C" w:rsidRDefault="00BF3DA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9BAB5E4" w14:textId="77777777" w:rsidR="00FA589C" w:rsidRDefault="00FA589C">
      <w:pPr>
        <w:jc w:val="center"/>
        <w:rPr>
          <w:caps/>
          <w:lang w:eastAsia="lt-LT"/>
        </w:rPr>
      </w:pPr>
    </w:p>
    <w:p w14:paraId="19BAB5E5" w14:textId="77777777" w:rsidR="00FA589C" w:rsidRDefault="00BF3DA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9BAB5E6" w14:textId="77777777" w:rsidR="00FA589C" w:rsidRDefault="00BF3DA8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2014 M. KOVO 12 D. NUTARIMO NR. 244 „DĖL INFORMACINĖS VISUOMENĖS PLĖTROS 2014–2020 METŲ PROGRAMOS </w:t>
      </w:r>
      <w:r>
        <w:rPr>
          <w:b/>
          <w:szCs w:val="24"/>
          <w:lang w:eastAsia="lt-LT"/>
        </w:rPr>
        <w:t>„LIETUVOS RESPUBLIKOS SKAITMENINĖ DARBOTVARKĖ“ PATVIRTINIMO“ PAKEITIMO</w:t>
      </w:r>
    </w:p>
    <w:p w14:paraId="19BAB5E7" w14:textId="77777777" w:rsidR="00FA589C" w:rsidRDefault="00FA589C">
      <w:pPr>
        <w:tabs>
          <w:tab w:val="left" w:pos="-426"/>
        </w:tabs>
        <w:rPr>
          <w:lang w:eastAsia="lt-LT"/>
        </w:rPr>
      </w:pPr>
    </w:p>
    <w:p w14:paraId="19BAB5E8" w14:textId="77777777" w:rsidR="00FA589C" w:rsidRDefault="00BF3DA8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2015 m. rugsėjo 28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1026</w:t>
      </w:r>
      <w:r>
        <w:rPr>
          <w:color w:val="000000"/>
          <w:lang w:eastAsia="ar-SA"/>
        </w:rPr>
        <w:br/>
        <w:t>Vilnius</w:t>
      </w:r>
    </w:p>
    <w:p w14:paraId="19BAB5E9" w14:textId="77777777" w:rsidR="00FA589C" w:rsidRDefault="00FA589C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9BAB5EA" w14:textId="77777777" w:rsidR="00FA589C" w:rsidRDefault="00FA589C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9BAB5EB" w14:textId="77777777" w:rsidR="00FA589C" w:rsidRDefault="00BF3D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9BAB5EC" w14:textId="77777777" w:rsidR="00FA589C" w:rsidRDefault="00BF3DA8">
      <w:pPr>
        <w:tabs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 xml:space="preserve">. Pakeisti Informacinės visuomenės plėtros 2014–2020 metų programą „Lietuvos Respublikos </w:t>
      </w:r>
      <w:r>
        <w:rPr>
          <w:rFonts w:eastAsia="Calibri"/>
          <w:szCs w:val="24"/>
          <w:lang w:eastAsia="lt-LT"/>
        </w:rPr>
        <w:t>skaitmeninė darbotvarkė“, patvirtintą Lietuvos Respublikos Vyriausybės 2014 m. kovo 12 d. nutarimu Nr. 244 „Dėl Informacinės visuomenės plėtros 2014–2020 metų programos „Lietuvos Respublikos skaitmeninė darbotvarkė“ patvirtinimo“:</w:t>
      </w:r>
    </w:p>
    <w:p w14:paraId="19BAB5ED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 xml:space="preserve">. Pakeisti 2 punktą </w:t>
      </w:r>
      <w:r>
        <w:rPr>
          <w:lang w:eastAsia="lt-LT"/>
        </w:rPr>
        <w:t>ir jį išdėstyti taip:</w:t>
      </w:r>
    </w:p>
    <w:p w14:paraId="19BAB5EE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</w:t>
      </w:r>
      <w:r>
        <w:rPr>
          <w:lang w:eastAsia="lt-LT"/>
        </w:rPr>
        <w:t>. Programos paskirtis – nustatyti informacinės visuomenės plėtros tikslus ir uždavinius, kad būtų kuo daugiau naudojamasi informacinių ir ryšių technologijų (toliau – IRT) teikiamomis galimybėmis, pirmiausia internetu – labai svar</w:t>
      </w:r>
      <w:r>
        <w:rPr>
          <w:lang w:eastAsia="lt-LT"/>
        </w:rPr>
        <w:t xml:space="preserve">bia ekonominės, socialinės ir kultūrinės veiklos priemone, kuria naudojantis galima teikti ir gauti pažangias elektronines paslaugas, dirbti, </w:t>
      </w:r>
      <w:r>
        <w:rPr>
          <w:szCs w:val="24"/>
          <w:lang w:eastAsia="lt-LT"/>
        </w:rPr>
        <w:t>pramogauti, bendrauti ir laisvai reikšti savo nuomonę.“</w:t>
      </w:r>
    </w:p>
    <w:p w14:paraId="19BAB5EF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4 punktą ir jį išdėstyti taip:</w:t>
      </w:r>
    </w:p>
    <w:p w14:paraId="19BAB5F0" w14:textId="77777777" w:rsidR="00FA589C" w:rsidRDefault="00BF3D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Programoje:</w:t>
      </w:r>
    </w:p>
    <w:p w14:paraId="19BAB5F1" w14:textId="77777777" w:rsidR="00FA589C" w:rsidRDefault="00BF3DA8">
      <w:pPr>
        <w:tabs>
          <w:tab w:val="left" w:pos="851"/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4.1</w:t>
      </w:r>
      <w:r>
        <w:rPr>
          <w:lang w:eastAsia="lt-LT"/>
        </w:rPr>
        <w:t xml:space="preserve">. Informacinė visuomenė suprantama kaip atvira, išsilavinusi ir nuolat besimokanti visuomenė, kurios nariai visose veiklos srityse efektyviai naudojasi IRT. </w:t>
      </w:r>
    </w:p>
    <w:p w14:paraId="19BAB5F2" w14:textId="77777777" w:rsidR="00FA589C" w:rsidRDefault="00BF3D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Elektroninė paslauga suprantama kaip naudojant įvairias IRT priemones (</w:t>
      </w:r>
      <w:r>
        <w:rPr>
          <w:lang w:eastAsia="lt-LT"/>
        </w:rPr>
        <w:t xml:space="preserve">pavyzdžiui, kompiuterius, mobiliojo ryšio telefonus, interaktyvią skaitmeninę televiziją ar kita) nuotoliniu būdu teikiama paslauga, kuri apima visus veiksmus nuo paslaugos inicijavimo iki užsibrėžto paslaugos rezultato pasiekimo. </w:t>
      </w:r>
    </w:p>
    <w:p w14:paraId="19BAB5F3" w14:textId="77777777" w:rsidR="00FA589C" w:rsidRDefault="00BF3D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4.3</w:t>
      </w:r>
      <w:r>
        <w:rPr>
          <w:szCs w:val="24"/>
          <w:lang w:eastAsia="lt-LT"/>
        </w:rPr>
        <w:t>. Sudėtinė elektr</w:t>
      </w:r>
      <w:r>
        <w:rPr>
          <w:szCs w:val="24"/>
          <w:lang w:eastAsia="lt-LT"/>
        </w:rPr>
        <w:t>oninė paslauga suprantama kaip kelios į vieną paslaugą sujungtos gyventojams ar verslui teikiamos elektroninės paslaugos, siekiant suteikti galutiniam paslaugos gavėjui jo poreikius atitinkančią paslaugą pagal tam tikrą gyvenimo ar verslo įvykį.“</w:t>
      </w:r>
    </w:p>
    <w:p w14:paraId="19BAB5F4" w14:textId="77777777" w:rsidR="00FA589C" w:rsidRDefault="00BF3D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.3</w:t>
      </w:r>
      <w:r>
        <w:rPr>
          <w:szCs w:val="24"/>
          <w:lang w:eastAsia="lt-LT"/>
        </w:rPr>
        <w:t>. Papildyti 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punktu:</w:t>
      </w:r>
    </w:p>
    <w:p w14:paraId="19BAB5F5" w14:textId="77777777" w:rsidR="00FA589C" w:rsidRDefault="00BF3D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Pažangios elektroninės paslaugos pagal savybes, į kurias turi orientuotis elektronines paslaugas kuriančios ir teikiančios institucijos, yra šios: </w:t>
      </w:r>
      <w:r>
        <w:rPr>
          <w:lang w:eastAsia="lt-LT"/>
        </w:rPr>
        <w:t>sudėtinės, savaveikės, atitinkančios tinkamumo vartotojams reikalavimus, pa</w:t>
      </w:r>
      <w:r>
        <w:rPr>
          <w:lang w:eastAsia="lt-LT"/>
        </w:rPr>
        <w:t xml:space="preserve">grįstos paslaugų teikimo proceso pertvarkymu, automatiniu </w:t>
      </w:r>
      <w:r>
        <w:rPr>
          <w:lang w:eastAsia="lt-LT"/>
        </w:rPr>
        <w:lastRenderedPageBreak/>
        <w:t>paslaugos gavėjo ir kitų reikiamų duomenų surinkimu, inovatyvių technologinių sprendimų panaudojimu, pasiekiamos įvairiomis IRT priemonėmis ir įrenginiais, teikiamos tik elektroniniu būdu, pasiekiam</w:t>
      </w:r>
      <w:r>
        <w:rPr>
          <w:lang w:eastAsia="lt-LT"/>
        </w:rPr>
        <w:t>os per centralizuotus prieigos vartus ir teikiamos Europos Sąjungos (toliau – ES) mastu paslaugos.“</w:t>
      </w:r>
    </w:p>
    <w:p w14:paraId="19BAB5F6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color w:val="000000"/>
          <w:shd w:val="clear" w:color="auto" w:fill="FFFFFF"/>
          <w:lang w:eastAsia="lt-LT"/>
        </w:rPr>
      </w:pPr>
      <w:r>
        <w:rPr>
          <w:color w:val="000000"/>
          <w:shd w:val="clear" w:color="auto" w:fill="FFFFFF"/>
          <w:lang w:eastAsia="lt-LT"/>
        </w:rPr>
        <w:t>1.4</w:t>
      </w:r>
      <w:r>
        <w:rPr>
          <w:color w:val="000000"/>
          <w:shd w:val="clear" w:color="auto" w:fill="FFFFFF"/>
          <w:lang w:eastAsia="lt-LT"/>
        </w:rPr>
        <w:t>. Pakeisti 7.1.3 papunktį ir jį išdėstyti taip:</w:t>
      </w:r>
    </w:p>
    <w:p w14:paraId="19BAB5F7" w14:textId="77777777" w:rsidR="00FA589C" w:rsidRDefault="00BF3DA8">
      <w:pPr>
        <w:tabs>
          <w:tab w:val="num" w:pos="1276"/>
        </w:tabs>
        <w:spacing w:line="360" w:lineRule="atLeast"/>
        <w:ind w:firstLine="720"/>
        <w:jc w:val="both"/>
        <w:rPr>
          <w:color w:val="000000"/>
          <w:shd w:val="clear" w:color="auto" w:fill="FFFFFF"/>
          <w:lang w:eastAsia="lt-LT"/>
        </w:rPr>
      </w:pPr>
      <w:r>
        <w:rPr>
          <w:color w:val="000000"/>
          <w:shd w:val="clear" w:color="auto" w:fill="FFFFFF"/>
          <w:lang w:eastAsia="lt-LT"/>
        </w:rPr>
        <w:t>„</w:t>
      </w:r>
      <w:r>
        <w:rPr>
          <w:color w:val="000000"/>
          <w:shd w:val="clear" w:color="auto" w:fill="FFFFFF"/>
          <w:lang w:eastAsia="lt-LT"/>
        </w:rPr>
        <w:t>7.1.3</w:t>
      </w:r>
      <w:r>
        <w:rPr>
          <w:color w:val="000000"/>
          <w:shd w:val="clear" w:color="auto" w:fill="FFFFFF"/>
          <w:lang w:eastAsia="lt-LT"/>
        </w:rPr>
        <w:t>. Kvalifikuotų IRT specialistų, gebančių kurti naujus IRT produktus ir paslaugas, stoka –</w:t>
      </w:r>
      <w:r>
        <w:rPr>
          <w:color w:val="000000"/>
          <w:shd w:val="clear" w:color="auto" w:fill="FFFFFF"/>
          <w:lang w:eastAsia="lt-LT"/>
        </w:rPr>
        <w:t xml:space="preserve"> opi problema ne tik Lietuvoje, bet ir ES. Statistikos departamento duomenimis, 2012 metais Lietuvoje 39 procentai darbuotojų turėjo IRT naudojimo įgūdžių – pagal šį rodiklį Lietuva užėmė 17 vietą ES (ES vidurkis – 45 procentai), tačiau IRT specialisto įgū</w:t>
      </w:r>
      <w:r>
        <w:rPr>
          <w:color w:val="000000"/>
          <w:shd w:val="clear" w:color="auto" w:fill="FFFFFF"/>
          <w:lang w:eastAsia="lt-LT"/>
        </w:rPr>
        <w:t>džių turėjo tik 1 procentas darbuotojų (ES vidurkis – 2 procentai darbuotojų). Pagal šį rodiklį Lietuva užėmė 25 vietą ES. 2012 metais 4 procentai Lietuvos įmonių susidūrė su problemomis ieškodamos IRT specialistų. Asociacijos „Infobalt“ atlikto tyrimo duo</w:t>
      </w:r>
      <w:r>
        <w:rPr>
          <w:color w:val="000000"/>
          <w:shd w:val="clear" w:color="auto" w:fill="FFFFFF"/>
          <w:lang w:eastAsia="lt-LT"/>
        </w:rPr>
        <w:t>menimis, 2014–2016 metais atotrūkis tarp IRT specialistų paklausos ir pasiūlos Lietuvoje gali siekti 14 000 specialistų; nors Lietuvoje pastaruoju metu į IRT specialybes stoja vis daugiau asmenų, tačiau būtina ir toliau skatinti jaunimą rinktis IRT special</w:t>
      </w:r>
      <w:r>
        <w:rPr>
          <w:color w:val="000000"/>
          <w:shd w:val="clear" w:color="auto" w:fill="FFFFFF"/>
          <w:lang w:eastAsia="lt-LT"/>
        </w:rPr>
        <w:t>ybių studijas.</w:t>
      </w:r>
      <w:r>
        <w:rPr>
          <w:szCs w:val="24"/>
          <w:lang w:eastAsia="lt-LT"/>
        </w:rPr>
        <w:t>“</w:t>
      </w:r>
    </w:p>
    <w:p w14:paraId="19BAB5F8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1.5</w:t>
      </w:r>
      <w:r>
        <w:rPr>
          <w:lang w:eastAsia="lt-LT"/>
        </w:rPr>
        <w:t>. Pakeisti 7.3 papunktį ir jį išdėstyti taip:</w:t>
      </w:r>
    </w:p>
    <w:p w14:paraId="19BAB5F9" w14:textId="77777777" w:rsidR="00FA589C" w:rsidRDefault="00BF3DA8">
      <w:pPr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7.3</w:t>
      </w:r>
      <w:r>
        <w:rPr>
          <w:rFonts w:eastAsia="Calibri"/>
          <w:szCs w:val="24"/>
          <w:lang w:eastAsia="lt-LT"/>
        </w:rPr>
        <w:t>. Kurti pažangias, gyventojų ir verslo poreikius atitinkančias viešąsias ir administracines elektronines paslaugas, skatinti paslaugų gavėjus jomis naudotis (toliau – 2 tikslas)</w:t>
      </w:r>
      <w:r>
        <w:rPr>
          <w:rFonts w:eastAsia="Calibri"/>
          <w:szCs w:val="24"/>
          <w:lang w:eastAsia="lt-LT"/>
        </w:rPr>
        <w:t>.“</w:t>
      </w:r>
    </w:p>
    <w:p w14:paraId="19BAB5FA" w14:textId="77777777" w:rsidR="00FA589C" w:rsidRDefault="00BF3DA8">
      <w:pPr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1.6</w:t>
      </w:r>
      <w:r>
        <w:rPr>
          <w:rFonts w:eastAsia="Calibri"/>
          <w:szCs w:val="24"/>
          <w:lang w:eastAsia="lt-LT"/>
        </w:rPr>
        <w:t>. Pakeisti 7.3.1 papunktį ir jį išdėstyti taip:</w:t>
      </w:r>
    </w:p>
    <w:p w14:paraId="19BAB5FB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color w:val="000000"/>
          <w:shd w:val="clear" w:color="auto" w:fill="FFFFFF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7.3.1</w:t>
      </w:r>
      <w:r>
        <w:rPr>
          <w:szCs w:val="24"/>
          <w:lang w:eastAsia="lt-LT"/>
        </w:rPr>
        <w:t xml:space="preserve">. </w:t>
      </w:r>
      <w:r>
        <w:rPr>
          <w:color w:val="000000"/>
          <w:shd w:val="clear" w:color="auto" w:fill="FFFFFF"/>
          <w:lang w:eastAsia="lt-LT"/>
        </w:rPr>
        <w:t>Dalis Lietuvos gyventojų vis dar renkasi ne elektroninius bendravimo su valstybės institucijomis būdus, nes nenori atlikti veiksmų elektroniniu būdu, stokoja reikiamų gebėjimų, nežino,</w:t>
      </w:r>
      <w:r>
        <w:rPr>
          <w:color w:val="000000"/>
          <w:shd w:val="clear" w:color="auto" w:fill="FFFFFF"/>
          <w:lang w:eastAsia="lt-LT"/>
        </w:rPr>
        <w:t xml:space="preserve"> kad tokios galimybės apskritai yra, arba jų netenkina esama elektroninių paslaugų kokybė, todėl labai svarbu kurti ir viešinti</w:t>
      </w:r>
      <w:r>
        <w:rPr>
          <w:szCs w:val="24"/>
          <w:lang w:eastAsia="lt-LT"/>
        </w:rPr>
        <w:t xml:space="preserve"> pažangias, tam tikrus gyvenimo įvykius atspindinčias</w:t>
      </w:r>
      <w:r>
        <w:rPr>
          <w:color w:val="000000"/>
          <w:shd w:val="clear" w:color="auto" w:fill="FFFFFF"/>
          <w:lang w:eastAsia="lt-LT"/>
        </w:rPr>
        <w:t xml:space="preserve"> gyventojams ir verslui skirtas elektronines paslaugas. Dauguma elektroniniu</w:t>
      </w:r>
      <w:r>
        <w:rPr>
          <w:color w:val="000000"/>
          <w:shd w:val="clear" w:color="auto" w:fill="FFFFFF"/>
          <w:lang w:eastAsia="lt-LT"/>
        </w:rPr>
        <w:t xml:space="preserve"> būdu teikiamų viešųjų ir administracinių paslaugų kompleksinės – informacija, kurios reikia viešosioms ir administracinėms paslaugoms teikti, disponuoja keletas valstybės institucijų ir įstaigų, kurios elektroniniu būdu teikiamas viešąsias ir administraci</w:t>
      </w:r>
      <w:r>
        <w:rPr>
          <w:color w:val="000000"/>
          <w:shd w:val="clear" w:color="auto" w:fill="FFFFFF"/>
          <w:lang w:eastAsia="lt-LT"/>
        </w:rPr>
        <w:t>nes paslaugas diegia ne visada atsižvelgdamos į gyventojo patogumą ir poreikius. Lietuvoje sparčiai daugėja administracinių ir viešųjų paslaugų, perkeltų į skaitmeninę erdvę, ir vis daugiau paslaugų gavėjų jomis naudojasi. Statistikos departamento duomenim</w:t>
      </w:r>
      <w:r>
        <w:rPr>
          <w:color w:val="000000"/>
          <w:shd w:val="clear" w:color="auto" w:fill="FFFFFF"/>
          <w:lang w:eastAsia="lt-LT"/>
        </w:rPr>
        <w:t>is, 2012 metais tokiomis paslaugomis naudojosi visos Lietuvos įmonės. Informacinės visuomenės plėtros komiteto prie Susisiekimo ministerijos duomenimis, 2012 metais valstybės institucijų elektroninėmis paslaugomis naudojosi 37 procentai Lietuvos gyventojų.</w:t>
      </w:r>
      <w:r>
        <w:rPr>
          <w:color w:val="000000"/>
          <w:shd w:val="clear" w:color="auto" w:fill="FFFFFF"/>
          <w:lang w:eastAsia="lt-LT"/>
        </w:rPr>
        <w:t xml:space="preserve"> Kita vertus, Lietuvos gyventojai jau gana aktyviai naudojasi elektroniniais bendravimo su valstybės institucijomis kanalais: Europos Komisijos tyrimo duomenimis, 2012 metais 49 procentai Lietuvos gyventojų, kurie kreipėsi į valstybės institucijas, tai dar</w:t>
      </w:r>
      <w:r>
        <w:rPr>
          <w:color w:val="000000"/>
          <w:shd w:val="clear" w:color="auto" w:fill="FFFFFF"/>
          <w:lang w:eastAsia="lt-LT"/>
        </w:rPr>
        <w:t xml:space="preserve">ė elektroniniu būdu (ES vidurkis – 46 procentai). Be to, Lietuvos gyventojai labiau nei kitų ES valstybių narių gyventojai linkę pripažinti, kad elektroninis bendravimas su valstybės institucijomis veiksmingas ir naudingas. </w:t>
      </w:r>
    </w:p>
    <w:p w14:paraId="19BAB5FC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i/>
          <w:szCs w:val="24"/>
          <w:lang w:eastAsia="lt-LT"/>
        </w:rPr>
      </w:pPr>
      <w:r>
        <w:rPr>
          <w:color w:val="000000"/>
          <w:shd w:val="clear" w:color="auto" w:fill="FFFFFF"/>
          <w:lang w:eastAsia="lt-LT"/>
        </w:rPr>
        <w:t>Siekiant pagerinti elektroninių</w:t>
      </w:r>
      <w:r>
        <w:rPr>
          <w:color w:val="000000"/>
          <w:shd w:val="clear" w:color="auto" w:fill="FFFFFF"/>
          <w:lang w:eastAsia="lt-LT"/>
        </w:rPr>
        <w:t xml:space="preserve"> paslaugų kokybę ir patrauklumą gyventojams ir verslui, numatoma prioritetą teikti sudėtinių, ES mastu teikiamų, tik elektroniniu būdu teikiamų pažangių </w:t>
      </w:r>
      <w:r>
        <w:rPr>
          <w:color w:val="000000"/>
          <w:shd w:val="clear" w:color="auto" w:fill="FFFFFF"/>
          <w:lang w:eastAsia="lt-LT"/>
        </w:rPr>
        <w:lastRenderedPageBreak/>
        <w:t>elektroninių paslaugų, bendro naudojimo IT sprendimų, platforminių sprendimų, elektroninių paslaugų por</w:t>
      </w:r>
      <w:r>
        <w:rPr>
          <w:color w:val="000000"/>
          <w:shd w:val="clear" w:color="auto" w:fill="FFFFFF"/>
          <w:lang w:eastAsia="lt-LT"/>
        </w:rPr>
        <w:t>talų kūrimui ir tobulinimui.“</w:t>
      </w:r>
    </w:p>
    <w:p w14:paraId="19BAB5FD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1.7</w:t>
      </w:r>
      <w:r>
        <w:rPr>
          <w:szCs w:val="24"/>
          <w:lang w:eastAsia="lt-LT"/>
        </w:rPr>
        <w:t>. Pakeisti 7.4.1 papunktį ir jį išdėstyti taip:</w:t>
      </w:r>
    </w:p>
    <w:p w14:paraId="19BAB5FE" w14:textId="77777777" w:rsidR="00FA589C" w:rsidRDefault="00BF3DA8">
      <w:pPr>
        <w:spacing w:line="360" w:lineRule="atLeast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7.4.1</w:t>
      </w:r>
      <w:r>
        <w:rPr>
          <w:rFonts w:eastAsia="Calibri"/>
          <w:szCs w:val="24"/>
        </w:rPr>
        <w:t>. perkelti į skaitmeninę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erdvę kuo daugiau viešųjų ir administracinių paslaugų ir plėtoti jų funkcionalumą;“.</w:t>
      </w:r>
    </w:p>
    <w:p w14:paraId="19BAB5FF" w14:textId="77777777" w:rsidR="00FA589C" w:rsidRDefault="00BF3DA8">
      <w:pPr>
        <w:spacing w:line="360" w:lineRule="atLeast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1.8</w:t>
      </w:r>
      <w:r>
        <w:rPr>
          <w:rFonts w:eastAsia="Calibri"/>
          <w:szCs w:val="24"/>
        </w:rPr>
        <w:t>. Pakeisti 10 punktą ir jį išdėstyti t</w:t>
      </w:r>
      <w:r>
        <w:rPr>
          <w:rFonts w:eastAsia="Calibri"/>
          <w:szCs w:val="24"/>
        </w:rPr>
        <w:t>aip:</w:t>
      </w:r>
    </w:p>
    <w:p w14:paraId="19BAB600" w14:textId="77777777" w:rsidR="00FA589C" w:rsidRDefault="00BF3DA8">
      <w:pPr>
        <w:spacing w:line="360" w:lineRule="atLeast"/>
        <w:ind w:firstLine="720"/>
        <w:jc w:val="both"/>
        <w:rPr>
          <w:strike/>
          <w:color w:val="000000"/>
          <w:szCs w:val="24"/>
          <w:u w:val="single"/>
          <w:shd w:val="clear" w:color="auto" w:fill="FFFFFF"/>
          <w:lang w:eastAsia="lt-LT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</w:t>
      </w:r>
      <w:r>
        <w:rPr>
          <w:color w:val="000000"/>
          <w:szCs w:val="24"/>
          <w:shd w:val="clear" w:color="auto" w:fill="FFFFFF"/>
          <w:lang w:eastAsia="lt-LT"/>
        </w:rPr>
        <w:t>0</w:t>
      </w:r>
      <w:r>
        <w:rPr>
          <w:color w:val="000000"/>
          <w:szCs w:val="24"/>
          <w:shd w:val="clear" w:color="auto" w:fill="FFFFFF"/>
          <w:lang w:eastAsia="lt-LT"/>
        </w:rPr>
        <w:t xml:space="preserve">. Programai įgyvendinti rengiamas tarpinstitucinis veiklos planas </w:t>
      </w:r>
      <w:r>
        <w:rPr>
          <w:rFonts w:eastAsia="Calibri"/>
          <w:szCs w:val="24"/>
        </w:rPr>
        <w:t>(toliau – Planas), kuriame nurodomos konkrečios Programos tikslams siekti ir uždaviniams įgyvendinti skirtos informacinės visuomenės plėtros priemonės. Programai įgyvendinti gali būti skirtos ir kitų valstybės institucijų, įstaigų ir valstybės įmonių įgyve</w:t>
      </w:r>
      <w:r>
        <w:rPr>
          <w:rFonts w:eastAsia="Calibri"/>
          <w:szCs w:val="24"/>
        </w:rPr>
        <w:t xml:space="preserve">ndinamos priemonės, numatytos jų strateginiuose veiklos planuose.“ </w:t>
      </w:r>
    </w:p>
    <w:p w14:paraId="19BAB601" w14:textId="77777777" w:rsidR="00FA589C" w:rsidRDefault="00BF3DA8">
      <w:pPr>
        <w:spacing w:line="360" w:lineRule="atLeast"/>
        <w:ind w:firstLine="720"/>
        <w:jc w:val="both"/>
        <w:rPr>
          <w:color w:val="000000"/>
          <w:shd w:val="clear" w:color="auto" w:fill="FFFFFF"/>
          <w:lang w:eastAsia="lt-LT"/>
        </w:rPr>
      </w:pPr>
      <w:r>
        <w:rPr>
          <w:color w:val="000000"/>
          <w:shd w:val="clear" w:color="auto" w:fill="FFFFFF"/>
          <w:lang w:eastAsia="lt-LT"/>
        </w:rPr>
        <w:t>1.9</w:t>
      </w:r>
      <w:r>
        <w:rPr>
          <w:color w:val="000000"/>
          <w:shd w:val="clear" w:color="auto" w:fill="FFFFFF"/>
          <w:lang w:eastAsia="lt-LT"/>
        </w:rPr>
        <w:t>. Papildyti 10</w:t>
      </w:r>
      <w:r>
        <w:rPr>
          <w:color w:val="000000"/>
          <w:shd w:val="clear" w:color="auto" w:fill="FFFFFF"/>
          <w:vertAlign w:val="superscript"/>
          <w:lang w:eastAsia="lt-LT"/>
        </w:rPr>
        <w:t>1</w:t>
      </w:r>
      <w:r>
        <w:rPr>
          <w:color w:val="000000"/>
          <w:shd w:val="clear" w:color="auto" w:fill="FFFFFF"/>
          <w:lang w:eastAsia="lt-LT"/>
        </w:rPr>
        <w:t xml:space="preserve"> punktu:</w:t>
      </w:r>
    </w:p>
    <w:p w14:paraId="19BAB602" w14:textId="77777777" w:rsidR="00FA589C" w:rsidRDefault="00BF3DA8">
      <w:pPr>
        <w:spacing w:line="360" w:lineRule="atLeast"/>
        <w:ind w:firstLine="720"/>
        <w:jc w:val="both"/>
        <w:rPr>
          <w:rFonts w:eastAsia="Calibri"/>
          <w:szCs w:val="24"/>
        </w:rPr>
      </w:pPr>
      <w:r>
        <w:rPr>
          <w:color w:val="000000"/>
          <w:shd w:val="clear" w:color="auto" w:fill="FFFFFF"/>
          <w:lang w:eastAsia="lt-LT"/>
        </w:rPr>
        <w:t>„</w:t>
      </w:r>
      <w:r>
        <w:rPr>
          <w:color w:val="000000"/>
          <w:shd w:val="clear" w:color="auto" w:fill="FFFFFF"/>
          <w:lang w:eastAsia="lt-LT"/>
        </w:rPr>
        <w:t>10</w:t>
      </w:r>
      <w:r>
        <w:rPr>
          <w:color w:val="000000"/>
          <w:shd w:val="clear" w:color="auto" w:fill="FFFFFF"/>
          <w:vertAlign w:val="superscript"/>
          <w:lang w:eastAsia="lt-LT"/>
        </w:rPr>
        <w:t>1</w:t>
      </w:r>
      <w:r>
        <w:rPr>
          <w:color w:val="000000"/>
          <w:shd w:val="clear" w:color="auto" w:fill="FFFFFF"/>
          <w:lang w:eastAsia="lt-LT"/>
        </w:rPr>
        <w:t xml:space="preserve">. Programos įgyvendinimą ir sudėtinių elektroninių paslaugų kūrimą koordinuoja Lietuvos Respublikos susisiekimo ministerija (toliau – Programos </w:t>
      </w:r>
      <w:r>
        <w:rPr>
          <w:color w:val="000000"/>
          <w:shd w:val="clear" w:color="auto" w:fill="FFFFFF"/>
          <w:lang w:eastAsia="lt-LT"/>
        </w:rPr>
        <w:t>koordinatorė).“</w:t>
      </w:r>
    </w:p>
    <w:p w14:paraId="19BAB603" w14:textId="77777777" w:rsidR="00FA589C" w:rsidRDefault="00BF3DA8">
      <w:pPr>
        <w:spacing w:line="360" w:lineRule="atLeast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1.10</w:t>
      </w:r>
      <w:r>
        <w:rPr>
          <w:rFonts w:eastAsia="Calibri"/>
          <w:szCs w:val="24"/>
        </w:rPr>
        <w:t>. Papildyti 10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 xml:space="preserve"> punktu:</w:t>
      </w:r>
    </w:p>
    <w:p w14:paraId="19BAB604" w14:textId="77777777" w:rsidR="00FA589C" w:rsidRDefault="00BF3DA8">
      <w:pPr>
        <w:spacing w:line="360" w:lineRule="atLeast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color w:val="000000"/>
          <w:shd w:val="clear" w:color="auto" w:fill="FFFFFF"/>
          <w:lang w:eastAsia="lt-LT"/>
        </w:rPr>
        <w:t>10</w:t>
      </w:r>
      <w:r>
        <w:rPr>
          <w:color w:val="000000"/>
          <w:shd w:val="clear" w:color="auto" w:fill="FFFFFF"/>
          <w:vertAlign w:val="superscript"/>
          <w:lang w:eastAsia="lt-LT"/>
        </w:rPr>
        <w:t>2</w:t>
      </w:r>
      <w:r>
        <w:rPr>
          <w:color w:val="000000"/>
          <w:shd w:val="clear" w:color="auto" w:fill="FFFFFF"/>
          <w:lang w:eastAsia="lt-LT"/>
        </w:rPr>
        <w:t xml:space="preserve">. </w:t>
      </w:r>
      <w:r>
        <w:rPr>
          <w:rFonts w:eastAsia="Calibri"/>
          <w:szCs w:val="24"/>
        </w:rPr>
        <w:t>Valstybės</w:t>
      </w:r>
      <w:r>
        <w:rPr>
          <w:rFonts w:eastAsia="Calibri"/>
          <w:szCs w:val="24"/>
          <w:vertAlign w:val="superscript"/>
        </w:rPr>
        <w:t xml:space="preserve"> </w:t>
      </w:r>
      <w:r>
        <w:rPr>
          <w:rFonts w:eastAsia="Calibri"/>
          <w:szCs w:val="24"/>
        </w:rPr>
        <w:t>institucijoms, įstaigoms ir valstybės įmonėms, planuojančioms ir (arba) įgyvendinančioms elektroninių paslaugų kūrimo projektus, rekomenduojama vadovautis Elektroninių paslaugų plėtros p</w:t>
      </w:r>
      <w:r>
        <w:rPr>
          <w:rFonts w:eastAsia="Calibri"/>
          <w:szCs w:val="24"/>
        </w:rPr>
        <w:t>rioritetų nustatymo metodika, Elektroninių paslaugų kokybės vertinimo metodika, Elektroninių paslaugų kūrimo metodika ir Sudėtinių elektroninių paslaugų kūrimo ir teikimo metodika.“</w:t>
      </w:r>
    </w:p>
    <w:p w14:paraId="19BAB605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1.11</w:t>
      </w:r>
      <w:r>
        <w:rPr>
          <w:lang w:eastAsia="lt-LT"/>
        </w:rPr>
        <w:t xml:space="preserve">. </w:t>
      </w:r>
      <w:r>
        <w:rPr>
          <w:szCs w:val="24"/>
          <w:lang w:eastAsia="lt-LT"/>
        </w:rPr>
        <w:t>Pakeisti 11 punktą ir jį išdėstyti taip</w:t>
      </w:r>
      <w:r>
        <w:rPr>
          <w:lang w:eastAsia="lt-LT"/>
        </w:rPr>
        <w:t>:</w:t>
      </w:r>
    </w:p>
    <w:p w14:paraId="19BAB606" w14:textId="77777777" w:rsidR="00FA589C" w:rsidRDefault="00BF3DA8">
      <w:pPr>
        <w:tabs>
          <w:tab w:val="left" w:pos="709"/>
          <w:tab w:val="num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lang w:eastAsia="lt-LT"/>
        </w:rPr>
        <w:t>11</w:t>
      </w:r>
      <w:r>
        <w:rPr>
          <w:lang w:eastAsia="lt-LT"/>
        </w:rPr>
        <w:t xml:space="preserve">. </w:t>
      </w:r>
      <w:r>
        <w:rPr>
          <w:bCs/>
          <w:szCs w:val="24"/>
          <w:lang w:eastAsia="lt-LT"/>
        </w:rPr>
        <w:t xml:space="preserve">Susisiekimo </w:t>
      </w:r>
      <w:r>
        <w:rPr>
          <w:bCs/>
          <w:szCs w:val="24"/>
          <w:lang w:eastAsia="lt-LT"/>
        </w:rPr>
        <w:t xml:space="preserve">ministras </w:t>
      </w:r>
      <w:r>
        <w:rPr>
          <w:szCs w:val="24"/>
          <w:lang w:eastAsia="lt-LT"/>
        </w:rPr>
        <w:t xml:space="preserve">iš valstybės institucijų, įstaigų, valstybės įmonių, nurodytų Programos priede, ir kitų kompetentingų atstovų sudaro darbo grupę – Skaitmeninės darbotvarkės tarybą (toliau – Taryba), tvirtina jos sudėtį ir </w:t>
      </w:r>
      <w:r>
        <w:rPr>
          <w:bCs/>
          <w:szCs w:val="24"/>
          <w:lang w:eastAsia="lt-LT"/>
        </w:rPr>
        <w:t xml:space="preserve">darbo tvarką. </w:t>
      </w:r>
      <w:r>
        <w:rPr>
          <w:szCs w:val="24"/>
          <w:lang w:eastAsia="lt-LT"/>
        </w:rPr>
        <w:t>Taryba padės Programos koo</w:t>
      </w:r>
      <w:r>
        <w:rPr>
          <w:szCs w:val="24"/>
          <w:lang w:eastAsia="lt-LT"/>
        </w:rPr>
        <w:t>rdinatorei vertinti, kaip siekiama tikslų ir įgyvendinami uždaviniai, kurie numatyti Programoje, stebėti elektroninių paslaugų kūrimo ir naudojimosi jomis rezultatus,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analizuoti pokyčius,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rengti pasiūlymus dėl informacinei visuomenei plėtoti reikalingų pri</w:t>
      </w:r>
      <w:r>
        <w:rPr>
          <w:szCs w:val="24"/>
          <w:lang w:eastAsia="lt-LT"/>
        </w:rPr>
        <w:t>oritetinių sprendimų, prireikus inicijuoti teminių pogrupių sudarymą ir koordinuoti jų veiklą.“</w:t>
      </w:r>
    </w:p>
    <w:p w14:paraId="19BAB607" w14:textId="77777777" w:rsidR="00FA589C" w:rsidRDefault="00BF3DA8">
      <w:pPr>
        <w:tabs>
          <w:tab w:val="left" w:pos="709"/>
          <w:tab w:val="num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1.12</w:t>
      </w:r>
      <w:r>
        <w:rPr>
          <w:szCs w:val="24"/>
          <w:lang w:eastAsia="lt-LT"/>
        </w:rPr>
        <w:t>. Pakeisti 15 punktą ir jį išdėstyti taip:</w:t>
      </w:r>
    </w:p>
    <w:p w14:paraId="19BAB608" w14:textId="77777777" w:rsidR="00FA589C" w:rsidRDefault="00BF3DA8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Už Programos priede nurodytų Programos įgyvendinimo vertinimo kriterijų rodiklių pokyčių stebėseną</w:t>
      </w:r>
      <w:r>
        <w:rPr>
          <w:szCs w:val="24"/>
          <w:lang w:eastAsia="lt-LT"/>
        </w:rPr>
        <w:t xml:space="preserve"> atsakingas Informacinės visuomenės plėtros komitetas prie Susisiekimo ministerijos, kuris ne vėliau kaip iki einamųjų metų vasario 1 d. Programos koordinatorei pateikia informaciją, susijusią su informacinės visuomenės plėtra,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įskaitant elektroninių </w:t>
      </w:r>
      <w:r>
        <w:rPr>
          <w:szCs w:val="24"/>
          <w:lang w:eastAsia="lt-LT"/>
        </w:rPr>
        <w:t>paslaugų kūrimą ir (arba) modernizavimą, atliktais tyrimais, ir praėjusių metų Programos įgyvendinimo vertinimo kriterijų rodiklius. Gavusi šią informaciją, Programos koordinatorė nustato problemines sritis ir imasi iniciatyvų, kurios skatintų siekti Progr</w:t>
      </w:r>
      <w:r>
        <w:rPr>
          <w:szCs w:val="24"/>
          <w:lang w:eastAsia="lt-LT"/>
        </w:rPr>
        <w:t>amos tikslų ir įgyvendinti joje nustatytus uždavinius.“</w:t>
      </w:r>
    </w:p>
    <w:p w14:paraId="19BAB609" w14:textId="77777777" w:rsidR="00FA589C" w:rsidRDefault="00BF3DA8">
      <w:pPr>
        <w:tabs>
          <w:tab w:val="left" w:pos="709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1.13</w:t>
      </w:r>
      <w:r>
        <w:rPr>
          <w:szCs w:val="24"/>
          <w:lang w:eastAsia="lt-LT"/>
        </w:rPr>
        <w:t>. Pakeisti priedą ir jį išdėstyti nauja redakcija (pridedama).</w:t>
      </w:r>
    </w:p>
    <w:p w14:paraId="19BAB60A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Pavesti Lietuvos Respublikos susisiekimo ministerijai iki 2015 m. rugsėjo 30 d. patvirtinti:</w:t>
      </w:r>
    </w:p>
    <w:p w14:paraId="19BAB60B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Elektroninių pas</w:t>
      </w:r>
      <w:r>
        <w:rPr>
          <w:szCs w:val="24"/>
          <w:lang w:eastAsia="lt-LT"/>
        </w:rPr>
        <w:t>laugų plėtros prioritetų nustatymo metodiką;</w:t>
      </w:r>
    </w:p>
    <w:p w14:paraId="19BAB60C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 xml:space="preserve">. Elektroninių paslaugų </w:t>
      </w:r>
      <w:r>
        <w:rPr>
          <w:lang w:eastAsia="lt-LT"/>
        </w:rPr>
        <w:t>kokybės vertinimo</w:t>
      </w:r>
      <w:r>
        <w:rPr>
          <w:szCs w:val="24"/>
          <w:lang w:eastAsia="lt-LT"/>
        </w:rPr>
        <w:t xml:space="preserve"> metodiką;</w:t>
      </w:r>
    </w:p>
    <w:p w14:paraId="19BAB60D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</w:t>
      </w:r>
      <w:r>
        <w:rPr>
          <w:szCs w:val="24"/>
          <w:lang w:eastAsia="ar-SA"/>
        </w:rPr>
        <w:t>. Elektroninių paslaugų kūrimo metodiką;</w:t>
      </w:r>
    </w:p>
    <w:p w14:paraId="19BAB60E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ar-SA"/>
        </w:rPr>
      </w:pPr>
      <w:r>
        <w:rPr>
          <w:lang w:eastAsia="lt-LT"/>
        </w:rPr>
        <w:t>2.4</w:t>
      </w:r>
      <w:r>
        <w:rPr>
          <w:lang w:eastAsia="lt-LT"/>
        </w:rPr>
        <w:t xml:space="preserve">. Sudėtinių elektroninių paslaugų kūrimo ir teikimo metodiką ir Prioritetinių </w:t>
      </w:r>
      <w:r>
        <w:rPr>
          <w:szCs w:val="24"/>
          <w:lang w:eastAsia="ar-SA"/>
        </w:rPr>
        <w:t xml:space="preserve">sudėtinių paslaugų </w:t>
      </w:r>
      <w:r>
        <w:rPr>
          <w:szCs w:val="24"/>
          <w:lang w:eastAsia="ar-SA"/>
        </w:rPr>
        <w:t>pagal gyvenimo įvykius sąrašą;</w:t>
      </w:r>
    </w:p>
    <w:p w14:paraId="19BAB60F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ar-SA"/>
        </w:rPr>
        <w:t>2.5</w:t>
      </w:r>
      <w:r>
        <w:rPr>
          <w:szCs w:val="24"/>
          <w:lang w:eastAsia="ar-SA"/>
        </w:rPr>
        <w:t xml:space="preserve">. </w:t>
      </w:r>
      <w:r>
        <w:rPr>
          <w:szCs w:val="24"/>
          <w:lang w:eastAsia="lt-LT"/>
        </w:rPr>
        <w:t>Prioritetinį elektroninių paslaugų sąrašą, atsižvelgiant į pažangioms elektroninėms paslaugoms taikomas savybes.</w:t>
      </w:r>
    </w:p>
    <w:p w14:paraId="19BAB610" w14:textId="77777777" w:rsidR="00FA589C" w:rsidRDefault="00BF3DA8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ar-SA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Šio nutarimo 1.10 papunktis įsigalioja 2015 m. spalio 1 dieną.</w:t>
      </w:r>
    </w:p>
    <w:p w14:paraId="19BAB611" w14:textId="77777777" w:rsidR="00FA589C" w:rsidRDefault="00FA589C">
      <w:pPr>
        <w:tabs>
          <w:tab w:val="left" w:pos="-284"/>
        </w:tabs>
        <w:rPr>
          <w:color w:val="000000"/>
          <w:lang w:eastAsia="lt-LT"/>
        </w:rPr>
      </w:pPr>
      <w:bookmarkStart w:id="0" w:name="_GoBack"/>
      <w:bookmarkEnd w:id="0"/>
    </w:p>
    <w:p w14:paraId="19BAB612" w14:textId="77777777" w:rsidR="00FA589C" w:rsidRDefault="00FA589C">
      <w:pPr>
        <w:tabs>
          <w:tab w:val="left" w:pos="-284"/>
        </w:tabs>
        <w:rPr>
          <w:color w:val="000000"/>
          <w:lang w:eastAsia="lt-LT"/>
        </w:rPr>
      </w:pPr>
    </w:p>
    <w:p w14:paraId="19BAB613" w14:textId="77777777" w:rsidR="00FA589C" w:rsidRDefault="00BF3DA8">
      <w:pPr>
        <w:tabs>
          <w:tab w:val="left" w:pos="-284"/>
        </w:tabs>
        <w:rPr>
          <w:color w:val="000000"/>
          <w:lang w:eastAsia="lt-LT"/>
        </w:rPr>
      </w:pPr>
    </w:p>
    <w:p w14:paraId="19BAB614" w14:textId="77777777" w:rsidR="00FA589C" w:rsidRDefault="00BF3D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</w:r>
      <w:r>
        <w:rPr>
          <w:lang w:eastAsia="lt-LT"/>
        </w:rPr>
        <w:t>Algirdas Butkevičius</w:t>
      </w:r>
    </w:p>
    <w:p w14:paraId="19BAB615" w14:textId="77777777" w:rsidR="00FA589C" w:rsidRDefault="00FA589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9BAB616" w14:textId="77777777" w:rsidR="00FA589C" w:rsidRDefault="00FA589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9BAB617" w14:textId="77777777" w:rsidR="00FA589C" w:rsidRDefault="00FA589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9BAB618" w14:textId="77777777" w:rsidR="00FA589C" w:rsidRDefault="00BF3DA8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Susisiekimo ministras</w:t>
      </w:r>
      <w:r>
        <w:rPr>
          <w:lang w:eastAsia="lt-LT"/>
        </w:rPr>
        <w:tab/>
        <w:t>Rimantas Sinkevičius</w:t>
      </w:r>
    </w:p>
    <w:p w14:paraId="19BAB61A" w14:textId="77777777" w:rsidR="00FA589C" w:rsidRDefault="00BF3DA8">
      <w:pPr>
        <w:tabs>
          <w:tab w:val="center" w:pos="4153"/>
          <w:tab w:val="right" w:pos="8306"/>
        </w:tabs>
        <w:rPr>
          <w:lang w:eastAsia="lt-LT"/>
        </w:rPr>
      </w:pPr>
    </w:p>
    <w:p w14:paraId="08D76178" w14:textId="77777777" w:rsidR="00BF3DA8" w:rsidRDefault="00BF3DA8">
      <w:pPr>
        <w:ind w:left="8647"/>
        <w:sectPr w:rsidR="00BF3DA8" w:rsidSect="00BF3DA8">
          <w:headerReference w:type="even" r:id="rId9"/>
          <w:headerReference w:type="default" r:id="rId10"/>
          <w:pgSz w:w="11906" w:h="16838" w:code="9"/>
          <w:pgMar w:top="1134" w:right="1134" w:bottom="1134" w:left="1134" w:header="567" w:footer="567" w:gutter="0"/>
          <w:cols w:space="1296"/>
          <w:titlePg/>
          <w:docGrid w:linePitch="326"/>
        </w:sectPr>
      </w:pPr>
    </w:p>
    <w:p w14:paraId="19BAB61B" w14:textId="577A45DF" w:rsidR="00FA589C" w:rsidRDefault="00BF3DA8">
      <w:pPr>
        <w:ind w:left="8647"/>
        <w:rPr>
          <w:lang w:eastAsia="lt-LT"/>
        </w:rPr>
      </w:pPr>
      <w:r>
        <w:rPr>
          <w:szCs w:val="24"/>
          <w:lang w:eastAsia="lt-LT"/>
        </w:rPr>
        <w:lastRenderedPageBreak/>
        <w:t>Informacinės visuomenės plėtros 2014–2020 metų programos „Lietuvos Respublikos skaitmeninė darbotvarkė“</w:t>
      </w:r>
    </w:p>
    <w:p w14:paraId="19BAB61C" w14:textId="77777777" w:rsidR="00FA589C" w:rsidRDefault="00BF3DA8">
      <w:pPr>
        <w:ind w:left="8647"/>
        <w:rPr>
          <w:lang w:eastAsia="lt-LT"/>
        </w:rPr>
      </w:pPr>
      <w:r>
        <w:rPr>
          <w:lang w:eastAsia="lt-LT"/>
        </w:rPr>
        <w:t>priedas</w:t>
      </w:r>
    </w:p>
    <w:p w14:paraId="19BAB61D" w14:textId="77777777" w:rsidR="00FA589C" w:rsidRDefault="00FA589C">
      <w:pPr>
        <w:tabs>
          <w:tab w:val="left" w:pos="-426"/>
        </w:tabs>
        <w:rPr>
          <w:lang w:eastAsia="lt-LT"/>
        </w:rPr>
      </w:pPr>
    </w:p>
    <w:p w14:paraId="19BAB61E" w14:textId="77777777" w:rsidR="00FA589C" w:rsidRDefault="00FA589C">
      <w:pPr>
        <w:tabs>
          <w:tab w:val="left" w:pos="-426"/>
        </w:tabs>
        <w:rPr>
          <w:lang w:eastAsia="lt-LT"/>
        </w:rPr>
      </w:pPr>
    </w:p>
    <w:p w14:paraId="19BAB61F" w14:textId="77777777" w:rsidR="00FA589C" w:rsidRDefault="00BF3DA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INFORMACINĖS VISUOMENĖS PLĖTRO</w:t>
      </w:r>
      <w:r>
        <w:rPr>
          <w:b/>
          <w:szCs w:val="24"/>
          <w:lang w:eastAsia="lt-LT"/>
        </w:rPr>
        <w:t>S 2014–2020 METŲ PROGRAMOS „LIETUVOS RESPUBLIKOS SKAITMENINĖ DARBOTVARKĖ“ ĮGYVENDINIMO VERTINIMO KRITERIJAI IR SIEKIAMOS JŲ REIKŠMĖS</w:t>
      </w:r>
    </w:p>
    <w:p w14:paraId="19BAB620" w14:textId="77777777" w:rsidR="00FA589C" w:rsidRDefault="00FA589C">
      <w:pPr>
        <w:jc w:val="center"/>
        <w:rPr>
          <w:szCs w:val="24"/>
          <w:lang w:eastAsia="lt-LT"/>
        </w:rPr>
      </w:pPr>
    </w:p>
    <w:tbl>
      <w:tblPr>
        <w:tblW w:w="1471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142"/>
        <w:gridCol w:w="2410"/>
        <w:gridCol w:w="2241"/>
        <w:gridCol w:w="1191"/>
        <w:gridCol w:w="1275"/>
        <w:gridCol w:w="1246"/>
        <w:gridCol w:w="1954"/>
      </w:tblGrid>
      <w:tr w:rsidR="00FA589C" w14:paraId="19BAB627" w14:textId="77777777">
        <w:trPr>
          <w:trHeight w:val="23"/>
          <w:tblHeader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1" w14:textId="77777777" w:rsidR="00FA589C" w:rsidRDefault="00BF3DA8">
            <w:pPr>
              <w:jc w:val="center"/>
              <w:rPr>
                <w:iCs/>
                <w:strike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Strateginis tikslas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2" w14:textId="77777777" w:rsidR="00FA589C" w:rsidRDefault="00BF3DA8">
            <w:pPr>
              <w:jc w:val="center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Tikslas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3" w14:textId="77777777" w:rsidR="00FA589C" w:rsidRDefault="00BF3DA8">
            <w:pPr>
              <w:jc w:val="center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Uždavinys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4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Vertinimo kriterijus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5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Reikšmė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6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 vertinimo kriterijaus reikšmės pasiekimą atsakinga</w:t>
            </w:r>
            <w:r>
              <w:rPr>
                <w:sz w:val="22"/>
                <w:szCs w:val="22"/>
                <w:lang w:eastAsia="lt-LT"/>
              </w:rPr>
              <w:t xml:space="preserve"> institucija</w:t>
            </w:r>
          </w:p>
        </w:tc>
      </w:tr>
      <w:tr w:rsidR="00FA589C" w14:paraId="19BAB630" w14:textId="77777777">
        <w:trPr>
          <w:trHeight w:val="23"/>
          <w:tblHeader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8" w14:textId="77777777" w:rsidR="00FA589C" w:rsidRDefault="00FA589C">
            <w:pPr>
              <w:jc w:val="center"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9" w14:textId="77777777" w:rsidR="00FA589C" w:rsidRDefault="00FA589C">
            <w:pPr>
              <w:jc w:val="center"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A" w14:textId="77777777" w:rsidR="00FA589C" w:rsidRDefault="00FA589C">
            <w:pPr>
              <w:jc w:val="center"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B" w14:textId="77777777" w:rsidR="00FA589C" w:rsidRDefault="00FA589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C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2012 metų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D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2015 metų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E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 metų</w:t>
            </w:r>
          </w:p>
        </w:tc>
        <w:tc>
          <w:tcPr>
            <w:tcW w:w="195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AB62F" w14:textId="77777777" w:rsidR="00FA589C" w:rsidRDefault="00FA589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A589C" w14:paraId="19BAB639" w14:textId="77777777">
        <w:trPr>
          <w:trHeight w:val="23"/>
        </w:trPr>
        <w:tc>
          <w:tcPr>
            <w:tcW w:w="22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1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Naudojantis IRT teikiamomis galimybėmis </w:t>
            </w:r>
            <w:r>
              <w:rPr>
                <w:iCs/>
                <w:sz w:val="22"/>
                <w:szCs w:val="22"/>
                <w:lang w:eastAsia="lt-LT"/>
              </w:rPr>
              <w:t>p</w:t>
            </w:r>
            <w:r>
              <w:rPr>
                <w:sz w:val="22"/>
                <w:szCs w:val="22"/>
                <w:lang w:eastAsia="lt-LT"/>
              </w:rPr>
              <w:t xml:space="preserve">agerinti Lietuvos gyventojų gyvenimo kokybę, didinti įmonių veiklos produktyvumą ir pasiekti, kad iki 2020 metų ne mažiau kaip 85 procentai Lietuvos gyventojų </w:t>
            </w:r>
            <w:r>
              <w:rPr>
                <w:sz w:val="22"/>
                <w:szCs w:val="22"/>
                <w:lang w:eastAsia="lt-LT"/>
              </w:rPr>
              <w:t>naudotųsi internetu, o 95 procentai įmonių – sparčiuoju internetu</w:t>
            </w:r>
          </w:p>
        </w:tc>
        <w:tc>
          <w:tcPr>
            <w:tcW w:w="214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2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3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4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gyventojai, kurie nuolat naudojasi internetu (visų Lietuvos 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5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65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6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75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7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85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8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Respublikos susisiekimo ministerija (toliau – Susisiekimo ministerija)</w:t>
            </w:r>
          </w:p>
        </w:tc>
      </w:tr>
      <w:tr w:rsidR="00FA589C" w14:paraId="19BAB642" w14:textId="77777777">
        <w:trPr>
          <w:trHeight w:val="23"/>
        </w:trPr>
        <w:tc>
          <w:tcPr>
            <w:tcW w:w="22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A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B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C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D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įmonės, </w:t>
            </w:r>
            <w:r>
              <w:rPr>
                <w:sz w:val="22"/>
                <w:szCs w:val="22"/>
                <w:lang w:eastAsia="lt-LT"/>
              </w:rPr>
              <w:t>kurios naudojasi sparčiuoju internetu (visų Lietuvos įmonių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E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40,7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3F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0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95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1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Susisiekimo ministerija </w:t>
            </w:r>
          </w:p>
        </w:tc>
      </w:tr>
      <w:tr w:rsidR="00FA589C" w14:paraId="19BAB64B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3" w14:textId="77777777" w:rsidR="00FA589C" w:rsidRDefault="00FA589C">
            <w:pPr>
              <w:rPr>
                <w:iCs/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4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1. M</w:t>
            </w:r>
            <w:r>
              <w:rPr>
                <w:sz w:val="22"/>
                <w:szCs w:val="22"/>
                <w:lang w:eastAsia="lt-LT"/>
              </w:rPr>
              <w:t>ažinti Lietuvos gyventojų skaitmeninę atskirtį ir skatinti juos įgyti žinių ir įgūdžių, kad jie sėkmingai ir visapusiškai naudotųsi IRT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5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6" w14:textId="77777777" w:rsidR="00FA589C" w:rsidRDefault="00BF3DA8">
            <w:pPr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gyventojai, nesinaudojantys internetu (visų Lietuvos 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7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33,8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8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9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A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pacing w:val="-4"/>
                <w:sz w:val="22"/>
                <w:szCs w:val="22"/>
                <w:lang w:eastAsia="lt-LT"/>
              </w:rPr>
              <w:t>Lietuvos Respublikos</w:t>
            </w:r>
            <w:r>
              <w:rPr>
                <w:sz w:val="22"/>
                <w:szCs w:val="22"/>
                <w:lang w:eastAsia="lt-LT"/>
              </w:rPr>
              <w:t xml:space="preserve"> švietimo ir mokslo </w:t>
            </w:r>
            <w:r>
              <w:rPr>
                <w:spacing w:val="-2"/>
                <w:sz w:val="22"/>
                <w:szCs w:val="22"/>
                <w:lang w:eastAsia="lt-LT"/>
              </w:rPr>
              <w:t>ministerija (toliau</w:t>
            </w:r>
            <w:r>
              <w:rPr>
                <w:sz w:val="22"/>
                <w:szCs w:val="22"/>
                <w:lang w:eastAsia="lt-LT"/>
              </w:rPr>
              <w:t xml:space="preserve"> – Švietimo ir mokslo ministerija), </w:t>
            </w:r>
            <w:r>
              <w:rPr>
                <w:spacing w:val="-4"/>
                <w:sz w:val="22"/>
                <w:szCs w:val="22"/>
                <w:lang w:eastAsia="lt-LT"/>
              </w:rPr>
              <w:t>Lietuvos Respublikos</w:t>
            </w:r>
            <w:r>
              <w:rPr>
                <w:sz w:val="22"/>
                <w:szCs w:val="22"/>
                <w:lang w:eastAsia="lt-LT"/>
              </w:rPr>
              <w:t xml:space="preserve"> kultūros ministerija (toliau – Kultūros ministerija), Susisiekimo </w:t>
            </w:r>
            <w:r>
              <w:rPr>
                <w:sz w:val="22"/>
                <w:szCs w:val="22"/>
                <w:lang w:eastAsia="lt-LT"/>
              </w:rPr>
              <w:lastRenderedPageBreak/>
              <w:t xml:space="preserve">ministerija </w:t>
            </w:r>
          </w:p>
        </w:tc>
      </w:tr>
      <w:tr w:rsidR="00FA589C" w14:paraId="19BAB654" w14:textId="77777777">
        <w:trPr>
          <w:trHeight w:val="23"/>
        </w:trPr>
        <w:tc>
          <w:tcPr>
            <w:tcW w:w="2253" w:type="dxa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C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D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E" w14:textId="77777777" w:rsidR="00FA589C" w:rsidRDefault="00BF3DA8">
            <w:pPr>
              <w:tabs>
                <w:tab w:val="num" w:pos="1134"/>
                <w:tab w:val="left" w:pos="1418"/>
              </w:tabs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1.1. S</w:t>
            </w:r>
            <w:r>
              <w:rPr>
                <w:sz w:val="22"/>
                <w:szCs w:val="22"/>
                <w:lang w:eastAsia="lt-LT"/>
              </w:rPr>
              <w:t xml:space="preserve">katinti Lietuvos gyventojų grupes, kurios iki šiol dėl įvairių priežasčių nesinaudojo kompiuteriais ir internetu, įgyti reikiamų žinių ir jas taikyti įvairių sričių </w:t>
            </w:r>
            <w:r>
              <w:rPr>
                <w:sz w:val="22"/>
                <w:szCs w:val="22"/>
                <w:lang w:eastAsia="lt-LT"/>
              </w:rPr>
              <w:t>veikloje, įtraukti į šią veiklą ir vietos bendruomenes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4F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socialiai pažeidžiamoms grupėms priklausantys asmenys, kurie nuolat naudojasi internetu (visų socialiai pažeidžiamoms grupėms priklausančių asmenų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0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43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1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2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74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3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</w:t>
            </w:r>
          </w:p>
        </w:tc>
      </w:tr>
      <w:tr w:rsidR="00FA589C" w14:paraId="19BAB65D" w14:textId="77777777">
        <w:trPr>
          <w:trHeight w:val="23"/>
        </w:trPr>
        <w:tc>
          <w:tcPr>
            <w:tcW w:w="2253" w:type="dxa"/>
            <w:vMerge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5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6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7" w14:textId="77777777" w:rsidR="00FA589C" w:rsidRDefault="00FA589C">
            <w:pPr>
              <w:tabs>
                <w:tab w:val="num" w:pos="1134"/>
                <w:tab w:val="left" w:pos="1418"/>
              </w:tabs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8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per </w:t>
            </w:r>
            <w:r>
              <w:rPr>
                <w:sz w:val="22"/>
                <w:szCs w:val="22"/>
                <w:lang w:eastAsia="lt-LT"/>
              </w:rPr>
              <w:t>metus viešosiose bibliotekose skaitmeninio raštingumo mokymo renginiuose mokyti ir konsultuoti gyventojai (tūkst.)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9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245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A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250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B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C" w14:textId="77777777" w:rsidR="00FA589C" w:rsidRDefault="00BF3DA8">
            <w:pPr>
              <w:keepNext/>
              <w:outlineLvl w:val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Kultūros ministerija</w:t>
            </w:r>
          </w:p>
        </w:tc>
      </w:tr>
      <w:tr w:rsidR="00FA589C" w14:paraId="19BAB666" w14:textId="77777777">
        <w:trPr>
          <w:trHeight w:val="23"/>
        </w:trPr>
        <w:tc>
          <w:tcPr>
            <w:tcW w:w="2253" w:type="dxa"/>
            <w:vMerge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E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5F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0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1.2. Skatinti gyventojus tapti interneto naudotojais, gebančiais saugiai ir veiksmingai naudotis jo </w:t>
            </w:r>
            <w:r>
              <w:rPr>
                <w:sz w:val="22"/>
                <w:szCs w:val="22"/>
                <w:lang w:eastAsia="lt-LT"/>
              </w:rPr>
              <w:t>teikiamomis galimybėmis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1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gyventojai, turintys didesnių ir vidutinių įgūdžių naudotis internetu (visų interneto naudotojų procentais)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2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59,3*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3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67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4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95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5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</w:t>
            </w:r>
          </w:p>
        </w:tc>
      </w:tr>
      <w:tr w:rsidR="00FA589C" w14:paraId="19BAB66F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7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8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9" w14:textId="77777777" w:rsidR="00FA589C" w:rsidRDefault="00BF3DA8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1.3. </w:t>
            </w:r>
            <w:r>
              <w:rPr>
                <w:sz w:val="22"/>
                <w:szCs w:val="22"/>
                <w:lang w:eastAsia="lt-LT"/>
              </w:rPr>
              <w:t>Skatinti asmenis, kurie mokosi, rinktis studijų programas, susijusias su IRT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A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studijuojantieji fizinius ir inžinerinius mokslus (visų studijuojančiųjų procentais)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B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C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23,5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D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6E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pacing w:val="-2"/>
                <w:sz w:val="22"/>
                <w:szCs w:val="22"/>
                <w:lang w:eastAsia="lt-LT"/>
              </w:rPr>
              <w:t>Švietimo ir mokslo ministerija</w:t>
            </w:r>
          </w:p>
        </w:tc>
      </w:tr>
      <w:tr w:rsidR="00FA589C" w14:paraId="19BAB678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0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1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2" w14:textId="77777777" w:rsidR="00FA589C" w:rsidRDefault="00BF3DA8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1.4. Sudaryti naujos kokybės lanksčias mokymosi sąlygas, kurios užtikrintų individualizuoto mokymo ir mokymosi skaitmeninėje </w:t>
            </w:r>
            <w:r>
              <w:rPr>
                <w:iCs/>
                <w:sz w:val="22"/>
                <w:szCs w:val="22"/>
                <w:lang w:eastAsia="lt-LT"/>
              </w:rPr>
              <w:t>erdvėje visą gyvenimą galimybes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3" w14:textId="77777777" w:rsidR="00FA589C" w:rsidRDefault="00BF3DA8">
            <w:pPr>
              <w:keepNext/>
              <w:keepLines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gyventojai, kurie naudojasi internetu mokymosi tikslais (visų šalies gyventojų procentais)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4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5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15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6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7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Švietimo ir mokslo ministerija</w:t>
            </w:r>
          </w:p>
        </w:tc>
      </w:tr>
      <w:tr w:rsidR="00FA589C" w14:paraId="19BAB681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9" w14:textId="77777777" w:rsidR="00FA589C" w:rsidRDefault="00FA589C">
            <w:pPr>
              <w:keepNext/>
              <w:keepLines/>
              <w:rPr>
                <w:iCs/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A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2. </w:t>
            </w:r>
            <w:r>
              <w:rPr>
                <w:sz w:val="22"/>
                <w:szCs w:val="22"/>
                <w:lang w:eastAsia="lt-LT"/>
              </w:rPr>
              <w:t>Kurti pažangias, gyventojų ir verslo poreikius atitinkančias</w:t>
            </w:r>
            <w:r>
              <w:rPr>
                <w:i/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viešąsias ir administracines </w:t>
            </w:r>
            <w:r>
              <w:rPr>
                <w:spacing w:val="-4"/>
                <w:sz w:val="22"/>
                <w:szCs w:val="22"/>
                <w:lang w:eastAsia="lt-LT"/>
              </w:rPr>
              <w:t>elektronines</w:t>
            </w:r>
            <w:r>
              <w:rPr>
                <w:i/>
                <w:spacing w:val="-4"/>
                <w:sz w:val="22"/>
                <w:szCs w:val="22"/>
                <w:lang w:eastAsia="lt-LT"/>
              </w:rPr>
              <w:t xml:space="preserve"> </w:t>
            </w:r>
            <w:r>
              <w:rPr>
                <w:spacing w:val="-4"/>
                <w:sz w:val="22"/>
                <w:szCs w:val="22"/>
                <w:lang w:eastAsia="lt-LT"/>
              </w:rPr>
              <w:t>paslaugas,</w:t>
            </w:r>
            <w:r>
              <w:rPr>
                <w:sz w:val="22"/>
                <w:szCs w:val="22"/>
                <w:lang w:eastAsia="lt-LT"/>
              </w:rPr>
              <w:t xml:space="preserve"> skatinti paslaugų gavėjus jomis naudotis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B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C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gyventojai, kurie naudojasi elektroniniu būdu teikiamomis viešosiomis ir administracinėmis paslaugomis (visų šalies 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D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E" w14:textId="77777777" w:rsidR="00FA589C" w:rsidRDefault="00BF3DA8">
            <w:pPr>
              <w:keepNext/>
              <w:keepLines/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7F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0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Susisiekimo </w:t>
            </w:r>
            <w:r>
              <w:rPr>
                <w:sz w:val="22"/>
                <w:szCs w:val="22"/>
                <w:lang w:eastAsia="lt-LT"/>
              </w:rPr>
              <w:t>ministerija, Lietuvos Respublikos vidaus reikalų ministerija (toliau – Vidaus reikalų ministerija)</w:t>
            </w:r>
          </w:p>
        </w:tc>
      </w:tr>
      <w:tr w:rsidR="00FA589C" w14:paraId="19BAB68A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2" w14:textId="77777777" w:rsidR="00FA589C" w:rsidRDefault="00FA589C">
            <w:pPr>
              <w:rPr>
                <w:iCs/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3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4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5" w14:textId="77777777" w:rsidR="00FA589C" w:rsidRDefault="00BF3DA8">
            <w:pPr>
              <w:rPr>
                <w:strike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gyventojai, kurie naudojosi elektroniniu būdu teikiamomis viešosiomis ir administracinėmis paslaugomis, teikiamomis per Elektroninius valdžios vartus </w:t>
            </w:r>
            <w:r>
              <w:rPr>
                <w:iCs/>
                <w:sz w:val="22"/>
                <w:szCs w:val="22"/>
                <w:lang w:eastAsia="lt-LT"/>
              </w:rPr>
              <w:t>(visų šalies 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6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7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25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8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9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</w:t>
            </w:r>
          </w:p>
        </w:tc>
      </w:tr>
      <w:tr w:rsidR="00FA589C" w14:paraId="19BAB693" w14:textId="77777777">
        <w:trPr>
          <w:trHeight w:val="1771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B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C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D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2.1. </w:t>
            </w:r>
            <w:r>
              <w:rPr>
                <w:sz w:val="22"/>
                <w:szCs w:val="22"/>
                <w:lang w:eastAsia="lt-LT"/>
              </w:rPr>
              <w:t>perkelti į skaitmeninę erdvę ir plėtoti kuo daugiau viešųjų ir administracinių paslaugų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E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viešosios ir administracinės paslaugos, teikiamos elektroniniu būdu (visų viešųjų ir </w:t>
            </w:r>
            <w:r>
              <w:rPr>
                <w:sz w:val="22"/>
                <w:szCs w:val="22"/>
                <w:lang w:eastAsia="lt-LT"/>
              </w:rPr>
              <w:t>administracinių paslaugų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8F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trike/>
                <w:sz w:val="22"/>
                <w:szCs w:val="22"/>
                <w:lang w:eastAsia="lt-LT"/>
              </w:rPr>
              <w:t>–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0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1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2" w14:textId="77777777" w:rsidR="00FA589C" w:rsidRDefault="00BF3DA8">
            <w:pPr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Vidaus reikalų ministerija</w:t>
            </w:r>
          </w:p>
        </w:tc>
      </w:tr>
      <w:tr w:rsidR="00FA589C" w14:paraId="19BAB69C" w14:textId="77777777">
        <w:trPr>
          <w:trHeight w:val="23"/>
        </w:trPr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4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5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6" w14:textId="77777777" w:rsidR="00FA589C" w:rsidRDefault="00BF3DA8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2.2. Kurti ir plėtoti su sveikata susijusias elektronines paslaugas ir IRT produktus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7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gyventojai, kurie naudojasi su sveikata susijusiomis elektroninėmis paslaugomis (visų šalies </w:t>
            </w:r>
            <w:r>
              <w:rPr>
                <w:sz w:val="22"/>
                <w:szCs w:val="22"/>
                <w:lang w:eastAsia="lt-LT"/>
              </w:rPr>
              <w:t>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8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9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A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B" w14:textId="77777777" w:rsidR="00FA589C" w:rsidRDefault="00BF3DA8">
            <w:pPr>
              <w:keepNext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Lietuvos Respublikos sveikatos apsaugos </w:t>
            </w:r>
            <w:r>
              <w:rPr>
                <w:spacing w:val="-2"/>
                <w:sz w:val="22"/>
                <w:szCs w:val="22"/>
                <w:lang w:eastAsia="lt-LT"/>
              </w:rPr>
              <w:t>ministerija</w:t>
            </w:r>
            <w:r>
              <w:rPr>
                <w:sz w:val="22"/>
                <w:szCs w:val="22"/>
                <w:lang w:eastAsia="lt-LT"/>
              </w:rPr>
              <w:t>,</w:t>
            </w:r>
            <w:r>
              <w:rPr>
                <w:strike/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valstybės įmonė Registrų centras </w:t>
            </w:r>
          </w:p>
        </w:tc>
      </w:tr>
      <w:tr w:rsidR="00FA589C" w14:paraId="19BAB6A5" w14:textId="77777777">
        <w:trPr>
          <w:trHeight w:val="23"/>
        </w:trPr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D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E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9F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2.3. </w:t>
            </w:r>
            <w:r>
              <w:rPr>
                <w:sz w:val="22"/>
                <w:szCs w:val="22"/>
                <w:lang w:eastAsia="lt-LT"/>
              </w:rPr>
              <w:t>Diegti IRT sprendinius, didinančius viešojo valdymo procesų atvirumą ir skatinančius piliečius aktyviau juose dalyvauti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0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teisės </w:t>
            </w:r>
            <w:r>
              <w:rPr>
                <w:sz w:val="22"/>
                <w:szCs w:val="22"/>
                <w:lang w:eastAsia="lt-LT"/>
              </w:rPr>
              <w:t>aktų projektai, dėl kurių gyventojai elektroninėmis priemonėmis pateikė rengėjams pasiūlymų (visų teisės aktų projektų procentais)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1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2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3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4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Lietuvos Respublikos Seimo kanceliarija </w:t>
            </w:r>
          </w:p>
        </w:tc>
      </w:tr>
      <w:tr w:rsidR="00FA589C" w14:paraId="19BAB6AE" w14:textId="77777777">
        <w:trPr>
          <w:trHeight w:val="23"/>
        </w:trPr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6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7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8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9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gyventojai, kurie dalyvauja elektroninės demokratijos procesuose (visų </w:t>
            </w:r>
            <w:r>
              <w:rPr>
                <w:sz w:val="22"/>
                <w:szCs w:val="22"/>
                <w:lang w:eastAsia="lt-LT"/>
              </w:rPr>
              <w:t>šalies 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A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B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C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D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</w:t>
            </w:r>
          </w:p>
        </w:tc>
      </w:tr>
      <w:tr w:rsidR="00FA589C" w14:paraId="19BAB6B7" w14:textId="77777777">
        <w:trPr>
          <w:trHeight w:val="23"/>
        </w:trPr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AF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0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1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2.4. Plėtoti transporto ir erdviniams duomenims tvarkyti skirtas elektronines paslaugas ir IRT produktus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2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sukurtos transporto ir erdviniams duomenims tvarkyti skirtos elektroninės paslaugos </w:t>
            </w:r>
            <w:r>
              <w:rPr>
                <w:sz w:val="22"/>
                <w:szCs w:val="22"/>
                <w:lang w:eastAsia="lt-LT"/>
              </w:rPr>
              <w:t xml:space="preserve">ir IRT produktai </w:t>
            </w:r>
            <w:r>
              <w:rPr>
                <w:sz w:val="22"/>
                <w:szCs w:val="22"/>
                <w:lang w:eastAsia="lt-LT"/>
              </w:rPr>
              <w:lastRenderedPageBreak/>
              <w:t>(skaičius)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3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4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5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6" w14:textId="77777777" w:rsidR="00FA589C" w:rsidRDefault="00BF3DA8">
            <w:pPr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ministerija, valstybės įmonė Registrų centras,</w:t>
            </w:r>
            <w:r>
              <w:rPr>
                <w:strike/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Lietuvos </w:t>
            </w:r>
            <w:r>
              <w:rPr>
                <w:sz w:val="22"/>
                <w:szCs w:val="22"/>
                <w:lang w:eastAsia="lt-LT"/>
              </w:rPr>
              <w:lastRenderedPageBreak/>
              <w:t>Respublikos žemės ūkio ministerija (toliau – Žemės ūkio ministerija), Lietuvos Respublikos aplinkos ministerija</w:t>
            </w:r>
          </w:p>
        </w:tc>
      </w:tr>
      <w:tr w:rsidR="00FA589C" w14:paraId="19BAB6C0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8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9" w14:textId="77777777" w:rsidR="00FA589C" w:rsidRDefault="00BF3DA8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3. Puoselėti IRT priemonėmis Lietuvos kultūrą ir lietuvių </w:t>
            </w:r>
            <w:r>
              <w:rPr>
                <w:iCs/>
                <w:sz w:val="22"/>
                <w:szCs w:val="22"/>
                <w:lang w:eastAsia="lt-LT"/>
              </w:rPr>
              <w:br/>
              <w:t xml:space="preserve">kalbą – </w:t>
            </w:r>
            <w:r>
              <w:rPr>
                <w:sz w:val="22"/>
                <w:szCs w:val="22"/>
                <w:lang w:eastAsia="lt-LT"/>
              </w:rPr>
              <w:t>kurti visuomenės poreikius atitinkantį kultūrinį ir lietuvių rašytinės ir sakytinės kalbos sąsajomis pagrįstą skaitmeninį turinį, plėtoti skaitmeninius produktus ir elektronines paslaugas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A" w14:textId="77777777" w:rsidR="00FA589C" w:rsidRDefault="00FA589C">
            <w:pPr>
              <w:keepNext/>
              <w:keepLines/>
              <w:rPr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B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gyventojai, kurie naudojasi su Lietuvos kultūros paveldu susijusiomis elektroninėmis paslaugomis (visų šalies 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C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D" w14:textId="77777777" w:rsidR="00FA589C" w:rsidRDefault="00BF3DA8">
            <w:pPr>
              <w:keepNext/>
              <w:keepLines/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15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E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BF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Kultūros ministerija</w:t>
            </w:r>
          </w:p>
        </w:tc>
      </w:tr>
      <w:tr w:rsidR="00FA589C" w14:paraId="19BAB6C9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1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2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3" w14:textId="77777777" w:rsidR="00FA589C" w:rsidRDefault="00FA589C">
            <w:pPr>
              <w:keepNext/>
              <w:keepLines/>
              <w:rPr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4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gyventojai, kurie naudojasi su lietuvių kalba susijusiomis elektroninėmis paslaugomis </w:t>
            </w:r>
            <w:r>
              <w:rPr>
                <w:sz w:val="22"/>
                <w:szCs w:val="22"/>
                <w:lang w:eastAsia="lt-LT"/>
              </w:rPr>
              <w:t>(visų šalies gyventojų procentais)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5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6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7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8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Valstybinė lietuvių kalbos komisija </w:t>
            </w:r>
          </w:p>
        </w:tc>
      </w:tr>
      <w:tr w:rsidR="00FA589C" w14:paraId="19BAB6D2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A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B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C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3.1. S</w:t>
            </w:r>
            <w:r>
              <w:rPr>
                <w:sz w:val="22"/>
                <w:szCs w:val="22"/>
                <w:lang w:eastAsia="lt-LT"/>
              </w:rPr>
              <w:t xml:space="preserve">kaitmeninti Lietuvos kultūros paveldo objektus ir jų pagrindu plėtoti viešai </w:t>
            </w:r>
            <w:r>
              <w:rPr>
                <w:sz w:val="22"/>
                <w:szCs w:val="22"/>
                <w:lang w:eastAsia="lt-LT"/>
              </w:rPr>
              <w:lastRenderedPageBreak/>
              <w:t xml:space="preserve">prieinamus skaitmeninius produktus ir elektronines paslaugas, </w:t>
            </w:r>
            <w:r>
              <w:rPr>
                <w:iCs/>
                <w:sz w:val="22"/>
                <w:szCs w:val="22"/>
                <w:lang w:eastAsia="lt-LT"/>
              </w:rPr>
              <w:t xml:space="preserve">siekti, kad suskaitmeninti Lietuvos kultūros paveldo objektai būtų išsaugomi ilgai, o jų sklaida Lietuvoje ir </w:t>
            </w:r>
            <w:r>
              <w:rPr>
                <w:iCs/>
                <w:sz w:val="22"/>
                <w:szCs w:val="22"/>
                <w:lang w:eastAsia="lt-LT"/>
              </w:rPr>
              <w:br/>
              <w:t>ES – vienoda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D" w14:textId="77777777" w:rsidR="00FA589C" w:rsidRDefault="00BF3DA8">
            <w:pPr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Europos skaitmeninėje bibliotekoje „Europeana“ prieinamų suskaitmenintų kultūros </w:t>
            </w:r>
            <w:r>
              <w:rPr>
                <w:sz w:val="22"/>
                <w:szCs w:val="22"/>
                <w:lang w:eastAsia="lt-LT"/>
              </w:rPr>
              <w:lastRenderedPageBreak/>
              <w:t>paveldo objektų iš Lietuvos skaičius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E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47 756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CF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138 742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0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276 372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1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Kultūros ministerija, Švietimo ir mokslo ministerija</w:t>
            </w:r>
          </w:p>
        </w:tc>
      </w:tr>
      <w:tr w:rsidR="00FA589C" w14:paraId="19BAB6DB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3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4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5" w14:textId="77777777" w:rsidR="00FA589C" w:rsidRDefault="00BF3DA8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3.2. </w:t>
            </w:r>
            <w:r>
              <w:rPr>
                <w:sz w:val="22"/>
                <w:szCs w:val="22"/>
                <w:lang w:eastAsia="lt-LT"/>
              </w:rPr>
              <w:t>Kurti ir plėtoti viešai prieinamus kalbos ir raštijos išteklius ir paslaugas, diegti lietuvių kalbos technologijas ir skaitmeninius produktus į IRT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6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sukurti ir viešai prieinami lietuvių </w:t>
            </w:r>
            <w:r>
              <w:rPr>
                <w:sz w:val="22"/>
                <w:szCs w:val="22"/>
                <w:lang w:eastAsia="lt-LT"/>
              </w:rPr>
              <w:t>kalbos ir raštijos ištekliai, priemonės, elektroninės paslaugos (visų į IRT įdiegtų produktų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7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8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9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A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Valstybinė lietuvių kalbos komisija</w:t>
            </w:r>
          </w:p>
        </w:tc>
      </w:tr>
      <w:tr w:rsidR="00FA589C" w14:paraId="19BAB6E4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C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D" w14:textId="77777777" w:rsidR="00FA589C" w:rsidRDefault="00BF3DA8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4. Skatinti naudoti </w:t>
            </w:r>
            <w:r>
              <w:rPr>
                <w:sz w:val="22"/>
                <w:szCs w:val="22"/>
                <w:lang w:eastAsia="lt-LT"/>
              </w:rPr>
              <w:t>IRT verslui plėtoti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E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DF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įmonės, kurios parduoda prekes ar paslaugas elektroniniais </w:t>
            </w:r>
            <w:r>
              <w:rPr>
                <w:sz w:val="22"/>
                <w:szCs w:val="22"/>
                <w:lang w:eastAsia="lt-LT"/>
              </w:rPr>
              <w:t>tinklais (visų šalies įmonių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0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1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2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45 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3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ministerija, Lietuvos Respublikos ūkio ministerija (toliau – Ūkio ministerija)</w:t>
            </w:r>
          </w:p>
        </w:tc>
      </w:tr>
      <w:tr w:rsidR="00FA589C" w14:paraId="19BAB6ED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5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6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7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4.1. Didinti smulkiojo ir vidutinio verslo įmonių veiklos efektyvumą ir konkurencingumą – skatinti jas diegti </w:t>
            </w:r>
            <w:r>
              <w:rPr>
                <w:iCs/>
                <w:sz w:val="22"/>
                <w:szCs w:val="22"/>
                <w:lang w:eastAsia="lt-LT"/>
              </w:rPr>
              <w:t>ir naudoti IRT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8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pardavimo e. tinklais apimtis (visos apyvartos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9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A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B" w14:textId="77777777" w:rsidR="00FA589C" w:rsidRDefault="00BF3DA8">
            <w:pPr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 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C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ministerija, Ūkio ministerija</w:t>
            </w:r>
          </w:p>
        </w:tc>
      </w:tr>
      <w:tr w:rsidR="00FA589C" w14:paraId="19BAB6F6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E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EF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0" w14:textId="77777777" w:rsidR="00FA589C" w:rsidRDefault="00BF3DA8">
            <w:pPr>
              <w:keepNext/>
              <w:keepLines/>
              <w:rPr>
                <w:iCs/>
                <w:strike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4.2. </w:t>
            </w:r>
            <w:r>
              <w:rPr>
                <w:iCs/>
                <w:spacing w:val="-2"/>
                <w:sz w:val="22"/>
                <w:szCs w:val="22"/>
                <w:lang w:eastAsia="lt-LT"/>
              </w:rPr>
              <w:t xml:space="preserve">Tobulinti informacinės visuomenės paslaugų teisinį reguliavimą – sudaryti naujų verslo galimybių ir </w:t>
            </w:r>
            <w:r>
              <w:rPr>
                <w:iCs/>
                <w:spacing w:val="-2"/>
                <w:sz w:val="22"/>
                <w:szCs w:val="22"/>
                <w:lang w:eastAsia="lt-LT"/>
              </w:rPr>
              <w:lastRenderedPageBreak/>
              <w:t xml:space="preserve">sąlygas geriau ginti </w:t>
            </w:r>
            <w:r>
              <w:rPr>
                <w:iCs/>
                <w:spacing w:val="-2"/>
                <w:sz w:val="22"/>
                <w:szCs w:val="22"/>
                <w:lang w:eastAsia="lt-LT"/>
              </w:rPr>
              <w:t>gyventojų ir įmonių teises skaitmeninėje erdvėje, taip prisidėti prie sėkmingos ES bendrosios skaitmeninės rinkos plėtros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1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gyventojai, pirkę (užsisakę) prekes ar paslaugas internetu iš kitų valstybių (visų Lietuvos gyventojų </w:t>
            </w:r>
            <w:r>
              <w:rPr>
                <w:sz w:val="22"/>
                <w:szCs w:val="22"/>
                <w:lang w:eastAsia="lt-LT"/>
              </w:rPr>
              <w:lastRenderedPageBreak/>
              <w:t>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2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3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4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5" w14:textId="77777777" w:rsidR="00FA589C" w:rsidRDefault="00BF3DA8">
            <w:pPr>
              <w:keepNext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</w:t>
            </w:r>
            <w:r>
              <w:rPr>
                <w:sz w:val="22"/>
                <w:szCs w:val="22"/>
                <w:lang w:eastAsia="lt-LT"/>
              </w:rPr>
              <w:t xml:space="preserve"> ministerija, Ūkio ministerija</w:t>
            </w:r>
          </w:p>
        </w:tc>
      </w:tr>
      <w:tr w:rsidR="00FA589C" w14:paraId="19BAB6FF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7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8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9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A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gyventojai, pirkę (užsisakę) prekes ar paslaugas internetu (visų Lietuvos 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B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C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50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D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70 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6FE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ministerija, Ūkio ministerija</w:t>
            </w:r>
          </w:p>
        </w:tc>
      </w:tr>
      <w:tr w:rsidR="00FA589C" w14:paraId="19BAB708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0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1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2" w14:textId="77777777" w:rsidR="00FA589C" w:rsidRDefault="00BF3DA8">
            <w:pPr>
              <w:keepNext/>
              <w:keepLines/>
              <w:tabs>
                <w:tab w:val="num" w:pos="1134"/>
                <w:tab w:val="left" w:pos="1418"/>
              </w:tabs>
              <w:rPr>
                <w:i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4.3. Sudaryti ūkio subjektams sąlygas naudoti valstybės institucijų </w:t>
            </w:r>
            <w:r>
              <w:rPr>
                <w:sz w:val="22"/>
                <w:szCs w:val="22"/>
                <w:lang w:eastAsia="lt-LT"/>
              </w:rPr>
              <w:t>tvarkomą informaciją ir skatinti juos kurti naujus elektroninius produktus ir paslaugas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3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įmonės, kurios naudoja valstybės institucijų informaciją savo komercinei veiklai (visų Lietuvos įmonių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4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trike/>
                <w:sz w:val="22"/>
                <w:szCs w:val="22"/>
                <w:lang w:eastAsia="lt-LT"/>
              </w:rPr>
              <w:t>–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5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6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66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7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ministerija, Vidaus reikalų minis</w:t>
            </w:r>
            <w:r>
              <w:rPr>
                <w:sz w:val="22"/>
                <w:szCs w:val="22"/>
                <w:lang w:eastAsia="lt-LT"/>
              </w:rPr>
              <w:t xml:space="preserve">terija </w:t>
            </w:r>
          </w:p>
        </w:tc>
      </w:tr>
      <w:tr w:rsidR="00FA589C" w14:paraId="19BAB711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9" w14:textId="77777777" w:rsidR="00FA589C" w:rsidRDefault="00FA589C">
            <w:pPr>
              <w:rPr>
                <w:iCs/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A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5. Užtikrinti geografiškai tolygią sparčiojo plačiajuosčio ryšio infrastruktūros plėtrą </w:t>
            </w:r>
            <w:r>
              <w:rPr>
                <w:sz w:val="22"/>
                <w:szCs w:val="22"/>
                <w:lang w:eastAsia="lt-LT"/>
              </w:rPr>
              <w:t>ir skatinti naudotis interneto</w:t>
            </w:r>
            <w:r>
              <w:rPr>
                <w:strike/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paslaugomis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B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C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namų ūkiai, kurie naudojasi 100 Mbps ir spartesniu plačiajuosčio interneto ryšiu (visų Lietuvos namų ūkių </w:t>
            </w:r>
            <w:r>
              <w:rPr>
                <w:iCs/>
                <w:sz w:val="22"/>
                <w:szCs w:val="22"/>
                <w:lang w:eastAsia="lt-LT"/>
              </w:rPr>
              <w:t>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D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6 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E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0F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50 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0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</w:t>
            </w:r>
          </w:p>
        </w:tc>
      </w:tr>
      <w:tr w:rsidR="00FA589C" w14:paraId="19BAB71A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2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3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4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5.1. Plėtoti sparčiojo plačiajuosčio ryšio infrastruktūrą vietovėse, kuriose rinka negali </w:t>
            </w:r>
            <w:r>
              <w:rPr>
                <w:iCs/>
                <w:sz w:val="22"/>
                <w:szCs w:val="22"/>
                <w:lang w:eastAsia="lt-LT"/>
              </w:rPr>
              <w:lastRenderedPageBreak/>
              <w:t>užtikrinti šios infrastruktūros plėtros ir elektroninių ryšių paslaugų teikimo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5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lastRenderedPageBreak/>
              <w:t xml:space="preserve">namų ūkiai, esantys šalies </w:t>
            </w:r>
            <w:r>
              <w:rPr>
                <w:iCs/>
                <w:sz w:val="22"/>
                <w:szCs w:val="22"/>
                <w:lang w:eastAsia="lt-LT"/>
              </w:rPr>
              <w:t xml:space="preserve">teritorijoje, kurioje veikia sparčiojo interneto (30 Mbps ir </w:t>
            </w:r>
            <w:r>
              <w:rPr>
                <w:iCs/>
                <w:sz w:val="22"/>
                <w:szCs w:val="22"/>
                <w:lang w:eastAsia="lt-LT"/>
              </w:rPr>
              <w:lastRenderedPageBreak/>
              <w:t>daugiau) ryšys (visų Lietuvos namų ūkių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6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73,3*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7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8" w14:textId="77777777" w:rsidR="00FA589C" w:rsidRDefault="00BF3DA8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9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Susisiekimo ministerija, Žemės ūkio ministerija</w:t>
            </w:r>
          </w:p>
        </w:tc>
      </w:tr>
      <w:tr w:rsidR="00FA589C" w14:paraId="19BAB723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B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C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D" w14:textId="77777777" w:rsidR="00FA589C" w:rsidRDefault="00BF3DA8">
            <w:pPr>
              <w:tabs>
                <w:tab w:val="num" w:pos="1134"/>
                <w:tab w:val="left" w:pos="1418"/>
              </w:tabs>
              <w:spacing w:line="276" w:lineRule="auto"/>
              <w:rPr>
                <w:rFonts w:eastAsia="Calibri"/>
                <w:iCs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5.2. Skatinti konkurenciją plačiajuosčio ryšio rinkoje ir naudojimąsi </w:t>
            </w:r>
            <w:r>
              <w:rPr>
                <w:rFonts w:eastAsia="Calibri"/>
                <w:sz w:val="22"/>
                <w:szCs w:val="22"/>
                <w:lang w:eastAsia="lt-LT"/>
              </w:rPr>
              <w:t>plačiajuosčio ryšio paslaugomis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E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plačiajuosčio interneto prieigos skvarba (abonentų skaičius 100 gyventojų)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1F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31,7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0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1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65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2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Susisiekimo ministerija, Ryšių reguliavimo tarnyba </w:t>
            </w:r>
          </w:p>
        </w:tc>
      </w:tr>
      <w:tr w:rsidR="00FA589C" w14:paraId="19BAB72C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4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5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6" w14:textId="77777777" w:rsidR="00FA589C" w:rsidRDefault="00BF3DA8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5.3. Atnaujinti ir plėtoti viešosios interneto prieigos infrastruktūrą viešosiose </w:t>
            </w:r>
            <w:r>
              <w:rPr>
                <w:iCs/>
                <w:sz w:val="22"/>
                <w:szCs w:val="22"/>
                <w:lang w:eastAsia="lt-LT"/>
              </w:rPr>
              <w:t>bibliotekose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7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viešosios interneto prieigos vietos, naudojančios 30 Mbps ir spartesnį interneto ryšį (visų viešųjų interneto prieigos vietų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8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–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9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50 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A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B" w14:textId="77777777" w:rsidR="00FA589C" w:rsidRDefault="00BF3DA8">
            <w:pPr>
              <w:keepNext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Kultūros ministerija, Susisiekimo ministerija </w:t>
            </w:r>
          </w:p>
        </w:tc>
      </w:tr>
      <w:tr w:rsidR="00FA589C" w14:paraId="19BAB735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D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E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6. Užtikrinti saugios, patikimos, sąveikios IRT </w:t>
            </w:r>
            <w:r>
              <w:rPr>
                <w:iCs/>
                <w:sz w:val="22"/>
                <w:szCs w:val="22"/>
                <w:lang w:eastAsia="lt-LT"/>
              </w:rPr>
              <w:t>infrastruktūros plėtrą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2F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0" w14:textId="77777777" w:rsidR="00FA589C" w:rsidRDefault="00BF3DA8">
            <w:pPr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gyventojai, kurie pasitiki elektroninio bendravimo su valstybės institucijomis saugumu (visų Lietuvos gyventojų, kurie lankėsi valstybės institucijų interneto svetainėse,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1" w14:textId="77777777" w:rsidR="00FA589C" w:rsidRDefault="00BF3DA8">
            <w:pPr>
              <w:keepNext/>
              <w:jc w:val="center"/>
              <w:outlineLvl w:val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2" w14:textId="77777777" w:rsidR="00FA589C" w:rsidRDefault="00BF3DA8">
            <w:pPr>
              <w:keepNext/>
              <w:jc w:val="center"/>
              <w:outlineLvl w:val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63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3" w14:textId="77777777" w:rsidR="00FA589C" w:rsidRDefault="00BF3DA8">
            <w:pPr>
              <w:keepNext/>
              <w:jc w:val="center"/>
              <w:outlineLvl w:val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4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Vidaus reikalų ministerija, Ryšių </w:t>
            </w:r>
            <w:r>
              <w:rPr>
                <w:sz w:val="22"/>
                <w:szCs w:val="22"/>
                <w:lang w:eastAsia="lt-LT"/>
              </w:rPr>
              <w:t>reguliavimo tarnyba</w:t>
            </w:r>
            <w:r>
              <w:rPr>
                <w:strike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FA589C" w14:paraId="19BAB73E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6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7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8" w14:textId="77777777" w:rsidR="00FA589C" w:rsidRDefault="00BF3DA8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6.1. S</w:t>
            </w:r>
            <w:r>
              <w:rPr>
                <w:sz w:val="22"/>
                <w:szCs w:val="22"/>
                <w:lang w:eastAsia="lt-LT"/>
              </w:rPr>
              <w:t xml:space="preserve">katinti gyventojus naudoti asmens tapatybės nustatymo skaitmeninėje erdvėje priemones, plėtoti asmens duomenų </w:t>
            </w:r>
            <w:r>
              <w:rPr>
                <w:sz w:val="22"/>
                <w:szCs w:val="22"/>
                <w:lang w:eastAsia="lt-LT"/>
              </w:rPr>
              <w:lastRenderedPageBreak/>
              <w:t>apsaugos skaitmeninėje erdvėje sprendinius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9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gyventojai, atnaujinę į asmens tapatybės korteles įrašytus sertifikatus </w:t>
            </w:r>
            <w:r>
              <w:rPr>
                <w:sz w:val="22"/>
                <w:szCs w:val="22"/>
                <w:lang w:eastAsia="lt-LT"/>
              </w:rPr>
              <w:t xml:space="preserve">(visų suaugusių Lietuvos </w:t>
            </w:r>
            <w:r>
              <w:rPr>
                <w:sz w:val="22"/>
                <w:szCs w:val="22"/>
                <w:lang w:eastAsia="lt-LT"/>
              </w:rPr>
              <w:lastRenderedPageBreak/>
              <w:t>gyventojų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A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B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C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D" w14:textId="77777777" w:rsidR="00FA589C" w:rsidRDefault="00BF3DA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Vidaus reikalų ministerija, Teisingumo ministerija, Susisiekimo </w:t>
            </w:r>
            <w:r>
              <w:rPr>
                <w:sz w:val="22"/>
                <w:szCs w:val="22"/>
                <w:lang w:eastAsia="lt-LT"/>
              </w:rPr>
              <w:lastRenderedPageBreak/>
              <w:t xml:space="preserve">ministerija </w:t>
            </w:r>
          </w:p>
        </w:tc>
      </w:tr>
      <w:tr w:rsidR="00FA589C" w14:paraId="19BAB747" w14:textId="77777777">
        <w:trPr>
          <w:trHeight w:val="23"/>
        </w:trPr>
        <w:tc>
          <w:tcPr>
            <w:tcW w:w="2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3F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0" w14:textId="77777777" w:rsidR="00FA589C" w:rsidRDefault="00FA589C">
            <w:pPr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1" w14:textId="77777777" w:rsidR="00FA589C" w:rsidRDefault="00BF3DA8">
            <w:pPr>
              <w:rPr>
                <w:iCs/>
                <w:strike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6.2. </w:t>
            </w:r>
            <w:r>
              <w:rPr>
                <w:sz w:val="22"/>
                <w:szCs w:val="22"/>
                <w:lang w:eastAsia="lt-LT"/>
              </w:rPr>
              <w:t xml:space="preserve">Užtikrinti valstybės institucijų bendro naudojimo IRT infrastruktūros optimizavimą, valstybės informacinių sistemų </w:t>
            </w:r>
            <w:r>
              <w:rPr>
                <w:sz w:val="22"/>
                <w:szCs w:val="22"/>
                <w:lang w:eastAsia="lt-LT"/>
              </w:rPr>
              <w:t>ir registrų automatinę sąveiką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2" w14:textId="77777777" w:rsidR="00FA589C" w:rsidRDefault="00BF3DA8">
            <w:pPr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valstybės ir savivaldybių institucijos ir įstaigos, kurios naudojasi Valstybės informacinių išteklių sąveikumo platformos paslaugomis (visų šių įstaigų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3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4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5" w14:textId="77777777" w:rsidR="00FA589C" w:rsidRDefault="00BF3DA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48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6" w14:textId="77777777" w:rsidR="00FA589C" w:rsidRDefault="00BF3DA8">
            <w:pPr>
              <w:rPr>
                <w:strike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visos ministerijos ir kitos institucijos, kurios yra</w:t>
            </w:r>
            <w:r>
              <w:rPr>
                <w:sz w:val="22"/>
                <w:szCs w:val="22"/>
                <w:lang w:eastAsia="lt-LT"/>
              </w:rPr>
              <w:t xml:space="preserve"> registrų arba valstybės informacinių sistemų valdytojos ir (ar) tvarkytojos</w:t>
            </w:r>
          </w:p>
        </w:tc>
      </w:tr>
      <w:tr w:rsidR="00FA589C" w14:paraId="19BAB750" w14:textId="77777777">
        <w:trPr>
          <w:trHeight w:val="23"/>
        </w:trPr>
        <w:tc>
          <w:tcPr>
            <w:tcW w:w="22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8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9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A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B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naudojami valstybės registrai ir informacinės sistemos, įdiegusios automatinę sąveiką (visų šių registrų ir sistemų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C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–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D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85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E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95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4F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visos ministerijos ir kitos </w:t>
            </w:r>
            <w:r>
              <w:rPr>
                <w:sz w:val="22"/>
                <w:szCs w:val="22"/>
                <w:lang w:eastAsia="lt-LT"/>
              </w:rPr>
              <w:t>institucijos, kurios yra registrų arba valstybės informacinių sistemų valdytojos ir (ar) tvarkytojos</w:t>
            </w:r>
          </w:p>
        </w:tc>
      </w:tr>
      <w:tr w:rsidR="00FA589C" w14:paraId="19BAB759" w14:textId="77777777">
        <w:trPr>
          <w:trHeight w:val="23"/>
        </w:trPr>
        <w:tc>
          <w:tcPr>
            <w:tcW w:w="22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51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142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52" w14:textId="77777777" w:rsidR="00FA589C" w:rsidRDefault="00FA589C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53" w14:textId="77777777" w:rsidR="00FA589C" w:rsidRDefault="00BF3DA8">
            <w:pPr>
              <w:keepNext/>
              <w:keepLines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6.3. </w:t>
            </w:r>
            <w:r>
              <w:rPr>
                <w:sz w:val="22"/>
                <w:szCs w:val="22"/>
                <w:lang w:eastAsia="lt-LT"/>
              </w:rPr>
              <w:t>Užtikrinti ypač didelės svarbos informacinės infrastruktūros ir valstybės informacinių išteklių apsaugą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54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ypač didelės svarbos saugią infrastruktūrą </w:t>
            </w:r>
            <w:r>
              <w:rPr>
                <w:sz w:val="22"/>
                <w:szCs w:val="22"/>
                <w:lang w:eastAsia="lt-LT"/>
              </w:rPr>
              <w:t>naudojantys valstybės informaciniai ištekliai (visų šių išteklių procentais)</w:t>
            </w:r>
          </w:p>
        </w:tc>
        <w:tc>
          <w:tcPr>
            <w:tcW w:w="11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55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–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56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</w:t>
            </w:r>
          </w:p>
        </w:tc>
        <w:tc>
          <w:tcPr>
            <w:tcW w:w="12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57" w14:textId="77777777" w:rsidR="00FA589C" w:rsidRDefault="00BF3DA8">
            <w:pPr>
              <w:keepNext/>
              <w:keepLine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100</w:t>
            </w:r>
          </w:p>
        </w:tc>
        <w:tc>
          <w:tcPr>
            <w:tcW w:w="19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AB758" w14:textId="77777777" w:rsidR="00FA589C" w:rsidRDefault="00BF3DA8"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Vidaus reikalų ministerija, Krašto apsaugos ministerija</w:t>
            </w:r>
          </w:p>
        </w:tc>
      </w:tr>
    </w:tbl>
    <w:p w14:paraId="19BAB75A" w14:textId="77777777" w:rsidR="00FA589C" w:rsidRDefault="00FA589C">
      <w:pPr>
        <w:rPr>
          <w:sz w:val="10"/>
          <w:szCs w:val="10"/>
        </w:rPr>
      </w:pPr>
    </w:p>
    <w:p w14:paraId="19BAB75B" w14:textId="77777777" w:rsidR="00FA589C" w:rsidRDefault="00BF3DA8">
      <w:pPr>
        <w:rPr>
          <w:sz w:val="20"/>
          <w:lang w:eastAsia="lt-LT"/>
        </w:rPr>
      </w:pPr>
      <w:r>
        <w:rPr>
          <w:sz w:val="20"/>
          <w:lang w:eastAsia="lt-LT"/>
        </w:rPr>
        <w:t>* 2013 metų rodiklis.</w:t>
      </w:r>
    </w:p>
    <w:p w14:paraId="19BAB75C" w14:textId="77777777" w:rsidR="00FA589C" w:rsidRDefault="00FA589C">
      <w:pPr>
        <w:tabs>
          <w:tab w:val="left" w:pos="-426"/>
        </w:tabs>
        <w:rPr>
          <w:lang w:eastAsia="lt-LT"/>
        </w:rPr>
      </w:pPr>
    </w:p>
    <w:p w14:paraId="19BAB75D" w14:textId="77777777" w:rsidR="00FA589C" w:rsidRDefault="00FA589C">
      <w:pPr>
        <w:tabs>
          <w:tab w:val="left" w:pos="-426"/>
        </w:tabs>
        <w:rPr>
          <w:lang w:eastAsia="lt-LT"/>
        </w:rPr>
      </w:pPr>
    </w:p>
    <w:p w14:paraId="19BAB75E" w14:textId="77777777" w:rsidR="00FA589C" w:rsidRDefault="00FA589C">
      <w:pPr>
        <w:tabs>
          <w:tab w:val="left" w:pos="-426"/>
        </w:tabs>
        <w:rPr>
          <w:lang w:eastAsia="lt-LT"/>
        </w:rPr>
      </w:pPr>
    </w:p>
    <w:p w14:paraId="19BAB75F" w14:textId="77777777" w:rsidR="00FA589C" w:rsidRDefault="00BF3DA8">
      <w:pPr>
        <w:tabs>
          <w:tab w:val="left" w:pos="6237"/>
        </w:tabs>
        <w:jc w:val="center"/>
        <w:rPr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sectPr w:rsidR="00FA589C">
      <w:pgSz w:w="16838" w:h="11906" w:orient="landscape" w:code="9"/>
      <w:pgMar w:top="1134" w:right="1134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AB764" w14:textId="77777777" w:rsidR="00FA589C" w:rsidRDefault="00BF3DA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9BAB765" w14:textId="77777777" w:rsidR="00FA589C" w:rsidRDefault="00BF3DA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B762" w14:textId="77777777" w:rsidR="00FA589C" w:rsidRDefault="00BF3DA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9BAB763" w14:textId="77777777" w:rsidR="00FA589C" w:rsidRDefault="00BF3DA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B76E" w14:textId="77777777" w:rsidR="00FA589C" w:rsidRDefault="00BF3DA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9BAB76F" w14:textId="77777777" w:rsidR="00FA589C" w:rsidRDefault="00FA589C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B770" w14:textId="77777777" w:rsidR="00FA589C" w:rsidRDefault="00BF3DA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9BAB771" w14:textId="77777777" w:rsidR="00FA589C" w:rsidRDefault="00FA589C">
    <w:pPr>
      <w:tabs>
        <w:tab w:val="center" w:pos="4153"/>
        <w:tab w:val="right" w:pos="8306"/>
      </w:tabs>
      <w:rPr>
        <w:lang w:eastAsia="lt-LT"/>
      </w:rPr>
    </w:pPr>
  </w:p>
  <w:p w14:paraId="19BAB772" w14:textId="77777777" w:rsidR="00FA589C" w:rsidRDefault="00FA589C">
    <w:pPr>
      <w:tabs>
        <w:tab w:val="center" w:pos="4153"/>
        <w:tab w:val="right" w:pos="8306"/>
      </w:tabs>
      <w:rPr>
        <w:lang w:eastAsia="lt-LT"/>
      </w:rPr>
    </w:pPr>
  </w:p>
  <w:p w14:paraId="19BAB773" w14:textId="77777777" w:rsidR="00FA589C" w:rsidRDefault="00FA589C">
    <w:pPr>
      <w:tabs>
        <w:tab w:val="center" w:pos="4153"/>
        <w:tab w:val="right" w:pos="8306"/>
      </w:tabs>
      <w:jc w:val="center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BF3DA8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BAB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2344</Words>
  <Characters>17509</Characters>
  <Application>Microsoft Office Word</Application>
  <DocSecurity>0</DocSecurity>
  <Lines>145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19814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2015-10-01T10:35:00Z</dcterms:created>
  <dc:creator>lrvk</dc:creator>
  <lastModifiedBy>BODIN Aušra</lastModifiedBy>
  <lastPrinted>2015-09-29T06:18:00Z</lastPrinted>
  <dcterms:modified xsi:type="dcterms:W3CDTF">2015-10-01T10:47:00Z</dcterms:modified>
  <revision>3</revision>
</coreProperties>
</file>