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e905d76bf9b40909177405367948298"/>
        <w:lock w:val="sdtLocked"/>
        <w:richText/>
      </w:sdtPr>
      <w:sdtContent>
        <w:tbl>
          <w:tblPr>
            <w:tblW w:w="9558" w:type="dxa"/>
            <w:jc w:val="center"/>
            <w:tblLayout w:type="fixed"/>
            <w:tblLook w:val="0000" w:firstRow="0" w:lastRow="0" w:firstColumn="0" w:lastColumn="0" w:noHBand="0" w:noVBand="0"/>
          </w:tblPr>
          <w:tblGrid>
            <w:gridCol w:w="9558"/>
          </w:tblGrid>
          <w:tr w14:paraId="0FC26133" w14:textId="77777777">
            <w:trPr>
              <w:trHeight w:val="284"/>
              <w:jc w:val="center"/>
            </w:trPr>
            <w:tc>
              <w:tcPr>
                <w:tcW w:w="9558" w:type="dxa"/>
                <w:vAlign w:val="bottom"/>
              </w:tcPr>
              <w:p w14:paraId="066EABC2" w14:textId="77777777">
                <w:pPr>
                  <w:tabs>
                    <w:tab w:val="center" w:pos="4153"/>
                    <w:tab w:val="right" w:pos="8306"/>
                  </w:tabs>
                  <w:rPr>
                    <w:rFonts w:ascii="Arial" w:hAnsi="Arial"/>
                    <w:sz w:val="22"/>
                    <w:lang w:val="en-US"/>
                  </w:rPr>
                </w:pPr>
              </w:p>
              <w:p w14:paraId="56C99E15" w14:textId="77777777">
                <w:pPr>
                  <w:jc w:val="right"/>
                  <w:rPr>
                    <w:b/>
                    <w:sz w:val="20"/>
                  </w:rPr>
                </w:pPr>
              </w:p>
            </w:tc>
          </w:tr>
          <w:tr w14:paraId="17F9A82A" w14:textId="77777777">
            <w:trPr>
              <w:trHeight w:val="284"/>
              <w:jc w:val="center"/>
            </w:trPr>
            <w:tc>
              <w:tcPr>
                <w:tcW w:w="9558" w:type="dxa"/>
                <w:vAlign w:val="bottom"/>
              </w:tcPr>
              <w:p w14:paraId="2F17A5A3" w14:textId="77777777">
                <w:pPr>
                  <w:rPr>
                    <w:b/>
                    <w:caps/>
                    <w:szCs w:val="24"/>
                  </w:rPr>
                </w:pPr>
              </w:p>
              <w:p w14:paraId="393A3C53" w14:textId="77777777">
                <w:pPr>
                  <w:jc w:val="center"/>
                  <w:rPr>
                    <w:b/>
                    <w:caps/>
                    <w:szCs w:val="24"/>
                  </w:rPr>
                </w:pPr>
                <w:r>
                  <w:rPr>
                    <w:spacing w:val="20"/>
                    <w:sz w:val="16"/>
                    <w:szCs w:val="24"/>
                  </w:rPr>
                  <w:object w:dxaOrig="931" w:dyaOrig="1036" w14:anchorId="568401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403395" r:id="rId8"/>
                  </w:object>
                </w:r>
              </w:p>
              <w:p w14:paraId="0A291B64" w14:textId="77777777">
                <w:pPr>
                  <w:jc w:val="center"/>
                  <w:rPr>
                    <w:b/>
                    <w:caps/>
                    <w:szCs w:val="24"/>
                  </w:rPr>
                </w:pPr>
                <w:r>
                  <w:rPr>
                    <w:b/>
                    <w:caps/>
                    <w:szCs w:val="24"/>
                  </w:rPr>
                  <w:t xml:space="preserve">TELŠIŲ RAJONO SAVIVALDYBĖS </w:t>
                </w:r>
              </w:p>
              <w:p w14:paraId="660C79A2" w14:textId="77777777">
                <w:pPr>
                  <w:jc w:val="center"/>
                  <w:rPr>
                    <w:b/>
                    <w:caps/>
                    <w:szCs w:val="24"/>
                  </w:rPr>
                </w:pPr>
                <w:r>
                  <w:rPr>
                    <w:b/>
                    <w:caps/>
                    <w:szCs w:val="24"/>
                  </w:rPr>
                  <w:t>TARYBA</w:t>
                </w:r>
              </w:p>
              <w:p w14:paraId="07A31F6F" w14:textId="77777777">
                <w:pPr>
                  <w:rPr>
                    <w:b/>
                    <w:caps/>
                    <w:szCs w:val="24"/>
                  </w:rPr>
                </w:pPr>
              </w:p>
            </w:tc>
          </w:tr>
          <w:tr w14:paraId="3EF2AA6B" w14:textId="77777777">
            <w:trPr>
              <w:trHeight w:val="284"/>
              <w:jc w:val="center"/>
            </w:trPr>
            <w:tc>
              <w:tcPr>
                <w:tcW w:w="9558" w:type="dxa"/>
                <w:vAlign w:val="bottom"/>
              </w:tcPr>
              <w:p w14:paraId="5FB507A2" w14:textId="77777777">
                <w:pPr>
                  <w:jc w:val="center"/>
                  <w:rPr>
                    <w:b/>
                    <w:caps/>
                    <w:szCs w:val="24"/>
                  </w:rPr>
                </w:pPr>
                <w:r>
                  <w:rPr>
                    <w:b/>
                    <w:caps/>
                    <w:szCs w:val="24"/>
                  </w:rPr>
                  <w:t>SPRENDIMAS</w:t>
                </w:r>
              </w:p>
            </w:tc>
          </w:tr>
          <w:tr w14:paraId="2680FFB5" w14:textId="77777777">
            <w:trPr>
              <w:trHeight w:val="284"/>
              <w:jc w:val="center"/>
            </w:trPr>
            <w:tc>
              <w:tcPr>
                <w:tcW w:w="9558" w:type="dxa"/>
                <w:vAlign w:val="bottom"/>
              </w:tcPr>
              <w:p w14:paraId="7E80992B" w14:textId="77777777">
                <w:pPr>
                  <w:tabs>
                    <w:tab w:val="left" w:pos="4709"/>
                  </w:tabs>
                  <w:jc w:val="center"/>
                  <w:rPr>
                    <w:b/>
                    <w:szCs w:val="24"/>
                  </w:rPr>
                </w:pPr>
                <w:r>
                  <w:rPr>
                    <w:b/>
                    <w:bCs/>
                    <w:szCs w:val="24"/>
                  </w:rPr>
                  <w:t>DĖL TELŠIŲ RAJONO SAVIVALDYBĖS TURTO INVESTAVIMO IR VIEŠOSIOS ĮSTAIGOS ŽEMAITIJOS VERSLO CENTRO DALININKO KAPITALO DIDINIMO</w:t>
                </w:r>
              </w:p>
            </w:tc>
          </w:tr>
          <w:tr w14:paraId="1D7863EE" w14:textId="77777777">
            <w:trPr>
              <w:trHeight w:val="284"/>
              <w:jc w:val="center"/>
            </w:trPr>
            <w:tc>
              <w:tcPr>
                <w:tcW w:w="9558" w:type="dxa"/>
                <w:vAlign w:val="bottom"/>
              </w:tcPr>
              <w:p w14:paraId="3DDE8A9C" w14:textId="77777777">
                <w:pPr>
                  <w:jc w:val="center"/>
                  <w:rPr>
                    <w:bCs/>
                    <w:szCs w:val="24"/>
                  </w:rPr>
                </w:pPr>
              </w:p>
            </w:tc>
          </w:tr>
          <w:tr w14:paraId="0F99D9E9" w14:textId="77777777">
            <w:trPr>
              <w:trHeight w:val="284"/>
              <w:jc w:val="center"/>
            </w:trPr>
            <w:tc>
              <w:tcPr>
                <w:tcW w:w="9558" w:type="dxa"/>
                <w:vAlign w:val="bottom"/>
              </w:tcPr>
              <w:p w14:paraId="2E9E7276" w14:textId="083742C9">
                <w:pPr>
                  <w:jc w:val="center"/>
                  <w:rPr>
                    <w:bCs/>
                    <w:szCs w:val="24"/>
                  </w:rPr>
                </w:pPr>
                <w:r>
                  <w:rPr>
                    <w:bCs/>
                    <w:szCs w:val="24"/>
                  </w:rPr>
                  <w:t>2026 m. birželio 25 d. Nr. T1-205</w:t>
                </w:r>
              </w:p>
            </w:tc>
          </w:tr>
          <w:tr w14:paraId="2D4FAE05" w14:textId="77777777">
            <w:trPr>
              <w:trHeight w:val="284"/>
              <w:jc w:val="center"/>
            </w:trPr>
            <w:tc>
              <w:tcPr>
                <w:tcW w:w="9558" w:type="dxa"/>
                <w:vAlign w:val="bottom"/>
              </w:tcPr>
              <w:p w14:paraId="1C49663C" w14:textId="77777777">
                <w:pPr>
                  <w:ind w:firstLine="62"/>
                  <w:jc w:val="center"/>
                  <w:rPr>
                    <w:bCs/>
                    <w:szCs w:val="24"/>
                  </w:rPr>
                </w:pPr>
                <w:r>
                  <w:rPr>
                    <w:bCs/>
                    <w:szCs w:val="24"/>
                  </w:rPr>
                  <w:t>Telšiai </w:t>
                </w:r>
              </w:p>
              <w:p w14:paraId="46E3D42D" w14:textId="77777777">
                <w:pPr>
                  <w:jc w:val="center"/>
                  <w:rPr>
                    <w:bCs/>
                    <w:szCs w:val="24"/>
                  </w:rPr>
                </w:pPr>
              </w:p>
            </w:tc>
          </w:tr>
        </w:tbl>
        <w:p w14:paraId="64D3D054" w14:textId="77777777">
          <w:pPr>
            <w:tabs>
              <w:tab w:val="left" w:pos="1276"/>
            </w:tabs>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418" w:header="0" w:footer="567" w:gutter="0"/>
              <w:cols w:space="1296"/>
              <w:titlePg/>
            </w:sectPr>
          </w:pPr>
        </w:p>
        <w:p w14:paraId="00D68C4D" w14:textId="77777777">
          <w:pPr>
            <w:tabs>
              <w:tab w:val="center" w:pos="4153"/>
              <w:tab w:val="right" w:pos="8306"/>
            </w:tabs>
            <w:rPr>
              <w:rFonts w:ascii="Arial" w:hAnsi="Arial"/>
              <w:sz w:val="22"/>
              <w:lang w:val="en-US"/>
            </w:rPr>
          </w:pPr>
        </w:p>
        <w:p w14:paraId="2CEC108A" w14:textId="77777777">
          <w:pPr>
            <w:tabs>
              <w:tab w:val="left" w:pos="709"/>
              <w:tab w:val="center" w:pos="4153"/>
              <w:tab w:val="right" w:pos="8306"/>
            </w:tabs>
            <w:jc w:val="both"/>
            <w:rPr>
              <w:szCs w:val="24"/>
            </w:rPr>
          </w:pPr>
        </w:p>
      </w:sdtContent>
    </w:sdt>
    <w:sdt>
      <w:sdtPr>
        <w:alias w:val="pastraipa"/>
        <w:tag w:val="part_3fd8e9e822914802be45ed92d6b2f556"/>
        <w:lock w:val="sdtLocked"/>
        <w:richText/>
      </w:sdtPr>
      <w:sdtContent>
        <w:p w14:paraId="774358CB" w14:textId="47723C94">
          <w:pPr>
            <w:tabs>
              <w:tab w:val="left" w:pos="993"/>
            </w:tabs>
            <w:ind w:firstLine="851"/>
            <w:jc w:val="both"/>
            <w:rPr>
              <w:szCs w:val="24"/>
            </w:rPr>
          </w:pPr>
          <w:r>
            <w:rPr>
              <w:szCs w:val="24"/>
            </w:rPr>
            <w:t xml:space="preserve">Vadovaudamasi Lietuvos Respublikos vietos savivaldos įstatymo 15 straipsnio 2 dalies 19 punktu, Lietuvos Respublikos valstybės ir savivaldybių turto valdymo, naudojimo ir disponavimo juo įstatymo 21 straipsnio 1 dalies 2 punktu, Lietuvos Respublikos viešųjų įstaigų įstatymo 24 straipsnio 3 ir 6 dalimis, Sprendimo investuoti valstybės ir savivaldybių turtą priėmimo tvarkos aprašo, patvirtinto Lietuvos Respublikos Vyriausybės 2007 m. liepos 4 d. nutarimu Nr. 758 „Dėl sprendimo investuoti valstybės ir savivaldybių turtą priėmimo tvarkos aprašo patvirtinimo“, 5 punktu, atsižvelgdama į Telšių rajono savivaldybės mero 2026 m. birželio 2 d. raštą Nr. R7-M7-358 „Dėl pasiūlymo investuoti savivaldybės finansinį turtą“, Telšių rajono savivaldybės taryba </w:t>
          </w:r>
          <w:r>
            <w:rPr>
              <w:spacing w:val="50"/>
              <w:szCs w:val="24"/>
            </w:rPr>
            <w:t>nusprendžia</w:t>
          </w:r>
          <w:r>
            <w:rPr>
              <w:szCs w:val="24"/>
            </w:rPr>
            <w:t>:</w:t>
          </w:r>
        </w:p>
        <w:sdt>
          <w:sdtPr>
            <w:alias w:val="1 p."/>
            <w:tag w:val="part_d40abc742a8a422eafb9f2f704c943ca"/>
            <w:lock w:val="sdtLocked"/>
            <w:richText/>
          </w:sdtPr>
          <w:sdtContent>
            <w:p w14:paraId="6E75013F" w14:textId="3309F700">
              <w:pPr>
                <w:tabs>
                  <w:tab w:val="left" w:pos="993"/>
                </w:tabs>
                <w:ind w:firstLine="851"/>
                <w:jc w:val="both"/>
                <w:rPr>
                  <w:szCs w:val="24"/>
                </w:rPr>
              </w:pPr>
              <w:sdt>
                <w:sdtPr>
                  <w:alias w:val="Numeris"/>
                  <w:tag w:val="nr_d40abc742a8a422eafb9f2f704c943ca"/>
                  <w:lock w:val="sdtLocked"/>
                  <w:richText/>
                </w:sdtPr>
                <w:sdtContent>
                  <w:r>
                    <w:rPr>
                      <w:szCs w:val="24"/>
                    </w:rPr>
                    <w:t>1</w:t>
                  </w:r>
                </w:sdtContent>
              </w:sdt>
              <w:r>
                <w:rPr>
                  <w:szCs w:val="24"/>
                </w:rPr>
                <w:t xml:space="preserve">. Investuoti ir kaip piniginį įnašą viešajai įstaigai Žemaitijos verslo centrui (kodas 180713269) perduoti Telšių rajono savivaldybės finansinį turtą 68489,57 (šešiasdešimt aštuonis tūkstančius keturis šimtus aštuoniasdešimt devynis eurus, 57 ct), didinant viešosios įstaigos Žemaitijos verslo centro Telšių rajono savivaldybei priklausantį dalininko kapitalą. </w:t>
              </w:r>
            </w:p>
          </w:sdtContent>
        </w:sdt>
        <w:sdt>
          <w:sdtPr>
            <w:alias w:val="2 p."/>
            <w:tag w:val="part_861b36425bd3407e8a6ac091aac3c5cf"/>
            <w:lock w:val="sdtLocked"/>
            <w:richText/>
          </w:sdtPr>
          <w:sdtContent>
            <w:p w14:paraId="19BDCDA4" w14:textId="0B4AAFAA">
              <w:pPr>
                <w:tabs>
                  <w:tab w:val="left" w:pos="993"/>
                </w:tabs>
                <w:ind w:firstLine="851"/>
                <w:jc w:val="both"/>
                <w:rPr>
                  <w:szCs w:val="24"/>
                </w:rPr>
              </w:pPr>
              <w:sdt>
                <w:sdtPr>
                  <w:alias w:val="Numeris"/>
                  <w:tag w:val="nr_861b36425bd3407e8a6ac091aac3c5cf"/>
                  <w:lock w:val="sdtLocked"/>
                  <w:richText/>
                </w:sdtPr>
                <w:sdtContent>
                  <w:r>
                    <w:rPr>
                      <w:szCs w:val="24"/>
                    </w:rPr>
                    <w:t>2</w:t>
                  </w:r>
                </w:sdtContent>
              </w:sdt>
              <w:r>
                <w:rPr>
                  <w:szCs w:val="24"/>
                </w:rPr>
                <w:t>. Įgalioti Telšių rajono savivaldybės merą atlikti visus reikalingus veiksmus, susijusius su šio sprendimo 1 punkto įgyvendinimu.</w:t>
              </w:r>
            </w:p>
            <w:p w14:paraId="2186DAE1" w14:textId="77777777">
              <w:pPr>
                <w:tabs>
                  <w:tab w:val="left" w:pos="993"/>
                </w:tabs>
                <w:ind w:firstLine="851"/>
                <w:jc w:val="both"/>
                <w:rPr>
                  <w:szCs w:val="24"/>
                </w:rPr>
              </w:pPr>
              <w:r>
                <w:rPr>
                  <w:szCs w:val="24"/>
                </w:rPr>
                <w:t>Šis sprendimas gali būti skundžiamas Lietuvos administracinių ginčų komisijos Šiaulių apygardos skyriui (Dvaro g. 81, LT-76299 Šiauliai) Lietuvos Respublikos ikiteisminio administracinių ginčų nagrinėjimo tvarkos įstatymo nustatyta tvarka arba Regionų apygardos administracinio teismo Šiaulių rūmams (Dvaro g. 80, LT-76298 Šiauliai) Lietuvos Respublikos administracinių bylų teisenos įstatymo nustatyta tvarka.</w:t>
              </w:r>
            </w:p>
            <w:p w14:paraId="4D87BC75" w14:textId="77777777">
              <w:pPr>
                <w:tabs>
                  <w:tab w:val="left" w:pos="709"/>
                  <w:tab w:val="center" w:pos="4153"/>
                  <w:tab w:val="right" w:pos="8306"/>
                </w:tabs>
                <w:jc w:val="both"/>
                <w:rPr>
                  <w:szCs w:val="24"/>
                </w:rPr>
              </w:pPr>
            </w:p>
            <w:p w14:paraId="541C1477" w14:textId="77777777">
              <w:pPr>
                <w:tabs>
                  <w:tab w:val="left" w:pos="1296"/>
                  <w:tab w:val="center" w:pos="4153"/>
                  <w:tab w:val="right" w:pos="8306"/>
                </w:tabs>
                <w:jc w:val="both"/>
                <w:rPr>
                  <w:szCs w:val="24"/>
                </w:rPr>
              </w:pPr>
              <w:r>
                <w:rPr>
                  <w:szCs w:val="24"/>
                </w:rPr>
                <w:t xml:space="preserve">Savivaldybės meras                                                                                                         Tomas Katkus</w:t>
              </w:r>
            </w:p>
            <w:p w14:paraId="5449EA60" w14:textId="77777777">
              <w:pPr>
                <w:tabs>
                  <w:tab w:val="left" w:pos="1296"/>
                  <w:tab w:val="center" w:pos="4153"/>
                  <w:tab w:val="right" w:pos="8306"/>
                </w:tabs>
                <w:jc w:val="both"/>
                <w:rPr>
                  <w:szCs w:val="24"/>
                </w:rPr>
              </w:pPr>
            </w:p>
            <w:p w14:paraId="32B15A37" w14:textId="77777777">
              <w:pPr>
                <w:tabs>
                  <w:tab w:val="left" w:pos="1296"/>
                  <w:tab w:val="center" w:pos="4153"/>
                  <w:tab w:val="right" w:pos="8306"/>
                </w:tabs>
                <w:jc w:val="both"/>
                <w:rPr>
                  <w:szCs w:val="24"/>
                </w:rPr>
              </w:pPr>
            </w:p>
            <w:p w14:paraId="58DEB4B0" w14:textId="77777777">
              <w:pPr>
                <w:tabs>
                  <w:tab w:val="left" w:pos="1296"/>
                  <w:tab w:val="center" w:pos="4153"/>
                  <w:tab w:val="right" w:pos="8306"/>
                </w:tabs>
                <w:jc w:val="both"/>
                <w:rPr>
                  <w:szCs w:val="24"/>
                </w:rPr>
              </w:pPr>
            </w:p>
            <w:p w14:paraId="6E6280DA" w14:textId="77777777">
              <w:pPr>
                <w:tabs>
                  <w:tab w:val="left" w:pos="1296"/>
                  <w:tab w:val="center" w:pos="4153"/>
                  <w:tab w:val="right" w:pos="8306"/>
                </w:tabs>
                <w:jc w:val="both"/>
                <w:rPr>
                  <w:szCs w:val="24"/>
                </w:rPr>
              </w:pPr>
            </w:p>
            <w:p w14:paraId="353C06AD" w14:textId="77777777">
              <w:pPr>
                <w:tabs>
                  <w:tab w:val="left" w:pos="1296"/>
                  <w:tab w:val="center" w:pos="4153"/>
                  <w:tab w:val="right" w:pos="8306"/>
                </w:tabs>
                <w:jc w:val="both"/>
                <w:rPr>
                  <w:szCs w:val="24"/>
                </w:rPr>
              </w:pPr>
            </w:p>
            <w:p w14:paraId="4E5E2A8F" w14:textId="77777777">
              <w:pPr>
                <w:tabs>
                  <w:tab w:val="left" w:pos="1296"/>
                  <w:tab w:val="center" w:pos="4153"/>
                  <w:tab w:val="right" w:pos="8306"/>
                </w:tabs>
                <w:jc w:val="both"/>
                <w:rPr>
                  <w:szCs w:val="24"/>
                </w:rPr>
              </w:pPr>
            </w:p>
            <w:p w14:paraId="7258C230" w14:textId="77777777">
              <w:pPr>
                <w:tabs>
                  <w:tab w:val="left" w:pos="1296"/>
                  <w:tab w:val="center" w:pos="4153"/>
                  <w:tab w:val="right" w:pos="8306"/>
                </w:tabs>
                <w:jc w:val="both"/>
                <w:rPr>
                  <w:szCs w:val="24"/>
                </w:rPr>
              </w:pPr>
            </w:p>
            <w:p w14:paraId="2E38E399" w14:textId="77777777">
              <w:pPr>
                <w:tabs>
                  <w:tab w:val="left" w:pos="1296"/>
                  <w:tab w:val="center" w:pos="4153"/>
                  <w:tab w:val="right" w:pos="8306"/>
                </w:tabs>
                <w:jc w:val="both"/>
                <w:rPr>
                  <w:szCs w:val="24"/>
                </w:rPr>
              </w:pPr>
            </w:p>
            <w:p w14:paraId="6C2FBAB1" w14:textId="77777777">
              <w:pPr>
                <w:tabs>
                  <w:tab w:val="left" w:pos="1296"/>
                  <w:tab w:val="center" w:pos="4153"/>
                  <w:tab w:val="right" w:pos="8306"/>
                </w:tabs>
                <w:jc w:val="both"/>
                <w:rPr>
                  <w:szCs w:val="24"/>
                </w:rPr>
              </w:pPr>
            </w:p>
            <w:p w14:paraId="4EAE955D" w14:textId="77777777">
              <w:pPr>
                <w:rPr>
                  <w:szCs w:val="24"/>
                </w:rPr>
              </w:pPr>
            </w:p>
            <w:p w14:paraId="1AA4ED53" w14:textId="77777777">
              <w:pPr>
                <w:rPr>
                  <w:szCs w:val="24"/>
                  <w:lang w:val="nb-NO"/>
                </w:rPr>
              </w:pPr>
              <w:r>
                <w:rPr>
                  <w:szCs w:val="24"/>
                </w:rPr>
                <w:t xml:space="preserve">Jolanta Vasiliauskienė, tel. (0 444) 22 365, el. p. </w:t>
              </w:r>
              <w:r>
                <w:rPr>
                  <w:color w:val="0000FF"/>
                  <w:szCs w:val="24"/>
                  <w:u w:val="single"/>
                </w:rPr>
                <w:t>jolanta.vasiliauskiene@telsiai.lt</w:t>
              </w:r>
              <w:r>
                <w:rPr>
                  <w:szCs w:val="24"/>
                </w:rPr>
                <w:t xml:space="preserve"> </w:t>
              </w:r>
            </w:p>
            <w:p w14:paraId="46DAE4B0" w14:textId="39DDDF40">
              <w:pPr>
                <w:rPr>
                  <w:szCs w:val="24"/>
                </w:rPr>
              </w:pPr>
            </w:p>
          </w:sdtContent>
        </w:sdt>
      </w:sdtContent>
    </w:sdt>
    <w:sectPr>
      <w:headerReference w:type="even" r:id="rId16"/>
      <w:headerReference w:type="default" r:id="rId17"/>
      <w:footerReference w:type="first" r:id="rId18"/>
      <w:type w:val="continuous"/>
      <w:pgSz w:w="11906" w:h="16838" w:code="9"/>
      <w:pgMar w:top="1134" w:right="851" w:bottom="1134" w:left="1418" w:header="0"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DB0E9D" w14:textId="77777777">
      <w:pPr>
        <w:rPr>
          <w:szCs w:val="24"/>
          <w:lang w:val="en-GB"/>
        </w:rPr>
      </w:pPr>
      <w:r>
        <w:rPr>
          <w:szCs w:val="24"/>
          <w:lang w:val="en-GB"/>
        </w:rPr>
        <w:separator/>
      </w:r>
    </w:p>
  </w:endnote>
  <w:endnote w:type="continuationSeparator" w:id="0">
    <w:p w14:paraId="0960E7E8"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A646E"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E56B8"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4BA6C" w14:textId="77777777">
    <w:pPr>
      <w:tabs>
        <w:tab w:val="center" w:pos="4153"/>
        <w:tab w:val="right" w:pos="8306"/>
      </w:tabs>
      <w:rPr>
        <w:rFonts w:ascii="Arial" w:hAnsi="Arial"/>
        <w:sz w:val="22"/>
        <w:lang w:val="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A5F45" w14:textId="77777777">
    <w:pPr>
      <w:tabs>
        <w:tab w:val="center" w:pos="4153"/>
        <w:tab w:val="right" w:pos="8306"/>
      </w:tabs>
      <w:jc w:val="right"/>
      <w:rPr>
        <w:rFonts w:ascii="Arial" w:hAnsi="Arial"/>
        <w:sz w:val="18"/>
      </w:rPr>
    </w:pPr>
    <w:r>
      <w:rPr>
        <w:rFonts w:ascii="Arial" w:hAnsi="Arial"/>
        <w:sz w:val="18"/>
      </w:rPr>
      <w:t>sprendimo projektas_investavimas ZVC</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84A0B8" w14:textId="77777777">
      <w:pPr>
        <w:rPr>
          <w:szCs w:val="24"/>
          <w:lang w:val="en-GB"/>
        </w:rPr>
      </w:pPr>
      <w:r>
        <w:rPr>
          <w:szCs w:val="24"/>
          <w:lang w:val="en-GB"/>
        </w:rPr>
        <w:separator/>
      </w:r>
    </w:p>
  </w:footnote>
  <w:footnote w:type="continuationSeparator" w:id="0">
    <w:p w14:paraId="6A89EB70"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7021A8"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3C7E572"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04A5B"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45E154A2"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ED68E" w14:textId="77777777">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7E25E"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0842A96" w14:textId="77777777">
    <w:pPr>
      <w:tabs>
        <w:tab w:val="center" w:pos="4153"/>
        <w:tab w:val="right" w:pos="8306"/>
      </w:tabs>
      <w:rPr>
        <w:rFonts w:ascii="Arial" w:hAnsi="Arial"/>
        <w:sz w:val="22"/>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4EDBB4"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5F4F3186"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42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7A6FBE4"/>
  <w15:chartTrackingRefBased/>
  <w15:docId w15:val="{E7E4DA15-4873-46DC-8F6B-27AF05E649D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9159210">
      <w:bodyDiv w:val="1"/>
      <w:marLeft w:val="0"/>
      <w:marRight w:val="0"/>
      <w:marTop w:val="0"/>
      <w:marBottom w:val="0"/>
      <w:divBdr>
        <w:top w:val="none" w:sz="0" w:space="0" w:color="auto"/>
        <w:left w:val="none" w:sz="0" w:space="0" w:color="auto"/>
        <w:bottom w:val="none" w:sz="0" w:space="0" w:color="auto"/>
        <w:right w:val="none" w:sz="0" w:space="0" w:color="auto"/>
      </w:divBdr>
    </w:div>
    <w:div w:id="1621568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a0a149a570f946de82af67bf95f66bc7" PartId="2e905d76bf9b40909177405367948298"/>
  <Part Type="pastraipa" DocPartId="635b182c93f54ee7957f30872bd760ec" PartId="3fd8e9e822914802be45ed92d6b2f556">
    <Part Type="punktas" Nr="1" Abbr="1 p." DocPartId="6398a990f1764808a48df3c2719d5ef5" PartId="d40abc742a8a422eafb9f2f704c943ca"/>
    <Part Type="punktas" Nr="2" Abbr="2 p." DocPartId="ea7bfc0874fb40a79b30f4db2032899a" PartId="861b36425bd3407e8a6ac091aac3c5cf"/>
  </Part>
</Parts>
</file>

<file path=customXml/itemProps1.xml><?xml version="1.0" encoding="utf-8"?>
<ds:datastoreItem xmlns:ds="http://schemas.openxmlformats.org/officeDocument/2006/customXml" ds:itemID="{DC81CA82-A532-4A07-9AF5-BA7A2AC9C79F}">
  <ds:schemaRefs>
    <ds:schemaRef ds:uri="http://schemas.openxmlformats.org/officeDocument/2006/bibliography"/>
  </ds:schemaRefs>
</ds:datastoreItem>
</file>

<file path=customXml/itemProps2.xml><?xml version="1.0" encoding="utf-8"?>
<ds:datastoreItem xmlns:ds="http://schemas.openxmlformats.org/officeDocument/2006/customXml" ds:itemID="{269E0330-6B19-4C17-AD71-B180C47ED1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275</Words>
  <Characters>1944</Characters>
  <Application>Microsoft Office Word</Application>
  <DocSecurity>4</DocSecurity>
  <Lines>54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2204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2026-07-01T06:28:00Z</dcterms:created>
  <dc:creator>vartotojas</dc:creator>
  <lastModifiedBy>adlibuser</lastModifiedBy>
  <lastPrinted>2026-06-03T08:18:00Z</lastPrinted>
  <dcterms:modified xsi:type="dcterms:W3CDTF">2026-07-01T06:28:00Z</dcterms:modified>
  <revision>2</revision>
  <dc:title>PROJEKTAS</dc:title>
</coreProperties>
</file>