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96f2f9191304290b19e189e35261d50"/>
        <w:id w:val="1116569071"/>
        <w:lock w:val="sdtLocked"/>
      </w:sdtPr>
      <w:sdtEndPr/>
      <w:sdtContent>
        <w:p w14:paraId="37D00E3E" w14:textId="77777777" w:rsidR="00C46F62" w:rsidRDefault="00C46F62">
          <w:pPr>
            <w:tabs>
              <w:tab w:val="center" w:pos="4986"/>
              <w:tab w:val="right" w:pos="9972"/>
            </w:tabs>
          </w:pPr>
        </w:p>
        <w:p w14:paraId="1326F066" w14:textId="77777777" w:rsidR="00C46F62" w:rsidRDefault="0067399A">
          <w:pPr>
            <w:tabs>
              <w:tab w:val="center" w:pos="4819"/>
              <w:tab w:val="right" w:pos="9638"/>
            </w:tabs>
            <w:jc w:val="center"/>
            <w:rPr>
              <w:b/>
              <w:sz w:val="22"/>
              <w:szCs w:val="22"/>
            </w:rPr>
          </w:pPr>
          <w:r>
            <w:rPr>
              <w:noProof/>
              <w:szCs w:val="24"/>
              <w:lang w:eastAsia="lt-LT"/>
            </w:rPr>
            <w:drawing>
              <wp:inline distT="0" distB="0" distL="0" distR="0" wp14:anchorId="27A33863" wp14:editId="3BB6F453">
                <wp:extent cx="540385" cy="548640"/>
                <wp:effectExtent l="0" t="0" r="0" b="3810"/>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0385" cy="548640"/>
                        </a:xfrm>
                        <a:prstGeom prst="rect">
                          <a:avLst/>
                        </a:prstGeom>
                        <a:noFill/>
                        <a:ln>
                          <a:noFill/>
                        </a:ln>
                      </pic:spPr>
                    </pic:pic>
                  </a:graphicData>
                </a:graphic>
              </wp:inline>
            </w:drawing>
          </w:r>
        </w:p>
        <w:p w14:paraId="57E141F5" w14:textId="77777777" w:rsidR="00C46F62" w:rsidRDefault="00C46F62">
          <w:pPr>
            <w:tabs>
              <w:tab w:val="center" w:pos="4819"/>
              <w:tab w:val="right" w:pos="9638"/>
            </w:tabs>
            <w:jc w:val="center"/>
            <w:rPr>
              <w:b/>
              <w:sz w:val="22"/>
              <w:szCs w:val="22"/>
            </w:rPr>
          </w:pPr>
        </w:p>
        <w:p w14:paraId="77AC4A16" w14:textId="77777777" w:rsidR="00C46F62" w:rsidRDefault="0067399A">
          <w:pPr>
            <w:jc w:val="center"/>
            <w:rPr>
              <w:b/>
              <w:bCs/>
              <w:color w:val="000000"/>
              <w:szCs w:val="24"/>
              <w:lang w:eastAsia="lt-LT"/>
            </w:rPr>
          </w:pPr>
          <w:r>
            <w:rPr>
              <w:b/>
              <w:bCs/>
              <w:color w:val="000000"/>
              <w:szCs w:val="24"/>
              <w:lang w:eastAsia="lt-LT"/>
            </w:rPr>
            <w:t>LIETUVOS RESPUBLIKOS SVEIKATOS APSAUGOS MINISTRAS</w:t>
          </w:r>
        </w:p>
        <w:p w14:paraId="7F796796" w14:textId="77777777" w:rsidR="00C46F62" w:rsidRDefault="00C46F62">
          <w:pPr>
            <w:tabs>
              <w:tab w:val="center" w:pos="4153"/>
              <w:tab w:val="right" w:pos="8306"/>
            </w:tabs>
            <w:jc w:val="center"/>
            <w:rPr>
              <w:b/>
              <w:bCs/>
              <w:szCs w:val="24"/>
            </w:rPr>
          </w:pPr>
        </w:p>
        <w:p w14:paraId="6F87D967" w14:textId="77777777" w:rsidR="00C46F62" w:rsidRDefault="0067399A">
          <w:pPr>
            <w:tabs>
              <w:tab w:val="center" w:pos="4153"/>
              <w:tab w:val="right" w:pos="8306"/>
            </w:tabs>
            <w:jc w:val="center"/>
            <w:rPr>
              <w:b/>
              <w:bCs/>
              <w:szCs w:val="24"/>
            </w:rPr>
          </w:pPr>
          <w:r>
            <w:rPr>
              <w:b/>
              <w:bCs/>
              <w:szCs w:val="24"/>
            </w:rPr>
            <w:t>ĮSAKYMAS</w:t>
          </w:r>
        </w:p>
        <w:p w14:paraId="49AC449F" w14:textId="77777777" w:rsidR="00C46F62" w:rsidRDefault="0067399A">
          <w:pPr>
            <w:jc w:val="center"/>
            <w:rPr>
              <w:b/>
              <w:bCs/>
              <w:szCs w:val="24"/>
            </w:rPr>
          </w:pPr>
          <w:r>
            <w:rPr>
              <w:b/>
              <w:bCs/>
              <w:szCs w:val="24"/>
            </w:rPr>
            <w:t>DĖL</w:t>
          </w:r>
          <w:r>
            <w:rPr>
              <w:b/>
              <w:bCs/>
              <w:color w:val="000000"/>
              <w:szCs w:val="24"/>
            </w:rPr>
            <w:t xml:space="preserve"> </w:t>
          </w:r>
          <w:r>
            <w:rPr>
              <w:b/>
              <w:caps/>
              <w:szCs w:val="24"/>
            </w:rPr>
            <w:t>LIETUVOS RESPUBLIKOS SVEIKATOS APSAUGOS MINISTRO 2022 M. GEGUŽĖS 20 D. ĮSAKYMO NR. V-988  „</w:t>
          </w: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w:t>
          </w:r>
          <w:r>
            <w:rPr>
              <w:b/>
              <w:bCs/>
              <w:caps/>
              <w:szCs w:val="24"/>
              <w:lang w:eastAsia="lt-LT"/>
            </w:rPr>
            <w:t>RIEINAMUMĄ“ APRAŠO patvirtinimo</w:t>
          </w:r>
          <w:r>
            <w:rPr>
              <w:b/>
              <w:bCs/>
              <w:color w:val="000000"/>
              <w:szCs w:val="24"/>
            </w:rPr>
            <w:t xml:space="preserve">“ </w:t>
          </w:r>
          <w:r>
            <w:rPr>
              <w:b/>
              <w:bCs/>
              <w:caps/>
              <w:szCs w:val="24"/>
              <w:lang w:eastAsia="lt-LT"/>
            </w:rPr>
            <w:t>PAKEITIMO</w:t>
          </w:r>
        </w:p>
        <w:p w14:paraId="70D15981" w14:textId="77777777" w:rsidR="00C46F62" w:rsidRDefault="00C46F62">
          <w:pPr>
            <w:jc w:val="center"/>
            <w:rPr>
              <w:szCs w:val="24"/>
            </w:rPr>
          </w:pPr>
        </w:p>
        <w:p w14:paraId="2A63B096" w14:textId="3BC9A9AF" w:rsidR="00C46F62" w:rsidRDefault="0067399A">
          <w:pPr>
            <w:jc w:val="center"/>
            <w:rPr>
              <w:szCs w:val="24"/>
            </w:rPr>
          </w:pPr>
          <w:r>
            <w:rPr>
              <w:szCs w:val="24"/>
            </w:rPr>
            <w:t xml:space="preserve">2025 m. gegužės </w:t>
          </w:r>
          <w:r>
            <w:rPr>
              <w:szCs w:val="24"/>
              <w:lang w:val="en-US"/>
            </w:rPr>
            <w:t xml:space="preserve">9 </w:t>
          </w:r>
          <w:r>
            <w:rPr>
              <w:szCs w:val="24"/>
            </w:rPr>
            <w:t>d. Nr. V-447</w:t>
          </w:r>
        </w:p>
        <w:p w14:paraId="4D7A34BF" w14:textId="77777777" w:rsidR="00C46F62" w:rsidRDefault="0067399A">
          <w:pPr>
            <w:jc w:val="center"/>
            <w:rPr>
              <w:szCs w:val="24"/>
            </w:rPr>
          </w:pPr>
          <w:r>
            <w:rPr>
              <w:szCs w:val="24"/>
            </w:rPr>
            <w:t>Vilnius</w:t>
          </w:r>
        </w:p>
        <w:p w14:paraId="64465D73" w14:textId="5FD3D7F5" w:rsidR="00C46F62" w:rsidRDefault="00C46F62">
          <w:pPr>
            <w:jc w:val="center"/>
            <w:rPr>
              <w:szCs w:val="24"/>
            </w:rPr>
          </w:pPr>
        </w:p>
        <w:p w14:paraId="5D10BDD3" w14:textId="77777777" w:rsidR="0067399A" w:rsidRDefault="0067399A">
          <w:pPr>
            <w:jc w:val="center"/>
            <w:rPr>
              <w:szCs w:val="24"/>
            </w:rPr>
          </w:pPr>
          <w:bookmarkStart w:id="0" w:name="_GoBack"/>
          <w:bookmarkEnd w:id="0"/>
        </w:p>
        <w:sdt>
          <w:sdtPr>
            <w:alias w:val="preambule"/>
            <w:tag w:val="part_217f9dec83fb43d28a253811005151d8"/>
            <w:id w:val="-324748865"/>
            <w:lock w:val="sdtLocked"/>
          </w:sdtPr>
          <w:sdtEndPr/>
          <w:sdtContent>
            <w:p w14:paraId="352B78A0" w14:textId="426FB2E3" w:rsidR="00C46F62" w:rsidRDefault="0067399A">
              <w:pPr>
                <w:ind w:firstLine="851"/>
                <w:jc w:val="both"/>
                <w:rPr>
                  <w:color w:val="000000"/>
                  <w:szCs w:val="24"/>
                </w:rPr>
              </w:pPr>
              <w:r>
                <w:rPr>
                  <w:color w:val="000000"/>
                  <w:szCs w:val="24"/>
                </w:rPr>
                <w:t>P a k e i č i u 2022–2030 metų plėtros programos valdytojos Lietuvos Respublikos sveikatos apsaugos ministerijos sveikatos priežiūros kokybės ir efektyvumo didinimo plėt</w:t>
              </w:r>
              <w:r>
                <w:rPr>
                  <w:color w:val="000000"/>
                  <w:szCs w:val="24"/>
                </w:rPr>
                <w:t>ros programos pažangos priemonės Nr. 11-002-02-11-01 „Gerinti sveikatos priežiūros paslaugų kokybę ir prieinamumą“ aprašą, patvirtintą Lietuvos Respublikos sveikatos apsaugos ministro 2022 m. gegužės 20 d. įsakymu Nr. V-988 „Dėl 2022–2030 metų plėtros prog</w:t>
              </w:r>
              <w:r>
                <w:rPr>
                  <w:color w:val="000000"/>
                  <w:szCs w:val="24"/>
                </w:rPr>
                <w:t>ramos valdytojos Lietuvos Respublikos sveikatos apsaugos ministerijos sveikatos priežiūros kokybės ir efektyvumo didinimo plėtros programos pažangos priemonės Nr. 11-002-02-11-01 „Gerinti sveikatos priežiūros paslaugų kokybę ir prieinamumą“ aprašo patvirti</w:t>
              </w:r>
              <w:r>
                <w:rPr>
                  <w:color w:val="000000"/>
                  <w:szCs w:val="24"/>
                </w:rPr>
                <w:t>nimo“, ir 11 priedo lentelės „</w:t>
              </w:r>
              <w:r>
                <w:rPr>
                  <w:bCs/>
                  <w:color w:val="000000"/>
                  <w:szCs w:val="24"/>
                </w:rPr>
                <w:t>Specialieji finansavimo reikalavimai</w:t>
              </w:r>
              <w:r>
                <w:rPr>
                  <w:color w:val="000000"/>
                  <w:szCs w:val="24"/>
                </w:rPr>
                <w:t>“</w:t>
              </w:r>
              <w:r>
                <w:rPr>
                  <w:color w:val="000000"/>
                  <w:szCs w:val="24"/>
                </w:rPr>
                <w:t xml:space="preserve"> 2.9 papunktį išdėstau taip:</w:t>
              </w:r>
            </w:p>
            <w:sdt>
              <w:sdtPr>
                <w:alias w:val="citata"/>
                <w:tag w:val="part_c5313c32fa8b491495f1de797b5ae548"/>
                <w:id w:val="-544291697"/>
                <w:lock w:val="sdtLocked"/>
              </w:sdtPr>
              <w:sdtEndPr/>
              <w:sdtContent>
                <w:sdt>
                  <w:sdtPr>
                    <w:alias w:val="2.9 pp."/>
                    <w:tag w:val="part_03906bd7b29c4bc681f5504012b315e0"/>
                    <w:id w:val="-924487534"/>
                    <w:lock w:val="sdtLocked"/>
                  </w:sdtPr>
                  <w:sdtEndPr/>
                  <w:sdtContent>
                    <w:p w14:paraId="48423897" w14:textId="70A3F8FC" w:rsidR="00C46F62" w:rsidRDefault="0067399A" w:rsidP="0067399A">
                      <w:pPr>
                        <w:tabs>
                          <w:tab w:val="left" w:pos="993"/>
                        </w:tabs>
                        <w:ind w:firstLine="851"/>
                        <w:jc w:val="both"/>
                        <w:rPr>
                          <w:szCs w:val="24"/>
                        </w:rPr>
                      </w:pPr>
                      <w:r>
                        <w:rPr>
                          <w:szCs w:val="24"/>
                        </w:rPr>
                        <w:t>„</w:t>
                      </w:r>
                      <w:sdt>
                        <w:sdtPr>
                          <w:alias w:val="Numeris"/>
                          <w:tag w:val="nr_03906bd7b29c4bc681f5504012b315e0"/>
                          <w:id w:val="951525775"/>
                          <w:lock w:val="sdtLocked"/>
                        </w:sdtPr>
                        <w:sdtEndPr/>
                        <w:sdtContent>
                          <w:r>
                            <w:rPr>
                              <w:szCs w:val="24"/>
                            </w:rPr>
                            <w:t>2.9</w:t>
                          </w:r>
                        </w:sdtContent>
                      </w:sdt>
                      <w:r>
                        <w:rPr>
                          <w:szCs w:val="24"/>
                        </w:rPr>
                        <w:t xml:space="preserve">. </w:t>
                      </w:r>
                      <w:r>
                        <w:rPr>
                          <w:iCs/>
                          <w:szCs w:val="24"/>
                        </w:rPr>
                        <w:t>Projekto veiklos, nurodytos Aprašo Nr. 11 2.3.4 papunktyje, tarpinė ataskaita turi būti parengta iki 2024 m. rugpjūčio 1 d., kitos Projek</w:t>
                      </w:r>
                      <w:r>
                        <w:rPr>
                          <w:iCs/>
                          <w:szCs w:val="24"/>
                        </w:rPr>
                        <w:t>to veiklos, nurodytos Aprašo Nr. 11 2.3 papunktyje, turi būti baigtos ne vėliau nei 2024 m. gruodžio 31 d. Tam tikrais atvejais dėl objektyvių priežasčių, kurių Projekto vykdytojas negalėjo numatyti PĮP pateikimo ir vertinimo metu, Projekto veiklų (išskyru</w:t>
                      </w:r>
                      <w:r>
                        <w:rPr>
                          <w:iCs/>
                          <w:szCs w:val="24"/>
                        </w:rPr>
                        <w:t>s Aprašo Nr. 11 2.3.4 papunktyje nurodytą veiklą) įgyvendinimo laikotarpis gali būti pratęstas, bet ne ilgiau kaip iki 2026 m. kovo 31 d.</w:t>
                      </w:r>
                      <w:r>
                        <w:rPr>
                          <w:szCs w:val="24"/>
                        </w:rPr>
                        <w:t>“</w:t>
                      </w:r>
                    </w:p>
                    <w:p w14:paraId="2024035E" w14:textId="77777777" w:rsidR="00C46F62" w:rsidRDefault="0067399A">
                      <w:pPr>
                        <w:rPr>
                          <w:szCs w:val="24"/>
                        </w:rPr>
                      </w:pPr>
                    </w:p>
                  </w:sdtContent>
                </w:sdt>
              </w:sdtContent>
            </w:sdt>
            <w:sdt>
              <w:sdtPr>
                <w:rPr>
                  <w:szCs w:val="24"/>
                </w:rPr>
                <w:alias w:val="pastraipa"/>
                <w:tag w:val="part_7422dd59f97b4d85937a391002c80dae"/>
                <w:id w:val="175006774"/>
                <w:lock w:val="sdtLocked"/>
                <w:placeholder>
                  <w:docPart w:val="DefaultPlaceholder_-1854013440"/>
                </w:placeholder>
              </w:sdtPr>
              <w:sdtEndPr>
                <w:rPr>
                  <w:szCs w:val="20"/>
                </w:rPr>
              </w:sdtEndPr>
              <w:sdtContent>
                <w:p w14:paraId="57AE2D1F" w14:textId="77777777" w:rsidR="0067399A" w:rsidRDefault="0067399A" w:rsidP="0067399A">
                  <w:pPr>
                    <w:rPr>
                      <w:szCs w:val="24"/>
                    </w:rPr>
                  </w:pPr>
                </w:p>
                <w:p w14:paraId="0EF7A450" w14:textId="77777777" w:rsidR="0067399A" w:rsidRDefault="0067399A" w:rsidP="0067399A">
                  <w:pPr>
                    <w:rPr>
                      <w:szCs w:val="24"/>
                    </w:rPr>
                  </w:pPr>
                </w:p>
                <w:p w14:paraId="1038773A" w14:textId="77777777" w:rsidR="0067399A" w:rsidRDefault="0067399A" w:rsidP="0067399A">
                  <w:pPr>
                    <w:rPr>
                      <w:szCs w:val="24"/>
                    </w:rPr>
                  </w:pPr>
                </w:p>
                <w:p w14:paraId="2EFE4423" w14:textId="7B329D92" w:rsidR="00C46F62" w:rsidRDefault="0067399A" w:rsidP="0067399A">
                  <w:pPr>
                    <w:rPr>
                      <w:szCs w:val="24"/>
                    </w:rPr>
                  </w:pPr>
                  <w:r>
                    <w:rPr>
                      <w:szCs w:val="24"/>
                    </w:rPr>
                    <w:t xml:space="preserve">Sveikatos apsaugos ministrė </w:t>
                  </w:r>
                  <w:r>
                    <w:rPr>
                      <w:szCs w:val="24"/>
                    </w:rPr>
                    <w:tab/>
                  </w:r>
                  <w:r>
                    <w:rPr>
                      <w:szCs w:val="24"/>
                    </w:rPr>
                    <w:tab/>
                  </w:r>
                  <w:r>
                    <w:rPr>
                      <w:szCs w:val="24"/>
                    </w:rPr>
                    <w:tab/>
                    <w:t xml:space="preserve">                  </w:t>
                  </w:r>
                  <w:r>
                    <w:rPr>
                      <w:szCs w:val="24"/>
                    </w:rPr>
                    <w:t xml:space="preserve">Marija </w:t>
                  </w:r>
                  <w:proofErr w:type="spellStart"/>
                  <w:r>
                    <w:rPr>
                      <w:szCs w:val="24"/>
                    </w:rPr>
                    <w:t>Jakubauskienė</w:t>
                  </w:r>
                  <w:proofErr w:type="spellEnd"/>
                </w:p>
              </w:sdtContent>
            </w:sdt>
          </w:sdtContent>
        </w:sdt>
      </w:sdtContent>
    </w:sdt>
    <w:sectPr w:rsidR="00C46F62">
      <w:headerReference w:type="even" r:id="rId13"/>
      <w:headerReference w:type="default" r:id="rId14"/>
      <w:footerReference w:type="even" r:id="rId15"/>
      <w:footerReference w:type="default" r:id="rId16"/>
      <w:headerReference w:type="first" r:id="rId17"/>
      <w:footerReference w:type="first" r:id="rId18"/>
      <w:pgSz w:w="11906" w:h="16838"/>
      <w:pgMar w:top="567" w:right="992" w:bottom="1134" w:left="1135"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219448" w14:textId="77777777" w:rsidR="00C46F62" w:rsidRDefault="0067399A">
      <w:pPr>
        <w:rPr>
          <w:sz w:val="22"/>
          <w:szCs w:val="22"/>
        </w:rPr>
      </w:pPr>
      <w:r>
        <w:rPr>
          <w:sz w:val="22"/>
          <w:szCs w:val="22"/>
        </w:rPr>
        <w:separator/>
      </w:r>
    </w:p>
  </w:endnote>
  <w:endnote w:type="continuationSeparator" w:id="0">
    <w:p w14:paraId="17823D75" w14:textId="77777777" w:rsidR="00C46F62" w:rsidRDefault="0067399A">
      <w:pPr>
        <w:rPr>
          <w:sz w:val="22"/>
          <w:szCs w:val="22"/>
        </w:rPr>
      </w:pPr>
      <w:r>
        <w:rPr>
          <w:sz w:val="22"/>
          <w:szCs w:val="22"/>
        </w:rPr>
        <w:continuationSeparator/>
      </w:r>
    </w:p>
  </w:endnote>
  <w:endnote w:type="continuationNotice" w:id="1">
    <w:p w14:paraId="10466DDA" w14:textId="77777777" w:rsidR="00C46F62" w:rsidRDefault="00C46F62">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A6A728" w14:textId="77777777" w:rsidR="00C46F62" w:rsidRDefault="00C46F62">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55CEA0" w14:textId="77777777" w:rsidR="00C46F62" w:rsidRDefault="00C46F62">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1343C9" w14:textId="77777777" w:rsidR="00C46F62" w:rsidRDefault="00C46F62">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647B25" w14:textId="77777777" w:rsidR="00C46F62" w:rsidRDefault="0067399A">
      <w:pPr>
        <w:rPr>
          <w:sz w:val="22"/>
          <w:szCs w:val="22"/>
        </w:rPr>
      </w:pPr>
      <w:r>
        <w:rPr>
          <w:sz w:val="22"/>
          <w:szCs w:val="22"/>
        </w:rPr>
        <w:separator/>
      </w:r>
    </w:p>
  </w:footnote>
  <w:footnote w:type="continuationSeparator" w:id="0">
    <w:p w14:paraId="08C0C1A9" w14:textId="77777777" w:rsidR="00C46F62" w:rsidRDefault="0067399A">
      <w:pPr>
        <w:rPr>
          <w:sz w:val="22"/>
          <w:szCs w:val="22"/>
        </w:rPr>
      </w:pPr>
      <w:r>
        <w:rPr>
          <w:sz w:val="22"/>
          <w:szCs w:val="22"/>
        </w:rPr>
        <w:continuationSeparator/>
      </w:r>
    </w:p>
  </w:footnote>
  <w:footnote w:type="continuationNotice" w:id="1">
    <w:p w14:paraId="47CB69CC" w14:textId="77777777" w:rsidR="00C46F62" w:rsidRDefault="00C46F62">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A2A318" w14:textId="77777777" w:rsidR="00C46F62" w:rsidRDefault="00C46F62">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A8E074" w14:textId="22D9899F" w:rsidR="00C46F62" w:rsidRDefault="0067399A">
    <w:pPr>
      <w:tabs>
        <w:tab w:val="center" w:pos="4819"/>
        <w:tab w:val="right" w:pos="9638"/>
      </w:tabs>
      <w:jc w:val="center"/>
      <w:rPr>
        <w:szCs w:val="22"/>
      </w:rPr>
    </w:pPr>
    <w:r>
      <w:rPr>
        <w:szCs w:val="22"/>
      </w:rPr>
      <w:fldChar w:fldCharType="begin"/>
    </w:r>
    <w:r>
      <w:rPr>
        <w:szCs w:val="22"/>
      </w:rPr>
      <w:instrText>PAGE   \* MERGEFORMAT</w:instrText>
    </w:r>
    <w:r>
      <w:rPr>
        <w:szCs w:val="22"/>
      </w:rPr>
      <w:fldChar w:fldCharType="separate"/>
    </w:r>
    <w:r>
      <w:rPr>
        <w:noProof/>
        <w:szCs w:val="22"/>
      </w:rPr>
      <w:t>2</w:t>
    </w:r>
    <w:r>
      <w:rPr>
        <w:szCs w:val="22"/>
      </w:rPr>
      <w:fldChar w:fldCharType="end"/>
    </w:r>
  </w:p>
  <w:p w14:paraId="1EB8C0D8" w14:textId="77777777" w:rsidR="00C46F62" w:rsidRDefault="00C46F62">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5F25A8" w14:textId="77777777" w:rsidR="00C46F62" w:rsidRDefault="00C46F62">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67399A"/>
    <w:rsid w:val="00A361B0"/>
    <w:rsid w:val="00C46F62"/>
  </w:rsids>
  <m:mathPr>
    <m:mathFont m:val="Cambria Math"/>
    <m:brkBin m:val="before"/>
    <m:brkBinSub m:val="--"/>
    <m:smallFrac m:val="0"/>
    <m:dispDef/>
    <m:lMargin m:val="0"/>
    <m:rMargin m:val="0"/>
    <m:defJc m:val="centerGroup"/>
    <m:wrapIndent m:val="1440"/>
    <m:intLim m:val="subSup"/>
    <m:naryLim m:val="undOvr"/>
  </m:mathPr>
  <w:themeFontLang w:val="lt-LT" w:eastAsia="zh-TW"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8DBA4A"/>
  <w15:docId w15:val="{968C89CE-C4FE-47CC-B5E8-6EB627086B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7399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74480">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70084612">
      <w:bodyDiv w:val="1"/>
      <w:marLeft w:val="0"/>
      <w:marRight w:val="0"/>
      <w:marTop w:val="0"/>
      <w:marBottom w:val="0"/>
      <w:divBdr>
        <w:top w:val="none" w:sz="0" w:space="0" w:color="auto"/>
        <w:left w:val="none" w:sz="0" w:space="0" w:color="auto"/>
        <w:bottom w:val="none" w:sz="0" w:space="0" w:color="auto"/>
        <w:right w:val="none" w:sz="0" w:space="0" w:color="auto"/>
      </w:divBdr>
    </w:div>
    <w:div w:id="204103240">
      <w:bodyDiv w:val="1"/>
      <w:marLeft w:val="0"/>
      <w:marRight w:val="0"/>
      <w:marTop w:val="0"/>
      <w:marBottom w:val="0"/>
      <w:divBdr>
        <w:top w:val="none" w:sz="0" w:space="0" w:color="auto"/>
        <w:left w:val="none" w:sz="0" w:space="0" w:color="auto"/>
        <w:bottom w:val="none" w:sz="0" w:space="0" w:color="auto"/>
        <w:right w:val="none" w:sz="0" w:space="0" w:color="auto"/>
      </w:divBdr>
    </w:div>
    <w:div w:id="263926199">
      <w:bodyDiv w:val="1"/>
      <w:marLeft w:val="0"/>
      <w:marRight w:val="0"/>
      <w:marTop w:val="0"/>
      <w:marBottom w:val="0"/>
      <w:divBdr>
        <w:top w:val="none" w:sz="0" w:space="0" w:color="auto"/>
        <w:left w:val="none" w:sz="0" w:space="0" w:color="auto"/>
        <w:bottom w:val="none" w:sz="0" w:space="0" w:color="auto"/>
        <w:right w:val="none" w:sz="0" w:space="0" w:color="auto"/>
      </w:divBdr>
    </w:div>
    <w:div w:id="285090885">
      <w:bodyDiv w:val="1"/>
      <w:marLeft w:val="0"/>
      <w:marRight w:val="0"/>
      <w:marTop w:val="0"/>
      <w:marBottom w:val="0"/>
      <w:divBdr>
        <w:top w:val="none" w:sz="0" w:space="0" w:color="auto"/>
        <w:left w:val="none" w:sz="0" w:space="0" w:color="auto"/>
        <w:bottom w:val="none" w:sz="0" w:space="0" w:color="auto"/>
        <w:right w:val="none" w:sz="0" w:space="0" w:color="auto"/>
      </w:divBdr>
    </w:div>
    <w:div w:id="451753492">
      <w:bodyDiv w:val="1"/>
      <w:marLeft w:val="0"/>
      <w:marRight w:val="0"/>
      <w:marTop w:val="0"/>
      <w:marBottom w:val="0"/>
      <w:divBdr>
        <w:top w:val="none" w:sz="0" w:space="0" w:color="auto"/>
        <w:left w:val="none" w:sz="0" w:space="0" w:color="auto"/>
        <w:bottom w:val="none" w:sz="0" w:space="0" w:color="auto"/>
        <w:right w:val="none" w:sz="0" w:space="0" w:color="auto"/>
      </w:divBdr>
    </w:div>
    <w:div w:id="458569366">
      <w:bodyDiv w:val="1"/>
      <w:marLeft w:val="0"/>
      <w:marRight w:val="0"/>
      <w:marTop w:val="0"/>
      <w:marBottom w:val="0"/>
      <w:divBdr>
        <w:top w:val="none" w:sz="0" w:space="0" w:color="auto"/>
        <w:left w:val="none" w:sz="0" w:space="0" w:color="auto"/>
        <w:bottom w:val="none" w:sz="0" w:space="0" w:color="auto"/>
        <w:right w:val="none" w:sz="0" w:space="0" w:color="auto"/>
      </w:divBdr>
    </w:div>
    <w:div w:id="475336610">
      <w:bodyDiv w:val="1"/>
      <w:marLeft w:val="0"/>
      <w:marRight w:val="0"/>
      <w:marTop w:val="0"/>
      <w:marBottom w:val="0"/>
      <w:divBdr>
        <w:top w:val="none" w:sz="0" w:space="0" w:color="auto"/>
        <w:left w:val="none" w:sz="0" w:space="0" w:color="auto"/>
        <w:bottom w:val="none" w:sz="0" w:space="0" w:color="auto"/>
        <w:right w:val="none" w:sz="0" w:space="0" w:color="auto"/>
      </w:divBdr>
    </w:div>
    <w:div w:id="758406344">
      <w:bodyDiv w:val="1"/>
      <w:marLeft w:val="0"/>
      <w:marRight w:val="0"/>
      <w:marTop w:val="0"/>
      <w:marBottom w:val="0"/>
      <w:divBdr>
        <w:top w:val="none" w:sz="0" w:space="0" w:color="auto"/>
        <w:left w:val="none" w:sz="0" w:space="0" w:color="auto"/>
        <w:bottom w:val="none" w:sz="0" w:space="0" w:color="auto"/>
        <w:right w:val="none" w:sz="0" w:space="0" w:color="auto"/>
      </w:divBdr>
    </w:div>
    <w:div w:id="855465206">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54155442">
      <w:bodyDiv w:val="1"/>
      <w:marLeft w:val="0"/>
      <w:marRight w:val="0"/>
      <w:marTop w:val="0"/>
      <w:marBottom w:val="0"/>
      <w:divBdr>
        <w:top w:val="none" w:sz="0" w:space="0" w:color="auto"/>
        <w:left w:val="none" w:sz="0" w:space="0" w:color="auto"/>
        <w:bottom w:val="none" w:sz="0" w:space="0" w:color="auto"/>
        <w:right w:val="none" w:sz="0" w:space="0" w:color="auto"/>
      </w:divBdr>
    </w:div>
    <w:div w:id="1342854728">
      <w:bodyDiv w:val="1"/>
      <w:marLeft w:val="0"/>
      <w:marRight w:val="0"/>
      <w:marTop w:val="0"/>
      <w:marBottom w:val="0"/>
      <w:divBdr>
        <w:top w:val="none" w:sz="0" w:space="0" w:color="auto"/>
        <w:left w:val="none" w:sz="0" w:space="0" w:color="auto"/>
        <w:bottom w:val="none" w:sz="0" w:space="0" w:color="auto"/>
        <w:right w:val="none" w:sz="0" w:space="0" w:color="auto"/>
      </w:divBdr>
    </w:div>
    <w:div w:id="1381322951">
      <w:bodyDiv w:val="1"/>
      <w:marLeft w:val="0"/>
      <w:marRight w:val="0"/>
      <w:marTop w:val="0"/>
      <w:marBottom w:val="0"/>
      <w:divBdr>
        <w:top w:val="none" w:sz="0" w:space="0" w:color="auto"/>
        <w:left w:val="none" w:sz="0" w:space="0" w:color="auto"/>
        <w:bottom w:val="none" w:sz="0" w:space="0" w:color="auto"/>
        <w:right w:val="none" w:sz="0" w:space="0" w:color="auto"/>
      </w:divBdr>
      <w:divsChild>
        <w:div w:id="205914187">
          <w:marLeft w:val="0"/>
          <w:marRight w:val="0"/>
          <w:marTop w:val="0"/>
          <w:marBottom w:val="0"/>
          <w:divBdr>
            <w:top w:val="none" w:sz="0" w:space="0" w:color="auto"/>
            <w:left w:val="none" w:sz="0" w:space="0" w:color="auto"/>
            <w:bottom w:val="none" w:sz="0" w:space="0" w:color="auto"/>
            <w:right w:val="none" w:sz="0" w:space="0" w:color="auto"/>
          </w:divBdr>
        </w:div>
        <w:div w:id="1494372254">
          <w:marLeft w:val="0"/>
          <w:marRight w:val="0"/>
          <w:marTop w:val="0"/>
          <w:marBottom w:val="0"/>
          <w:divBdr>
            <w:top w:val="none" w:sz="0" w:space="0" w:color="auto"/>
            <w:left w:val="none" w:sz="0" w:space="0" w:color="auto"/>
            <w:bottom w:val="none" w:sz="0" w:space="0" w:color="auto"/>
            <w:right w:val="none" w:sz="0" w:space="0" w:color="auto"/>
          </w:divBdr>
        </w:div>
      </w:divsChild>
    </w:div>
    <w:div w:id="1484933292">
      <w:bodyDiv w:val="1"/>
      <w:marLeft w:val="0"/>
      <w:marRight w:val="0"/>
      <w:marTop w:val="0"/>
      <w:marBottom w:val="0"/>
      <w:divBdr>
        <w:top w:val="none" w:sz="0" w:space="0" w:color="auto"/>
        <w:left w:val="none" w:sz="0" w:space="0" w:color="auto"/>
        <w:bottom w:val="none" w:sz="0" w:space="0" w:color="auto"/>
        <w:right w:val="none" w:sz="0" w:space="0" w:color="auto"/>
      </w:divBdr>
    </w:div>
    <w:div w:id="1563522558">
      <w:bodyDiv w:val="1"/>
      <w:marLeft w:val="0"/>
      <w:marRight w:val="0"/>
      <w:marTop w:val="0"/>
      <w:marBottom w:val="0"/>
      <w:divBdr>
        <w:top w:val="none" w:sz="0" w:space="0" w:color="auto"/>
        <w:left w:val="none" w:sz="0" w:space="0" w:color="auto"/>
        <w:bottom w:val="none" w:sz="0" w:space="0" w:color="auto"/>
        <w:right w:val="none" w:sz="0" w:space="0" w:color="auto"/>
      </w:divBdr>
    </w:div>
    <w:div w:id="1603684706">
      <w:bodyDiv w:val="1"/>
      <w:marLeft w:val="0"/>
      <w:marRight w:val="0"/>
      <w:marTop w:val="0"/>
      <w:marBottom w:val="0"/>
      <w:divBdr>
        <w:top w:val="none" w:sz="0" w:space="0" w:color="auto"/>
        <w:left w:val="none" w:sz="0" w:space="0" w:color="auto"/>
        <w:bottom w:val="none" w:sz="0" w:space="0" w:color="auto"/>
        <w:right w:val="none" w:sz="0" w:space="0" w:color="auto"/>
      </w:divBdr>
    </w:div>
    <w:div w:id="171916499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43088445">
      <w:bodyDiv w:val="1"/>
      <w:marLeft w:val="0"/>
      <w:marRight w:val="0"/>
      <w:marTop w:val="0"/>
      <w:marBottom w:val="0"/>
      <w:divBdr>
        <w:top w:val="none" w:sz="0" w:space="0" w:color="auto"/>
        <w:left w:val="none" w:sz="0" w:space="0" w:color="auto"/>
        <w:bottom w:val="none" w:sz="0" w:space="0" w:color="auto"/>
        <w:right w:val="none" w:sz="0" w:space="0" w:color="auto"/>
      </w:divBdr>
    </w:div>
    <w:div w:id="1847747882">
      <w:bodyDiv w:val="1"/>
      <w:marLeft w:val="0"/>
      <w:marRight w:val="0"/>
      <w:marTop w:val="0"/>
      <w:marBottom w:val="0"/>
      <w:divBdr>
        <w:top w:val="none" w:sz="0" w:space="0" w:color="auto"/>
        <w:left w:val="none" w:sz="0" w:space="0" w:color="auto"/>
        <w:bottom w:val="none" w:sz="0" w:space="0" w:color="auto"/>
        <w:right w:val="none" w:sz="0" w:space="0" w:color="auto"/>
      </w:divBdr>
    </w:div>
    <w:div w:id="1991326259">
      <w:bodyDiv w:val="1"/>
      <w:marLeft w:val="0"/>
      <w:marRight w:val="0"/>
      <w:marTop w:val="0"/>
      <w:marBottom w:val="0"/>
      <w:divBdr>
        <w:top w:val="none" w:sz="0" w:space="0" w:color="auto"/>
        <w:left w:val="none" w:sz="0" w:space="0" w:color="auto"/>
        <w:bottom w:val="none" w:sz="0" w:space="0" w:color="auto"/>
        <w:right w:val="none" w:sz="0" w:space="0" w:color="auto"/>
      </w:divBdr>
    </w:div>
    <w:div w:id="2122021096">
      <w:bodyDiv w:val="1"/>
      <w:marLeft w:val="0"/>
      <w:marRight w:val="0"/>
      <w:marTop w:val="0"/>
      <w:marBottom w:val="0"/>
      <w:divBdr>
        <w:top w:val="none" w:sz="0" w:space="0" w:color="auto"/>
        <w:left w:val="none" w:sz="0" w:space="0" w:color="auto"/>
        <w:bottom w:val="none" w:sz="0" w:space="0" w:color="auto"/>
        <w:right w:val="none" w:sz="0" w:space="0" w:color="auto"/>
      </w:divBdr>
    </w:div>
    <w:div w:id="21258062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8BF2C8D6-221E-4052-BAC8-77DA9FFB84EB}"/>
      </w:docPartPr>
      <w:docPartBody>
        <w:p w:rsidR="00000000" w:rsidRDefault="0016719C">
          <w:r w:rsidRPr="0006249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719C"/>
    <w:rsid w:val="001671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6719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68e33c607a7c4131b265d3d7c538535e" PartId="696f2f9191304290b19e189e35261d50">
    <Part Type="preambule" DocPartId="d311ace1287449789e5db86443f262ed" PartId="217f9dec83fb43d28a253811005151d8">
      <Part Type="citata" DocPartId="00ed8e2a3e694723bfcc63608e2cfceb" PartId="c5313c32fa8b491495f1de797b5ae548">
        <Part Type="papunktis" Nr="2.9" Abbr="2.9 pp." DocPartId="d218491fb505426fa0b5fd08c5a6bb42" PartId="03906bd7b29c4bc681f5504012b315e0"/>
      </Part>
      <Part Type="pastraipa" DocPartId="6d7da19ca6834c8eabb7141ceac2f29c" PartId="7422dd59f97b4d85937a391002c80dae"/>
    </Part>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DCBF2F-6D6E-4427-A820-F23C496E24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E079359D-5A3D-4DAD-9652-BD676BA30494}">
  <ds:schemaRefs>
    <ds:schemaRef ds:uri="http://lrs.lt/TAIS/DocParts"/>
  </ds:schemaRefs>
</ds:datastoreItem>
</file>

<file path=customXml/itemProps5.xml><?xml version="1.0" encoding="utf-8"?>
<ds:datastoreItem xmlns:ds="http://schemas.openxmlformats.org/officeDocument/2006/customXml" ds:itemID="{8713CE1E-F006-459F-84BB-BC4FD12CF045}">
  <ds:schemaRefs>
    <ds:schemaRef ds:uri="http://schemas.openxmlformats.org/officeDocument/2006/bibliography"/>
  </ds:schemaRefs>
</ds:datastoreItem>
</file>

<file path=customXml/itemProps6.xml><?xml version="1.0" encoding="utf-8"?>
<ds:datastoreItem xmlns:ds="http://schemas.openxmlformats.org/officeDocument/2006/customXml" ds:itemID="{25C5DE02-7759-47AD-9C98-537E092087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1213</Words>
  <Characters>692</Characters>
  <Application>Microsoft Office Word</Application>
  <DocSecurity>0</DocSecurity>
  <Lines>5</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 PFSA_IPP specialistų mokymai_07.27</vt:lpstr>
      <vt:lpstr>1. PFSA_IPP specialistų mokymai_07.27</vt:lpstr>
    </vt:vector>
  </TitlesOfParts>
  <Company>HP Inc.</Company>
  <LinksUpToDate>false</LinksUpToDate>
  <CharactersWithSpaces>1902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PFSA_IPP specialistų mokymai_07.27</dc:title>
  <dc:creator>Virginija Levinskienė</dc:creator>
  <cp:lastModifiedBy>GRINKEVIČIŪTĖ Agnė</cp:lastModifiedBy>
  <cp:revision>3</cp:revision>
  <dcterms:created xsi:type="dcterms:W3CDTF">2025-05-12T06:01:00Z</dcterms:created>
  <dcterms:modified xsi:type="dcterms:W3CDTF">2025-05-12T07:39:00Z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244;#Sveikatos projektų skyrius|5908eca3-6d57-464f-8cbe-536f81c5e307;#3308;#Procesų valdymo skyrius|1d2453fc-c175-46b4-b9fe-6151c1a059d8;#62;#Finansų skyrius|7d9d544b-d496-4126-a894-fd0e68da2d8e</vt:lpwstr>
  </property>
  <property fmtid="{D5CDD505-2E9C-101B-9397-08002B2CF9AE}" pid="5" name="ContentTypeId">
    <vt:lpwstr>0x010100D76F90AF19434866994CD715ED8FEE4200712820E1B0DE314FBCE77D75ADAD206D</vt:lpwstr>
  </property>
  <property fmtid="{D5CDD505-2E9C-101B-9397-08002B2CF9AE}" pid="6" name="DmsPermissionsUsers">
    <vt:lpwstr>743;#Justina Martinėlė;#134;#Aurima Lasickienė;#1119;#Mantas Bernotas;#1227;#Sonata Macijauskienė;#166;#Margarita Kairienė;#1089;#Rasa Mockutė;#1175;#Dalia Česlauskaitė;#1188;#Laura Jurevičienė;#758;#Toma Šukienė</vt:lpwstr>
  </property>
  <property fmtid="{D5CDD505-2E9C-101B-9397-08002B2CF9AE}" pid="7" name="DmsPermissionsConfid">
    <vt:bool>true</vt:bool>
  </property>
  <property fmtid="{D5CDD505-2E9C-101B-9397-08002B2CF9AE}" pid="8" name="DmsDocPrepDocSendRegReal">
    <vt:bool>false</vt:bool>
  </property>
  <property fmtid="{D5CDD505-2E9C-101B-9397-08002B2CF9AE}" pid="9" name="DmsWaitingForSign">
    <vt:bool>true</vt:bool>
  </property>
</Properties>
</file>