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4562" w14:textId="77777777" w:rsidR="00573DA9" w:rsidRDefault="00A92397">
      <w:pPr>
        <w:suppressAutoHyphens/>
        <w:jc w:val="center"/>
        <w:rPr>
          <w:spacing w:val="8"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3EC5457C" wp14:editId="3EC5457D">
            <wp:extent cx="521335" cy="62484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54563" w14:textId="77777777" w:rsidR="00573DA9" w:rsidRDefault="00A92397">
      <w:pPr>
        <w:suppressAutoHyphens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APLINKOS MINISTRAS</w:t>
      </w:r>
    </w:p>
    <w:p w14:paraId="3EC54564" w14:textId="77777777" w:rsidR="00573DA9" w:rsidRDefault="00573DA9">
      <w:pPr>
        <w:jc w:val="center"/>
        <w:rPr>
          <w:szCs w:val="24"/>
        </w:rPr>
      </w:pPr>
    </w:p>
    <w:p w14:paraId="3EC54565" w14:textId="77777777" w:rsidR="00573DA9" w:rsidRDefault="00A92397">
      <w:pPr>
        <w:suppressAutoHyphens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3EC54566" w14:textId="77777777" w:rsidR="00573DA9" w:rsidRDefault="00A92397">
      <w:pPr>
        <w:suppressAutoHyphens/>
        <w:snapToGrid w:val="0"/>
        <w:spacing w:line="100" w:lineRule="atLeast"/>
        <w:jc w:val="center"/>
        <w:rPr>
          <w:rFonts w:eastAsia="Arial Unicode MS"/>
          <w:b/>
          <w:bC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LIETUVOS RESPUBLIKOS APLINKOS MINISTRO 2014 M. KOVO 14 D. ĮSAKYMO NR. D1-281 „DĖL PAUKŠČIŲ APSAUGAI SVARBIŲ TERITORIJŲ NUSTATYMO“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 PAKEITIMO</w:t>
      </w:r>
    </w:p>
    <w:p w14:paraId="3EC54567" w14:textId="77777777" w:rsidR="00573DA9" w:rsidRDefault="00573DA9">
      <w:pPr>
        <w:suppressAutoHyphens/>
        <w:jc w:val="center"/>
        <w:rPr>
          <w:b/>
          <w:szCs w:val="24"/>
          <w:lang w:eastAsia="lt-LT"/>
        </w:rPr>
      </w:pPr>
    </w:p>
    <w:p w14:paraId="3EC54568" w14:textId="77777777" w:rsidR="00573DA9" w:rsidRDefault="00A92397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2015 m. liepos 08 d. Nr. D1-530</w:t>
      </w:r>
    </w:p>
    <w:p w14:paraId="3EC54569" w14:textId="77777777" w:rsidR="00573DA9" w:rsidRDefault="00A92397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3EC5456A" w14:textId="77777777" w:rsidR="00573DA9" w:rsidRDefault="00573DA9">
      <w:pPr>
        <w:suppressAutoHyphens/>
        <w:jc w:val="center"/>
        <w:rPr>
          <w:szCs w:val="24"/>
          <w:lang w:eastAsia="lt-LT"/>
        </w:rPr>
      </w:pPr>
    </w:p>
    <w:p w14:paraId="3EC5456B" w14:textId="77777777" w:rsidR="00573DA9" w:rsidRDefault="00573DA9">
      <w:pPr>
        <w:suppressAutoHyphens/>
        <w:jc w:val="center"/>
        <w:rPr>
          <w:szCs w:val="24"/>
          <w:lang w:eastAsia="lt-LT"/>
        </w:rPr>
      </w:pPr>
    </w:p>
    <w:p w14:paraId="3EC5456C" w14:textId="77777777" w:rsidR="00573DA9" w:rsidRDefault="00A92397">
      <w:pPr>
        <w:shd w:val="clear" w:color="auto" w:fill="FFFFFF"/>
        <w:suppressAutoHyphens/>
        <w:ind w:firstLine="54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Paukščių apsaugai svarbių teritorijų sąrašą, patvirtintą Lietuvos Respublikos aplinkos ministro 2014 m. kovo 14 d. įsakymu Nr. D1-281 „Dėl paukščių apsaugai svarbių teritorijų nustatymo“</w:t>
      </w:r>
      <w:r>
        <w:rPr>
          <w:color w:val="000000"/>
          <w:szCs w:val="24"/>
          <w:lang w:eastAsia="lt-LT"/>
        </w:rPr>
        <w:t xml:space="preserve">, </w:t>
      </w:r>
      <w:r>
        <w:rPr>
          <w:szCs w:val="24"/>
          <w:lang w:eastAsia="lt-LT"/>
        </w:rPr>
        <w:t>–</w:t>
      </w:r>
    </w:p>
    <w:p w14:paraId="3EC5456D" w14:textId="2E014C02" w:rsidR="00573DA9" w:rsidRDefault="00A92397">
      <w:pPr>
        <w:shd w:val="clear" w:color="auto" w:fill="FFFFFF"/>
        <w:suppressAutoHyphens/>
        <w:ind w:firstLine="54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papildau nauju 84 punktu:</w:t>
      </w:r>
    </w:p>
    <w:p w14:paraId="3EC5456E" w14:textId="4560646B" w:rsidR="00573DA9" w:rsidRDefault="00573DA9">
      <w:pPr>
        <w:shd w:val="clear" w:color="auto" w:fill="FFFFFF"/>
        <w:suppressAutoHyphens/>
        <w:ind w:firstLine="609"/>
        <w:jc w:val="both"/>
        <w:rPr>
          <w:color w:val="000000"/>
          <w:szCs w:val="24"/>
          <w:lang w:eastAsia="lt-LT"/>
        </w:rPr>
      </w:pPr>
    </w:p>
    <w:tbl>
      <w:tblPr>
        <w:tblW w:w="9540" w:type="dxa"/>
        <w:tblInd w:w="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418"/>
        <w:gridCol w:w="991"/>
        <w:gridCol w:w="1418"/>
        <w:gridCol w:w="2125"/>
        <w:gridCol w:w="2974"/>
      </w:tblGrid>
      <w:tr w:rsidR="00573DA9" w14:paraId="3EC54575" w14:textId="77777777">
        <w:trPr>
          <w:cantSplit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C5456F" w14:textId="77777777" w:rsidR="00573DA9" w:rsidRDefault="00A9239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„84.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C54570" w14:textId="77777777" w:rsidR="00573DA9" w:rsidRDefault="00A92397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Klaipėdos–Ventspilio plynaukštė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C54571" w14:textId="77777777" w:rsidR="00573DA9" w:rsidRDefault="00A9239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−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C54572" w14:textId="77777777" w:rsidR="00573DA9" w:rsidRDefault="00A92397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LTPALB002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C54573" w14:textId="77777777" w:rsidR="00573DA9" w:rsidRDefault="00A92397">
            <w:pPr>
              <w:suppressAutoHyphens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shd w:val="clear" w:color="auto" w:fill="FFFFFF"/>
                <w:lang w:eastAsia="lt-LT"/>
              </w:rPr>
              <w:t>žiemojančių nuodėgulių (</w:t>
            </w:r>
            <w:r>
              <w:rPr>
                <w:i/>
                <w:iCs/>
                <w:color w:val="000000"/>
                <w:szCs w:val="24"/>
                <w:shd w:val="clear" w:color="auto" w:fill="FFFFFF"/>
                <w:lang w:eastAsia="lt-LT"/>
              </w:rPr>
              <w:t>Melanitta fusca</w:t>
            </w:r>
            <w:r>
              <w:rPr>
                <w:color w:val="000000"/>
                <w:szCs w:val="24"/>
                <w:shd w:val="clear" w:color="auto" w:fill="FFFFFF"/>
                <w:lang w:eastAsia="lt-LT"/>
              </w:rPr>
              <w:t>) sankaupų vieta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C54574" w14:textId="77777777" w:rsidR="00573DA9" w:rsidRDefault="00A92397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paukščių apsaugai svarbios teritorijos ribos sutampa su Klaipėdos–Ventspilio plynaukštės biosferos poligono ribomis, patvirtintomis </w:t>
            </w:r>
            <w:r>
              <w:rPr>
                <w:color w:val="000000"/>
                <w:szCs w:val="24"/>
                <w:shd w:val="clear" w:color="auto" w:fill="FFFFFF"/>
                <w:lang w:eastAsia="lt-LT"/>
              </w:rPr>
              <w:t xml:space="preserve">Lietuvos Respublikos aplinkos ministro 2015 m. balandžio 23 d. įsakymu Nr. D1-333 „Dėl </w:t>
            </w:r>
            <w:r>
              <w:rPr>
                <w:szCs w:val="24"/>
                <w:lang w:eastAsia="lt-LT"/>
              </w:rPr>
              <w:t>Sambijos plynaukštės ir Klaipėdos–Ven</w:t>
            </w:r>
            <w:r>
              <w:rPr>
                <w:szCs w:val="24"/>
                <w:lang w:eastAsia="lt-LT"/>
              </w:rPr>
              <w:t>tspilio plynaukštės biosferos poligonų įsteigimo, jų ribų planų ir nuostatų patvirtinimo</w:t>
            </w:r>
            <w:r>
              <w:rPr>
                <w:color w:val="000000"/>
                <w:szCs w:val="24"/>
                <w:shd w:val="clear" w:color="auto" w:fill="FFFFFF"/>
                <w:lang w:eastAsia="lt-LT"/>
              </w:rPr>
              <w:t>“</w:t>
            </w:r>
          </w:p>
        </w:tc>
      </w:tr>
    </w:tbl>
    <w:p w14:paraId="3EC54578" w14:textId="7C10DD28" w:rsidR="00573DA9" w:rsidRDefault="00A92397"/>
    <w:p w14:paraId="79EA5583" w14:textId="77777777" w:rsidR="00A92397" w:rsidRDefault="00A92397">
      <w:pPr>
        <w:tabs>
          <w:tab w:val="left" w:pos="7371"/>
        </w:tabs>
        <w:suppressAutoHyphens/>
        <w:ind w:left="8" w:right="34"/>
      </w:pPr>
    </w:p>
    <w:p w14:paraId="6FD51815" w14:textId="77777777" w:rsidR="00A92397" w:rsidRDefault="00A92397">
      <w:pPr>
        <w:tabs>
          <w:tab w:val="left" w:pos="7371"/>
        </w:tabs>
        <w:suppressAutoHyphens/>
        <w:ind w:left="8" w:right="34"/>
      </w:pPr>
    </w:p>
    <w:p w14:paraId="5D09C0AF" w14:textId="77777777" w:rsidR="00A92397" w:rsidRDefault="00A92397">
      <w:pPr>
        <w:tabs>
          <w:tab w:val="left" w:pos="7371"/>
        </w:tabs>
        <w:suppressAutoHyphens/>
        <w:ind w:left="8" w:right="34"/>
      </w:pPr>
    </w:p>
    <w:p w14:paraId="3EC5457B" w14:textId="454612A5" w:rsidR="00573DA9" w:rsidRDefault="00A92397" w:rsidP="00A92397">
      <w:pPr>
        <w:tabs>
          <w:tab w:val="left" w:pos="7371"/>
        </w:tabs>
        <w:suppressAutoHyphens/>
        <w:ind w:left="8" w:right="34"/>
      </w:pPr>
      <w:r>
        <w:rPr>
          <w:lang w:eastAsia="lt-LT"/>
        </w:rPr>
        <w:t>Aplinkos ministras</w:t>
      </w:r>
      <w:r>
        <w:rPr>
          <w:lang w:eastAsia="lt-LT"/>
        </w:rPr>
        <w:tab/>
        <w:t>Kęstutis Trečiokas</w:t>
      </w:r>
    </w:p>
    <w:bookmarkStart w:id="0" w:name="_GoBack" w:displacedByCustomXml="next"/>
    <w:bookmarkEnd w:id="0" w:displacedByCustomXml="next"/>
    <w:sectPr w:rsidR="00573DA9" w:rsidSect="00A92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134" w:right="567" w:bottom="1134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4580" w14:textId="77777777" w:rsidR="00573DA9" w:rsidRDefault="00A92397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EC54581" w14:textId="77777777" w:rsidR="00573DA9" w:rsidRDefault="00A92397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4584" w14:textId="77777777" w:rsidR="00573DA9" w:rsidRDefault="00573DA9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4585" w14:textId="77777777" w:rsidR="00573DA9" w:rsidRDefault="00573DA9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4587" w14:textId="77777777" w:rsidR="00573DA9" w:rsidRDefault="00573DA9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5457E" w14:textId="77777777" w:rsidR="00573DA9" w:rsidRDefault="00A92397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EC5457F" w14:textId="77777777" w:rsidR="00573DA9" w:rsidRDefault="00A92397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4582" w14:textId="77777777" w:rsidR="00573DA9" w:rsidRDefault="00573DA9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4583" w14:textId="77777777" w:rsidR="00573DA9" w:rsidRDefault="00573DA9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4586" w14:textId="77777777" w:rsidR="00573DA9" w:rsidRDefault="00573DA9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2"/>
    <w:rsid w:val="00573DA9"/>
    <w:rsid w:val="00A92397"/>
    <w:rsid w:val="00E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EC54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923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92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1"/>
    <w:rsid w:val="00F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42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42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2015-07-10T07:42:00Z</dcterms:created>
  <dcterms:modified xsi:type="dcterms:W3CDTF">2015-07-10T07:47:00Z</dcterms:modified>
  <revision>1</revision>
</coreProperties>
</file>