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F0766D2" wp14:editId="2A002C5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GELEŽINKELIŲ TRANSPORTO EISMO SAUGOS ĮSTATYMO NR. IX-1905 31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XIII-754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31 straipsnio pakeitimas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Pripažinti netekusia galios 31 straipsnio 3 dalį.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szCs w:val="24"/>
          <w:lang w:eastAsia="lt-LT"/>
        </w:rPr>
        <w:t>Šis įstatymas įsigalioja 2017 m. gruodžio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386</Characters>
  <Application>Microsoft Office Word</Application>
  <DocSecurity>4</DocSecurity>
  <Lines>24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430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2017-11-28T07:39:00Z</dcterms:created>
  <dc:creator>DRAZDAUSKIENĖ Nijolė</dc:creator>
  <lastModifiedBy>adlibuser</lastModifiedBy>
  <lastPrinted>2004-12-10T05:45:00Z</lastPrinted>
  <dcterms:modified xsi:type="dcterms:W3CDTF">2017-11-28T07:39:00Z</dcterms:modified>
  <revision>2</revision>
</coreProperties>
</file>