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9ac13d3795e4036adff12631e98c954"/>
        <w:lock w:val="sdtLocked"/>
        <w:richText/>
      </w:sdtPr>
      <w:sdtContent>
        <w:p>
          <w:pPr>
            <w:shd w:val="clear" w:color="auto" w:fill="FFFFFF"/>
            <w:jc w:val="center"/>
            <w:outlineLvl w:val="1"/>
            <w:rPr>
              <w:b/>
              <w:bCs/>
              <w:szCs w:val="24"/>
              <w:lang w:eastAsia="lt-LT"/>
            </w:rPr>
          </w:pPr>
          <w:r>
            <w:rPr>
              <w:sz w:val="22"/>
              <w:szCs w:val="22"/>
              <w:lang w:val="en-US"/>
            </w:rPr>
            <w:drawing>
              <wp:anchor distT="0" distB="0" distL="114300" distR="114300" simplePos="0" relativeHeight="251659264" behindDoc="1" locked="0" layoutInCell="1" allowOverlap="1" wp14:anchorId="02EC8BC5" wp14:editId="63ACFF00">
                <wp:simplePos x="0" y="0"/>
                <wp:positionH relativeFrom="column">
                  <wp:posOffset>2634615</wp:posOffset>
                </wp:positionH>
                <wp:positionV relativeFrom="paragraph">
                  <wp:posOffset>95250</wp:posOffset>
                </wp:positionV>
                <wp:extent cx="590550" cy="714375"/>
                <wp:effectExtent l="0" t="0" r="0" b="9525"/>
                <wp:wrapTight wrapText="bothSides">
                  <wp:wrapPolygon edited="0">
                    <wp:start x="0" y="0"/>
                    <wp:lineTo x="0" y="16128"/>
                    <wp:lineTo x="1394" y="19008"/>
                    <wp:lineTo x="5574" y="21312"/>
                    <wp:lineTo x="6271" y="21312"/>
                    <wp:lineTo x="14632" y="21312"/>
                    <wp:lineTo x="15329" y="21312"/>
                    <wp:lineTo x="20206" y="18432"/>
                    <wp:lineTo x="20903" y="16704"/>
                    <wp:lineTo x="20903" y="0"/>
                    <wp:lineTo x="0" y="0"/>
                  </wp:wrapPolygon>
                </wp:wrapTight>
                <wp:docPr id="3" name="Paveikslėlis 1" descr="isgyaz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Paveikslėlis 1" descr="isgyaz13"/>
                        <pic:cNvPicPr>
                          <a:picLocks noChangeAspect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14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  <w:p>
          <w:pPr>
            <w:shd w:val="clear" w:color="auto" w:fill="FFFFFF"/>
            <w:jc w:val="center"/>
            <w:outlineLvl w:val="1"/>
            <w:rPr>
              <w:b/>
              <w:bCs/>
              <w:szCs w:val="24"/>
              <w:lang w:eastAsia="lt-LT"/>
            </w:rPr>
          </w:pPr>
        </w:p>
        <w:p>
          <w:pPr>
            <w:shd w:val="clear" w:color="auto" w:fill="FFFFFF"/>
            <w:jc w:val="center"/>
            <w:outlineLvl w:val="1"/>
            <w:rPr>
              <w:b/>
              <w:bCs/>
              <w:szCs w:val="24"/>
              <w:lang w:eastAsia="lt-LT"/>
            </w:rPr>
          </w:pPr>
        </w:p>
        <w:p>
          <w:pPr>
            <w:shd w:val="clear" w:color="auto" w:fill="FFFFFF"/>
            <w:jc w:val="center"/>
            <w:outlineLvl w:val="1"/>
            <w:rPr>
              <w:b/>
              <w:bCs/>
              <w:szCs w:val="24"/>
              <w:lang w:eastAsia="lt-LT"/>
            </w:rPr>
          </w:pPr>
        </w:p>
        <w:p>
          <w:pPr>
            <w:shd w:val="clear" w:color="auto" w:fill="FFFFFF"/>
            <w:jc w:val="center"/>
            <w:outlineLvl w:val="1"/>
            <w:rPr>
              <w:b/>
              <w:bCs/>
              <w:szCs w:val="24"/>
              <w:lang w:eastAsia="lt-LT"/>
            </w:rPr>
          </w:pPr>
        </w:p>
        <w:p>
          <w:pPr>
            <w:shd w:val="clear" w:color="auto" w:fill="FFFFFF"/>
            <w:jc w:val="center"/>
            <w:outlineLvl w:val="1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PAKRUOJO RAJONO SAVIVALDYBĖS TARYBA</w:t>
          </w:r>
        </w:p>
        <w:p>
          <w:pPr>
            <w:shd w:val="clear" w:color="auto" w:fill="FFFFFF"/>
            <w:jc w:val="center"/>
            <w:outlineLvl w:val="1"/>
            <w:rPr>
              <w:b/>
              <w:bCs/>
              <w:szCs w:val="24"/>
              <w:lang w:eastAsia="lt-LT"/>
            </w:rPr>
          </w:pPr>
        </w:p>
        <w:p>
          <w:pPr>
            <w:shd w:val="clear" w:color="auto" w:fill="FFFFFF"/>
            <w:jc w:val="center"/>
            <w:outlineLvl w:val="1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>
          <w:pPr>
            <w:shd w:val="clear" w:color="auto" w:fill="FFFFFF"/>
            <w:jc w:val="center"/>
            <w:outlineLvl w:val="1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DĖL 2024–2029 M. ŠIAULIŲ REGIONO FUNKCINĖS ZONOS STRATEGIJOS PATVIRTINIMO</w:t>
          </w:r>
        </w:p>
        <w:p>
          <w:pPr>
            <w:shd w:val="clear" w:color="auto" w:fill="FFFFFF"/>
            <w:jc w:val="center"/>
            <w:outlineLvl w:val="1"/>
            <w:rPr>
              <w:b/>
              <w:bCs/>
              <w:szCs w:val="24"/>
              <w:lang w:eastAsia="lt-LT"/>
            </w:rPr>
          </w:pPr>
        </w:p>
        <w:p>
          <w:pPr>
            <w:suppressAutoHyphens/>
            <w:jc w:val="center"/>
            <w:rPr>
              <w:color w:val="000000"/>
              <w:kern w:val="3"/>
              <w:szCs w:val="24"/>
            </w:rPr>
          </w:pPr>
          <w:r>
            <w:rPr>
              <w:color w:val="000000"/>
              <w:kern w:val="3"/>
              <w:szCs w:val="24"/>
            </w:rPr>
            <w:t>2024 m. rugpjūčio 22 d. Nr. T-272</w:t>
          </w:r>
        </w:p>
        <w:p>
          <w:pPr>
            <w:shd w:val="clear" w:color="auto" w:fill="FFFFFF"/>
            <w:jc w:val="center"/>
            <w:outlineLvl w:val="1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Pakruojis</w:t>
          </w:r>
        </w:p>
        <w:p>
          <w:pPr>
            <w:shd w:val="clear" w:color="auto" w:fill="FFFFFF"/>
            <w:jc w:val="both"/>
            <w:outlineLvl w:val="1"/>
            <w:rPr>
              <w:szCs w:val="24"/>
              <w:lang w:eastAsia="lt-LT"/>
            </w:rPr>
          </w:pPr>
        </w:p>
        <w:p>
          <w:pPr>
            <w:shd w:val="clear" w:color="auto" w:fill="FFFFFF"/>
            <w:jc w:val="both"/>
            <w:outlineLvl w:val="1"/>
            <w:rPr>
              <w:szCs w:val="24"/>
              <w:lang w:eastAsia="lt-LT"/>
            </w:rPr>
          </w:pPr>
        </w:p>
        <w:sdt>
          <w:sdtPr>
            <w:alias w:val="preambule"/>
            <w:tag w:val="part_6bf950eef9da401db157a3a89658c054"/>
            <w:lock w:val="sdtLocked"/>
            <w:richText/>
          </w:sdtPr>
          <w:sdtContent>
            <w:p>
              <w:pPr>
                <w:shd w:val="clear" w:color="auto" w:fill="FFFFFF"/>
                <w:ind w:firstLine="851"/>
                <w:jc w:val="both"/>
                <w:outlineLvl w:val="1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5 straipsnio 3 dalimi, 15 straipsnio 2 dalies 32 punktu, 15 straipsnio 4 dalimi, Lietuvos Respublikos regioninės plėtros įstatymo 13 straipsnio 1 dalies 2 ir 3 punktais ir </w:t>
              </w:r>
              <w:r>
                <w:rPr>
                  <w:rFonts w:eastAsia="Calibri"/>
                  <w:szCs w:val="24"/>
                </w:rPr>
                <w:t>Tvarios miesto plėtros strategijų ir funkcinių zonų strategijų rengimo ir įgyvendinimo stebėsenos tvarkos aprašo, patvirtinto Lietuvos Respublikos vidaus reikalų ministro 2023 m. sausio 19 d. įsakymu Nr. 1V-30 „Dėl Tvarios miesto plėtros strategijų ir funkcinių zonų strategijų rengimo ir įgyvendinimo stebėsenos tvarkos aprašo</w:t>
              </w:r>
              <w:r>
                <w:rPr>
                  <w:szCs w:val="24"/>
                  <w:shd w:val="clear" w:color="auto" w:fill="FFFFFF"/>
                </w:rPr>
                <w:t xml:space="preserve"> patvirtinimo“, 53 punktu, Pakruojo rajono savivaldybės </w:t>
              </w:r>
              <w:r>
                <w:rPr>
                  <w:szCs w:val="24"/>
                  <w:lang w:eastAsia="lt-LT"/>
                </w:rPr>
                <w:t>taryba n u s p r e n d ž i a:</w:t>
              </w:r>
            </w:p>
          </w:sdtContent>
        </w:sdt>
        <w:sdt>
          <w:sdtPr>
            <w:alias w:val="1 p."/>
            <w:tag w:val="part_c0256f4429f44c12b647e19d85f5eb7f"/>
            <w:lock w:val="sdtLocked"/>
            <w:richText/>
          </w:sdtPr>
          <w:sdtContent>
            <w:p>
              <w:pPr>
                <w:shd w:val="clear" w:color="auto" w:fill="FFFFFF"/>
                <w:tabs>
                  <w:tab w:val="left" w:pos="1134"/>
                </w:tabs>
                <w:ind w:firstLine="851"/>
                <w:jc w:val="both"/>
                <w:outlineLvl w:val="1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0256f4429f44c12b647e19d85f5eb7f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Patvirtinti 2024–2029 m. Šiaulių regiono funkcinės zonos strategiją (toliau – Strategija) (pridedama).</w:t>
              </w:r>
            </w:p>
          </w:sdtContent>
        </w:sdt>
        <w:sdt>
          <w:sdtPr>
            <w:alias w:val="2 p."/>
            <w:tag w:val="part_981ea224981c418482c7de54a22665e1"/>
            <w:lock w:val="sdtLocked"/>
            <w:richText/>
          </w:sdtPr>
          <w:sdtContent>
            <w:p>
              <w:pPr>
                <w:shd w:val="clear" w:color="auto" w:fill="FFFFFF"/>
                <w:tabs>
                  <w:tab w:val="left" w:pos="1134"/>
                </w:tabs>
                <w:ind w:firstLine="851"/>
                <w:jc w:val="both"/>
                <w:outlineLvl w:val="1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81ea224981c418482c7de54a22665e1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Pritarti Susitarimo dėl 2024–2029 m. Šiaulių regiono funkcinės zonos strategijos įgyvendinimo (toliau – Susitarimas) projektui (pridedama).</w:t>
              </w:r>
            </w:p>
          </w:sdtContent>
        </w:sdt>
        <w:sdt>
          <w:sdtPr>
            <w:alias w:val="3 p."/>
            <w:tag w:val="part_ec34d63e49f34c34afd28fb3c0083120"/>
            <w:lock w:val="sdtLocked"/>
            <w:richText/>
          </w:sdtPr>
          <w:sdtContent>
            <w:p>
              <w:pPr>
                <w:shd w:val="clear" w:color="auto" w:fill="FFFFFF"/>
                <w:tabs>
                  <w:tab w:val="left" w:pos="1134"/>
                </w:tabs>
                <w:ind w:firstLine="851"/>
                <w:jc w:val="both"/>
                <w:outlineLvl w:val="1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c34d63e49f34c34afd28fb3c0083120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Įgalioti Saulių Margį, Pakruojo rajono savivaldybės merą:</w:t>
              </w:r>
            </w:p>
            <w:sdt>
              <w:sdtPr>
                <w:alias w:val="3.1 pp."/>
                <w:tag w:val="part_f20f9c6426f948928eabe8646d88ccf8"/>
                <w:lock w:val="sdtLocked"/>
                <w:richText/>
              </w:sdtPr>
              <w:sdtContent>
                <w:p>
                  <w:pPr>
                    <w:shd w:val="clear" w:color="auto" w:fill="FFFFFF"/>
                    <w:tabs>
                      <w:tab w:val="left" w:pos="1134"/>
                    </w:tabs>
                    <w:ind w:firstLine="851"/>
                    <w:jc w:val="both"/>
                    <w:outlineLvl w:val="1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20f9c6426f948928eabe8646d88ccf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>pasirašyti Susitarimą;</w:t>
                  </w:r>
                </w:p>
              </w:sdtContent>
            </w:sdt>
            <w:sdt>
              <w:sdtPr>
                <w:alias w:val="3.2 pp."/>
                <w:tag w:val="part_18ed09bace1f4384a7094e4dc1a5e023"/>
                <w:lock w:val="sdtLocked"/>
                <w:richText/>
              </w:sdtPr>
              <w:sdtContent>
                <w:p>
                  <w:pPr>
                    <w:shd w:val="clear" w:color="auto" w:fill="FFFFFF"/>
                    <w:tabs>
                      <w:tab w:val="left" w:pos="1134"/>
                    </w:tabs>
                    <w:ind w:firstLine="851"/>
                    <w:jc w:val="both"/>
                    <w:outlineLvl w:val="1"/>
                    <w:rPr>
                      <w:szCs w:val="24"/>
                    </w:rPr>
                  </w:pPr>
                  <w:sdt>
                    <w:sdtPr>
                      <w:alias w:val="Numeris"/>
                      <w:tag w:val="nr_18ed09bace1f4384a7094e4dc1a5e02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 xml:space="preserve">teikti Šiaulių regiono plėtros tarybai pasiūlymus įtraukti </w:t>
                  </w:r>
                  <w:r>
                    <w:rPr>
                      <w:rFonts w:eastAsia="Calibri"/>
                      <w:szCs w:val="24"/>
                    </w:rPr>
                    <w:t xml:space="preserve">Strategijos įgyvendinimo veiksmų plane numatytus </w:t>
                  </w:r>
                  <w:r>
                    <w:rPr>
                      <w:szCs w:val="24"/>
                    </w:rPr>
                    <w:t>veiksmus į 2022–2030 metų Šiaulių regiono plėtros planą.</w:t>
                  </w:r>
                </w:p>
                <w:p>
                  <w:pPr>
                    <w:spacing w:line="259" w:lineRule="auto"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sprendimas gali būti skundžiamas Lietuvos Respublikos administracinių bylų teisenos įstatymo nustatyta tvarka.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shd w:val="clear" w:color="auto" w:fill="FFFFFF"/>
                    <w:tabs>
                      <w:tab w:val="left" w:pos="1134"/>
                    </w:tabs>
                    <w:ind w:firstLine="851"/>
                    <w:jc w:val="both"/>
                    <w:outlineLvl w:val="1"/>
                    <w:rPr>
                      <w:szCs w:val="24"/>
                      <w:lang w:eastAsia="lt-LT"/>
                    </w:rPr>
                  </w:pPr>
                </w:p>
                <w:p>
                  <w:pPr>
                    <w:shd w:val="clear" w:color="auto" w:fill="FFFFFF"/>
                    <w:tabs>
                      <w:tab w:val="left" w:pos="1134"/>
                    </w:tabs>
                    <w:ind w:firstLine="851"/>
                    <w:jc w:val="both"/>
                    <w:outlineLvl w:val="1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ace3c6afd3641c99b4897fb60d6663e"/>
            <w:lock w:val="sdtLocked"/>
            <w:richText/>
          </w:sdtPr>
          <w:sdtContent>
            <w:p>
              <w:pPr>
                <w:tabs>
                  <w:tab w:val="left" w:pos="7938"/>
                </w:tabs>
                <w:spacing w:line="259" w:lineRule="auto"/>
                <w:ind w:right="-143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>Saulius Margis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tabs>
                  <w:tab w:val="left" w:pos="7938"/>
                </w:tabs>
                <w:spacing w:line="259" w:lineRule="auto"/>
                <w:ind w:right="-143"/>
                <w:jc w:val="both"/>
                <w:rPr>
                  <w:sz w:val="22"/>
                  <w:szCs w:val="22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hd w:val="clear" w:color="auto" w:fill="FFFFFF"/>
                <w:tabs>
                  <w:tab w:val="left" w:pos="1134"/>
                </w:tabs>
                <w:ind w:firstLine="851"/>
                <w:jc w:val="both"/>
                <w:outlineLvl w:val="1"/>
                <w:rPr>
                  <w:szCs w:val="24"/>
                  <w:lang w:eastAsia="lt-LT"/>
                </w:rPr>
              </w:pPr>
            </w:p>
            <w:p>
              <w:pPr>
                <w:shd w:val="clear" w:color="auto" w:fill="FFFFFF"/>
                <w:tabs>
                  <w:tab w:val="left" w:pos="1134"/>
                </w:tabs>
                <w:ind w:firstLine="851"/>
                <w:jc w:val="both"/>
                <w:outlineLvl w:val="1"/>
                <w:rPr>
                  <w:szCs w:val="24"/>
                  <w:lang w:eastAsia="lt-LT"/>
                </w:rPr>
              </w:pPr>
            </w:p>
            <w:p>
              <w:pPr>
                <w:shd w:val="clear" w:color="auto" w:fill="FFFFFF"/>
                <w:tabs>
                  <w:tab w:val="left" w:pos="1134"/>
                </w:tabs>
                <w:ind w:firstLine="851"/>
                <w:jc w:val="both"/>
                <w:outlineLvl w:val="1"/>
                <w:rPr>
                  <w:szCs w:val="24"/>
                  <w:lang w:eastAsia="lt-LT"/>
                </w:rPr>
              </w:pPr>
            </w:p>
            <w:p>
              <w:pPr>
                <w:shd w:val="clear" w:color="auto" w:fill="FFFFFF"/>
                <w:tabs>
                  <w:tab w:val="left" w:pos="1134"/>
                </w:tabs>
                <w:ind w:firstLine="851"/>
                <w:jc w:val="both"/>
                <w:outlineLvl w:val="1"/>
                <w:rPr>
                  <w:szCs w:val="24"/>
                  <w:lang w:eastAsia="lt-LT"/>
                </w:rPr>
              </w:pPr>
            </w:p>
            <w:p>
              <w:pPr>
                <w:jc w:val="center"/>
                <w:rPr>
                  <w:b/>
                  <w:szCs w:val="24"/>
                </w:rPr>
              </w:pPr>
            </w:p>
          </w:sdtContent>
        </w:sdt>
      </w:sdtContent>
    </w:sdt>
    <w:sectPr>
      <w:pgSz w:w="11906" w:h="16838"/>
      <w:pgMar w:top="567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2E3C4A4-57A9-46ED-B2B2-3E87AEB6C21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987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gif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bee4cd60461480692258e1da977f2fe" PartId="79ac13d3795e4036adff12631e98c954">
    <Part Type="preambule" DocPartId="29deff5fee874efa9ec11040a3f2fcfd" PartId="6bf950eef9da401db157a3a89658c054"/>
    <Part Type="punktas" Nr="1" Abbr="1 p." DocPartId="6992309926cc476bba73a762f6a5a7dc" PartId="c0256f4429f44c12b647e19d85f5eb7f"/>
    <Part Type="punktas" Nr="2" Abbr="2 p." DocPartId="934a8c45f74e401586976d30a272ae74" PartId="981ea224981c418482c7de54a22665e1"/>
    <Part Type="punktas" Nr="3" Abbr="3 p." DocPartId="8c66d59650bb49e9863998f384227441" PartId="ec34d63e49f34c34afd28fb3c0083120">
      <Part Type="papunktis" Nr="3.1" Abbr="3.1 pp." DocPartId="f9570eda2a9f4bd29a2af456d0ee4ac4" PartId="f20f9c6426f948928eabe8646d88ccf8"/>
      <Part Type="papunktis" Nr="3.2" Abbr="3.2 pp." DocPartId="36c7001ba328495f9aca6ec952185adc" PartId="18ed09bace1f4384a7094e4dc1a5e023"/>
    </Part>
    <Part Type="signatura" DocPartId="1856375577a14b64bc019a32fedb9420" PartId="3ace3c6afd3641c99b4897fb60d6663e"/>
  </Part>
</Parts>
</file>

<file path=customXml/itemProps1.xml><?xml version="1.0" encoding="utf-8"?>
<ds:datastoreItem xmlns:ds="http://schemas.openxmlformats.org/officeDocument/2006/customXml" ds:itemID="{6B6D7E0D-7C31-4A4C-9E51-D3BDB570DAC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200</Words>
  <Characters>1290</Characters>
  <Application>Microsoft Office Word</Application>
  <DocSecurity>4</DocSecurity>
  <Lines>41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2024-08-27T09:01:00Z</dcterms:created>
  <dc:creator>Vita Petkeviciute-Siliuniene</dc:creator>
  <lastModifiedBy>adlibuser</lastModifiedBy>
  <lastPrinted>2024-08-20T11:50:00Z</lastPrinted>
  <dcterms:modified xsi:type="dcterms:W3CDTF">2024-08-27T09:01:00Z</dcterms:modified>
  <revision>2</revision>
</coreProperties>
</file>