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d0a867044044d3b80cea2fac3e7a3a0"/>
        <w:lock w:val="sdtLocked"/>
        <w:richText/>
      </w:sdtPr>
      <w:sdtContent>
        <w:p>
          <w:pPr>
            <w:shd w:val="clear" w:color="auto" w:fill="FFFFFF"/>
            <w:jc w:val="center"/>
            <w:rPr>
              <w:b/>
              <w:caps/>
              <w:spacing w:val="-4"/>
            </w:rPr>
          </w:pPr>
          <w:r>
            <w:rPr>
              <w:b/>
              <w:caps/>
              <w:spacing w:val="-4"/>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5" o:title=""/>
              </v:shape>
              <w:control r:id="rId6" w:name="Control 3" w:shapeid="_x0000_s1027"/>
            </w:pict>
          </w:r>
          <w:r>
            <w:rPr>
              <w:b/>
              <w:caps/>
              <w:spacing w:val="-4"/>
            </w:rPr>
            <w:t>LIETUVOS TARYBŲ SOCIALISTINĖS RESPUBLIKOS</w:t>
          </w:r>
        </w:p>
        <w:p>
          <w:pPr>
            <w:shd w:val="clear" w:color="auto" w:fill="FFFFFF"/>
            <w:jc w:val="center"/>
            <w:rPr>
              <w:b/>
              <w:caps/>
              <w:spacing w:val="40"/>
            </w:rPr>
          </w:pPr>
          <w:r>
            <w:rPr>
              <w:b/>
              <w:caps/>
              <w:spacing w:val="40"/>
            </w:rPr>
            <w:t>ĮSTATYMAS</w:t>
          </w:r>
        </w:p>
        <w:p>
          <w:pPr>
            <w:shd w:val="clear" w:color="auto" w:fill="FFFFFF"/>
            <w:rPr>
              <w:b/>
              <w:caps/>
            </w:rPr>
          </w:pPr>
        </w:p>
        <w:p>
          <w:pPr>
            <w:shd w:val="clear" w:color="auto" w:fill="FFFFFF"/>
            <w:jc w:val="center"/>
            <w:rPr>
              <w:b/>
              <w:caps/>
            </w:rPr>
          </w:pPr>
          <w:r>
            <w:rPr>
              <w:b/>
              <w:caps/>
            </w:rPr>
            <w:t>Patvirtinti Lietuvos TSR Aukščiausiosios Tarybos Prezidiumo įsakus dėl asmenų, nuteistų už kai kurias veikas, reabilitavimo</w:t>
          </w:r>
        </w:p>
        <w:p>
          <w:pPr>
            <w:shd w:val="clear" w:color="auto" w:fill="FFFFFF"/>
            <w:jc w:val="both"/>
          </w:pPr>
        </w:p>
        <w:sdt>
          <w:sdtPr>
            <w:alias w:val="preambule"/>
            <w:tag w:val="part_4300c61380284a29a0f5d9cb6d0fa9c6"/>
            <w:lock w:val="sdtLocked"/>
            <w:richText/>
          </w:sdtPr>
          <w:sdtContent>
            <w:p>
              <w:pPr>
                <w:shd w:val="clear" w:color="auto" w:fill="FFFFFF"/>
                <w:tabs>
                  <w:tab w:val="left" w:pos="1134"/>
                </w:tabs>
                <w:ind w:firstLine="709"/>
                <w:jc w:val="both"/>
                <w:rPr>
                  <w:spacing w:val="40"/>
                </w:rPr>
              </w:pPr>
              <w:r>
                <w:t xml:space="preserve">Lietuvos Tarybų Socialistinės Respublikos Aukščiausioji Taryba </w:t>
              </w:r>
              <w:r>
                <w:rPr>
                  <w:spacing w:val="60"/>
                  <w:szCs w:val="24"/>
                </w:rPr>
                <w:t>nutari</w:t>
              </w:r>
              <w:r>
                <w:rPr>
                  <w:szCs w:val="24"/>
                </w:rPr>
                <w:t>a:</w:t>
              </w:r>
            </w:p>
          </w:sdtContent>
        </w:sdt>
        <w:sdt>
          <w:sdtPr>
            <w:alias w:val="pastraipa"/>
            <w:tag w:val="part_20a3192d8a9e45e38a7b025a115fcb88"/>
            <w:lock w:val="sdtLocked"/>
            <w:richText/>
          </w:sdtPr>
          <w:sdtContent>
            <w:p>
              <w:pPr>
                <w:shd w:val="clear" w:color="auto" w:fill="FFFFFF"/>
                <w:tabs>
                  <w:tab w:val="left" w:pos="1134"/>
                </w:tabs>
                <w:ind w:firstLine="709"/>
                <w:jc w:val="both"/>
              </w:pPr>
              <w:r>
                <w:t>Patvirtinti Lietuvos TSR Aukščiausiosios Tarybos Prezidiumo 1989 m. liepos 28 d. įsaką „Dėl asmenų, nuteistų už kai kurias veikas, reabilitavimo“, taip pat 1989 m. rugpjūčio 25 d. įsaką, kuriuo buvo naujai išdėstytas 1989 m. liepos 28 d. įsako pirmojo straipsnio „b“ punktas.</w:t>
              </w:r>
            </w:p>
            <w:p>
              <w:pPr>
                <w:shd w:val="clear" w:color="auto" w:fill="FFFFFF"/>
                <w:tabs>
                  <w:tab w:val="left" w:pos="1134"/>
                </w:tabs>
                <w:ind w:firstLine="709"/>
                <w:jc w:val="both"/>
              </w:pPr>
              <w:r>
                <w:t>Atsižvelgus į vienuoliktojo šaukimo Lietuvos TSR Aukščiausiosios Tarybos tryliktojoje sesijoje padarytus pakeitimus bei papildymus, 1989 m. liepos 28 d. įsaką „Dėl asmenų, nuteistų už kai kurias veikas, reabilitavimo“ išdėstyti taip:</w:t>
              </w:r>
            </w:p>
            <w:sdt>
              <w:sdtPr>
                <w:alias w:val="citata"/>
                <w:tag w:val="part_5469714688fe463f8b8ca9916f21a8e2"/>
                <w:lock w:val="sdtLocked"/>
                <w:richText/>
              </w:sdtPr>
              <w:sdtContent>
                <w:sdt>
                  <w:sdtPr>
                    <w:alias w:val="pastraipa"/>
                    <w:tag w:val="part_6bc7bce4cffd499fb9dd693de6d77604"/>
                    <w:lock w:val="sdtLocked"/>
                    <w:richText/>
                  </w:sdtPr>
                  <w:sdtContent>
                    <w:p>
                      <w:pPr>
                        <w:shd w:val="clear" w:color="auto" w:fill="FFFFFF"/>
                        <w:tabs>
                          <w:tab w:val="left" w:pos="1134"/>
                        </w:tabs>
                        <w:ind w:firstLine="709"/>
                        <w:jc w:val="both"/>
                        <w:rPr>
                          <w:spacing w:val="40"/>
                        </w:rPr>
                      </w:pPr>
                      <w:r>
                        <w:t xml:space="preserve">„Siekdamas atkurti istorinį teisingumą, pasiremdamas lietuvių tautoje išsaugotu pokario metų laikotarpio vertinimu ir vadovaudamasis humanizmo idealais, Lietuvos TSR Aukščiausiosios Tarybos Prezidiumas </w:t>
                      </w:r>
                      <w:r>
                        <w:rPr>
                          <w:spacing w:val="60"/>
                          <w:szCs w:val="24"/>
                        </w:rPr>
                        <w:t>nutari</w:t>
                      </w:r>
                      <w:r>
                        <w:rPr>
                          <w:szCs w:val="24"/>
                        </w:rPr>
                        <w:t>a:</w:t>
                      </w:r>
                    </w:p>
                  </w:sdtContent>
                </w:sdt>
                <w:sdt>
                  <w:sdtPr>
                    <w:alias w:val="1 p."/>
                    <w:tag w:val="part_00264b6667fb47a68eff54b1b0046acb"/>
                    <w:lock w:val="sdtLocked"/>
                    <w:richText/>
                  </w:sdtPr>
                  <w:sdtContent>
                    <w:p>
                      <w:pPr>
                        <w:shd w:val="clear" w:color="auto" w:fill="FFFFFF"/>
                        <w:tabs>
                          <w:tab w:val="left" w:pos="590"/>
                          <w:tab w:val="left" w:pos="1134"/>
                        </w:tabs>
                        <w:ind w:firstLine="709"/>
                        <w:jc w:val="both"/>
                      </w:pPr>
                      <w:sdt>
                        <w:sdtPr>
                          <w:alias w:val="Numeris"/>
                          <w:tag w:val="nr_00264b6667fb47a68eff54b1b0046acb"/>
                          <w:lock w:val="sdtLocked"/>
                          <w:richText/>
                        </w:sdtPr>
                        <w:sdtContent>
                          <w:r>
                            <w:rPr>
                              <w:spacing w:val="-23"/>
                            </w:rPr>
                            <w:t>1</w:t>
                          </w:r>
                        </w:sdtContent>
                      </w:sdt>
                      <w:r>
                        <w:rPr>
                          <w:spacing w:val="-23"/>
                        </w:rPr>
                        <w:t xml:space="preserve">. </w:t>
                      </w:r>
                      <w:r>
                        <w:t>Reabilituoti asmenis, nuteistus arba įkalintus neteismine tvarka:</w:t>
                      </w:r>
                    </w:p>
                    <w:sdt>
                      <w:sdtPr>
                        <w:alias w:val="1 p. a pp."/>
                        <w:tag w:val="part_e8d8c698cc7945c0bd42f3f7a5ab4196"/>
                        <w:lock w:val="sdtLocked"/>
                        <w:richText/>
                      </w:sdtPr>
                      <w:sdtContent>
                        <w:p>
                          <w:pPr>
                            <w:shd w:val="clear" w:color="auto" w:fill="FFFFFF"/>
                            <w:tabs>
                              <w:tab w:val="left" w:pos="614"/>
                              <w:tab w:val="left" w:pos="1134"/>
                            </w:tabs>
                            <w:ind w:firstLine="709"/>
                            <w:jc w:val="both"/>
                            <w:rPr>
                              <w:spacing w:val="-7"/>
                            </w:rPr>
                          </w:pPr>
                          <w:r>
                            <w:rPr>
                              <w:spacing w:val="-7"/>
                            </w:rPr>
                            <w:t xml:space="preserve">a) </w:t>
                          </w:r>
                          <w:r>
                            <w:t>už veikas, numatytas galiojusio Lietuvos TSR teritorijoje RTFSR baudžiamojo kodekso 58 straipsnyje, jeigu jos nesusijusios su žudynėmis, teroristiniais aktais, plėšikavimu, talkininkavimu hitlerininkams vykdytose civilinių žmonių žudynėse, taip pat už veikas, numatytas šio Kodekso skirsnyje „Nusikaltimai valdymo tvarkai, itin pavojingi TSR Sąjungai“, išskyrus 59</w:t>
                          </w:r>
                          <w:r>
                            <w:rPr>
                              <w:vertAlign w:val="superscript"/>
                            </w:rPr>
                            <w:t>3</w:t>
                          </w:r>
                          <w:r>
                            <w:t>, 59</w:t>
                          </w:r>
                          <w:r>
                            <w:rPr>
                              <w:vertAlign w:val="superscript"/>
                            </w:rPr>
                            <w:t>3d</w:t>
                          </w:r>
                          <w:r>
                            <w:t>, 59</w:t>
                          </w:r>
                          <w:r>
                            <w:rPr>
                              <w:vertAlign w:val="superscript"/>
                            </w:rPr>
                            <w:t>3e</w:t>
                          </w:r>
                          <w:r>
                            <w:t>, 59</w:t>
                          </w:r>
                          <w:r>
                            <w:rPr>
                              <w:vertAlign w:val="superscript"/>
                            </w:rPr>
                            <w:t>5</w:t>
                          </w:r>
                          <w:r>
                            <w:t xml:space="preserve"> ir 59</w:t>
                          </w:r>
                          <w:r>
                            <w:rPr>
                              <w:vertAlign w:val="superscript"/>
                            </w:rPr>
                            <w:t>9</w:t>
                          </w:r>
                          <w:r>
                            <w:t xml:space="preserve"> straipsniuose numatytas veikas;</w:t>
                          </w:r>
                        </w:p>
                      </w:sdtContent>
                    </w:sdt>
                    <w:sdt>
                      <w:sdtPr>
                        <w:alias w:val="1 p. b pp."/>
                        <w:tag w:val="part_b302cc343cc14abaa7d0d2dbf9236c8b"/>
                        <w:lock w:val="sdtLocked"/>
                        <w:richText/>
                      </w:sdtPr>
                      <w:sdtContent>
                        <w:p>
                          <w:pPr>
                            <w:shd w:val="clear" w:color="auto" w:fill="FFFFFF"/>
                            <w:tabs>
                              <w:tab w:val="left" w:pos="614"/>
                              <w:tab w:val="left" w:pos="1134"/>
                            </w:tabs>
                            <w:ind w:firstLine="709"/>
                            <w:jc w:val="both"/>
                            <w:rPr>
                              <w:spacing w:val="-12"/>
                            </w:rPr>
                          </w:pPr>
                          <w:r>
                            <w:rPr>
                              <w:spacing w:val="-12"/>
                            </w:rPr>
                            <w:t xml:space="preserve">b) </w:t>
                          </w:r>
                          <w:r>
                            <w:t>už atsisakymą ar vengimą karo meto sąlygomis mokėti mokesčius ar vykdyti prievoles, už mokesčių ir privalomojo ančdėlinio draudimo rinkliavų nemokėjimą nustatytu laiku, už atsisakymą vykdyti prievoles, bendravalstybines užduotis ar atlikti darbus, turinčius bendravalstybinę reikšmę, už savitarpio susitarimu organizuotų apmokestintinų ar apskaitytinų daiktų kiekio slėpimą ar netikrą parodymą pagal galiojusio Lietuvos TSR teritorijoje RTFSR baudžiamojo kodekso 60, 61 ir 62 straipsnius;</w:t>
                          </w:r>
                        </w:p>
                      </w:sdtContent>
                    </w:sdt>
                    <w:sdt>
                      <w:sdtPr>
                        <w:alias w:val="1 p. c pp."/>
                        <w:tag w:val="part_b83254603ece45618570d0f9358ae8c9"/>
                        <w:lock w:val="sdtLocked"/>
                        <w:richText/>
                      </w:sdtPr>
                      <w:sdtContent>
                        <w:p>
                          <w:pPr>
                            <w:shd w:val="clear" w:color="auto" w:fill="FFFFFF"/>
                            <w:tabs>
                              <w:tab w:val="left" w:pos="614"/>
                              <w:tab w:val="left" w:pos="1134"/>
                            </w:tabs>
                            <w:ind w:firstLine="709"/>
                            <w:jc w:val="both"/>
                            <w:rPr>
                              <w:spacing w:val="-11"/>
                            </w:rPr>
                          </w:pPr>
                          <w:r>
                            <w:rPr>
                              <w:spacing w:val="-11"/>
                            </w:rPr>
                            <w:t xml:space="preserve">c) </w:t>
                          </w:r>
                          <w:r>
                            <w:t>už antitarybinę agitaciją ar propagandą, kuria buvo siekiama susilpninti Tarybų valdžią pagal Lietuvos TSR baudžiamojo kodekso 68 straipsnį, taip pat už veikas, numatytas šio Kodekso143 straipsnyje.</w:t>
                          </w:r>
                        </w:p>
                      </w:sdtContent>
                    </w:sdt>
                  </w:sdtContent>
                </w:sdt>
                <w:sdt>
                  <w:sdtPr>
                    <w:alias w:val="2 p."/>
                    <w:tag w:val="part_cad838ba12504ae6bbf16a3230832fda"/>
                    <w:lock w:val="sdtLocked"/>
                    <w:richText/>
                  </w:sdtPr>
                  <w:sdtContent>
                    <w:p>
                      <w:pPr>
                        <w:shd w:val="clear" w:color="auto" w:fill="FFFFFF"/>
                        <w:tabs>
                          <w:tab w:val="left" w:pos="590"/>
                          <w:tab w:val="left" w:pos="1134"/>
                        </w:tabs>
                        <w:ind w:firstLine="709"/>
                        <w:jc w:val="both"/>
                        <w:rPr>
                          <w:spacing w:val="-13"/>
                        </w:rPr>
                      </w:pPr>
                      <w:sdt>
                        <w:sdtPr>
                          <w:alias w:val="Numeris"/>
                          <w:tag w:val="nr_cad838ba12504ae6bbf16a3230832fda"/>
                          <w:lock w:val="sdtLocked"/>
                          <w:richText/>
                        </w:sdtPr>
                        <w:sdtContent>
                          <w:r>
                            <w:rPr>
                              <w:spacing w:val="-13"/>
                            </w:rPr>
                            <w:t>2</w:t>
                          </w:r>
                        </w:sdtContent>
                      </w:sdt>
                      <w:r>
                        <w:rPr>
                          <w:spacing w:val="-13"/>
                        </w:rPr>
                        <w:t xml:space="preserve">. </w:t>
                      </w:r>
                      <w:r>
                        <w:t>Šio įsako 1 straipsnis taikomas tų asmenų atžvilgiu, kurie buvo nuteisti arba represuoti neteismine tvarka Lietuvos TSR teritorijoje.</w:t>
                      </w:r>
                    </w:p>
                  </w:sdtContent>
                </w:sdt>
                <w:sdt>
                  <w:sdtPr>
                    <w:alias w:val="3 p."/>
                    <w:tag w:val="part_4db0b3ace7514c549a6aaa3c9ff20dca"/>
                    <w:lock w:val="sdtLocked"/>
                    <w:richText/>
                  </w:sdtPr>
                  <w:sdtContent>
                    <w:p>
                      <w:pPr>
                        <w:shd w:val="clear" w:color="auto" w:fill="FFFFFF"/>
                        <w:tabs>
                          <w:tab w:val="left" w:pos="590"/>
                          <w:tab w:val="left" w:pos="1134"/>
                        </w:tabs>
                        <w:ind w:firstLine="709"/>
                        <w:jc w:val="both"/>
                        <w:rPr>
                          <w:spacing w:val="-10"/>
                        </w:rPr>
                      </w:pPr>
                      <w:sdt>
                        <w:sdtPr>
                          <w:alias w:val="Numeris"/>
                          <w:tag w:val="nr_4db0b3ace7514c549a6aaa3c9ff20dca"/>
                          <w:lock w:val="sdtLocked"/>
                          <w:richText/>
                        </w:sdtPr>
                        <w:sdtContent>
                          <w:r>
                            <w:rPr>
                              <w:spacing w:val="-10"/>
                            </w:rPr>
                            <w:t>3</w:t>
                          </w:r>
                        </w:sdtContent>
                      </w:sdt>
                      <w:r>
                        <w:rPr>
                          <w:spacing w:val="-10"/>
                        </w:rPr>
                        <w:t xml:space="preserve">. </w:t>
                      </w:r>
                      <w:r>
                        <w:t>Šio įsako vykdymą ir reabilitavimo pažymų išdavimą pavesti:</w:t>
                      </w:r>
                    </w:p>
                    <w:sdt>
                      <w:sdtPr>
                        <w:alias w:val="3 p. a pp."/>
                        <w:tag w:val="part_bafbe8abee0c4cfea492680447c8c6ae"/>
                        <w:lock w:val="sdtLocked"/>
                        <w:richText/>
                      </w:sdtPr>
                      <w:sdtContent>
                        <w:p>
                          <w:pPr>
                            <w:shd w:val="clear" w:color="auto" w:fill="FFFFFF"/>
                            <w:tabs>
                              <w:tab w:val="left" w:pos="643"/>
                              <w:tab w:val="left" w:pos="1134"/>
                            </w:tabs>
                            <w:ind w:firstLine="709"/>
                            <w:jc w:val="both"/>
                            <w:rPr>
                              <w:spacing w:val="-10"/>
                            </w:rPr>
                          </w:pPr>
                          <w:r>
                            <w:rPr>
                              <w:spacing w:val="-10"/>
                            </w:rPr>
                            <w:t xml:space="preserve">a) </w:t>
                          </w:r>
                          <w:r>
                            <w:t>nuteistų asmenų atžvilgiu – Lietuvos TSR aukščiausiajam teismui;</w:t>
                          </w:r>
                        </w:p>
                      </w:sdtContent>
                    </w:sdt>
                    <w:sdt>
                      <w:sdtPr>
                        <w:alias w:val="3 p. b pp."/>
                        <w:tag w:val="part_a2152b96eae84d60b83a31ed2241e540"/>
                        <w:lock w:val="sdtLocked"/>
                        <w:richText/>
                      </w:sdtPr>
                      <w:sdtContent>
                        <w:p>
                          <w:pPr>
                            <w:shd w:val="clear" w:color="auto" w:fill="FFFFFF"/>
                            <w:tabs>
                              <w:tab w:val="left" w:pos="643"/>
                              <w:tab w:val="left" w:pos="1134"/>
                            </w:tabs>
                            <w:ind w:firstLine="709"/>
                            <w:jc w:val="both"/>
                            <w:rPr>
                              <w:spacing w:val="-12"/>
                            </w:rPr>
                          </w:pPr>
                          <w:r>
                            <w:rPr>
                              <w:spacing w:val="-12"/>
                            </w:rPr>
                            <w:t xml:space="preserve">b) </w:t>
                          </w:r>
                          <w:r>
                            <w:t>asmenų, įkalintų neteismine tvarka, atžvilgiu – Lietuvos TSR prokuratūrai“.</w:t>
                          </w:r>
                        </w:p>
                        <w:p>
                          <w:pPr>
                            <w:shd w:val="clear" w:color="auto" w:fill="FFFFFF"/>
                            <w:jc w:val="both"/>
                          </w:pPr>
                        </w:p>
                      </w:sdtContent>
                    </w:sdt>
                  </w:sdtContent>
                </w:sdt>
              </w:sdtContent>
            </w:sdt>
          </w:sdtContent>
        </w:sdt>
        <w:sdt>
          <w:sdtPr>
            <w:alias w:val="signatura"/>
            <w:tag w:val="part_017093aed41e4fa984e62f053105df87"/>
            <w:lock w:val="sdtLocked"/>
            <w:richText/>
          </w:sdtPr>
          <w:sdtContent>
            <w:p>
              <w:pPr>
                <w:shd w:val="clear" w:color="auto" w:fill="FFFFFF"/>
                <w:tabs>
                  <w:tab w:val="left" w:pos="3402"/>
                </w:tabs>
                <w:jc w:val="right"/>
              </w:pPr>
              <w:r>
                <w:t>Lietuvos TSR Aukščiausiosios Tarybos Prezidiumo Pirmininkas</w:t>
              </w:r>
            </w:p>
            <w:p>
              <w:pPr>
                <w:shd w:val="clear" w:color="auto" w:fill="FFFFFF"/>
                <w:jc w:val="right"/>
              </w:pPr>
              <w:r>
                <w:t>V. ASTRAUSKAS</w:t>
              </w:r>
            </w:p>
            <w:p>
              <w:pPr>
                <w:shd w:val="clear" w:color="auto" w:fill="FFFFFF"/>
                <w:tabs>
                  <w:tab w:val="left" w:pos="3402"/>
                </w:tabs>
                <w:jc w:val="right"/>
              </w:pPr>
              <w:r>
                <w:t>Lietuvos TSR Aukščiausiosios Tarybos Prezidiumo Sekretorius</w:t>
              </w:r>
            </w:p>
            <w:p>
              <w:pPr>
                <w:shd w:val="clear" w:color="auto" w:fill="FFFFFF"/>
                <w:jc w:val="right"/>
              </w:pPr>
              <w:r>
                <w:t>L. SABUTIS</w:t>
              </w:r>
            </w:p>
            <w:p>
              <w:pPr>
                <w:shd w:val="clear" w:color="auto" w:fill="FFFFFF"/>
                <w:jc w:val="both"/>
              </w:pPr>
            </w:p>
            <w:p>
              <w:pPr>
                <w:shd w:val="clear" w:color="auto" w:fill="FFFFFF"/>
                <w:jc w:val="both"/>
              </w:pPr>
              <w:r>
                <w:t xml:space="preserve">Vilnius, 1989 m. rugsėjo 29 d. Nr. </w:t>
              </w:r>
              <w:r>
                <w:rPr>
                  <w:lang w:val="en-US"/>
                </w:rPr>
                <w:t>XI-</w:t>
              </w:r>
              <w:r>
                <w:t>3243</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proofState w:spelling="clean" w:grammar="clean"/>
  <w:defaultTabStop w:val="1296"/>
  <w:hyphenationZone w:val="396"/>
  <w:doNotHyphenateCaps/>
  <w:drawingGridHorizontalSpacing w:val="100"/>
  <w:displayHorizont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3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287043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wmf"/>
  <Relationship Id="rId6" Type="http://schemas.openxmlformats.org/officeDocument/2006/relationships/control" Target="activeX/activeX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bfc09fdd6349d7abaeb16f09093dd9" PartId="ad0a867044044d3b80cea2fac3e7a3a0">
    <Part Type="preambule" DocPartId="66363013ecc54a8cade11a8f5a630873" PartId="4300c61380284a29a0f5d9cb6d0fa9c6"/>
    <Part Type="pastraipa" DocPartId="73a88ef97d7c4aa3a224ab6006f39d65" PartId="20a3192d8a9e45e38a7b025a115fcb88">
      <Part Type="citata" DocPartId="fa1c348b97b1438c81cda8d736c0f28e" PartId="5469714688fe463f8b8ca9916f21a8e2">
        <Part Type="pastraipa" DocPartId="e095ef27c5d447379130566a9fac7020" PartId="6bc7bce4cffd499fb9dd693de6d77604"/>
        <Part Type="punktas" Nr="1" Abbr="1 p." DocPartId="627c4f1e583c46438a0faa36e3102d12" PartId="00264b6667fb47a68eff54b1b0046acb">
          <Part Type="papunktis" Nr="a" Abbr="1 p. a pp." DocPartId="e314229a4b2943938b44f2a461174ef9" PartId="e8d8c698cc7945c0bd42f3f7a5ab4196"/>
          <Part Type="papunktis" Nr="b" Abbr="1 p. b pp." DocPartId="5c118e6bd5cb4129ba0f6064fa88117f" PartId="b302cc343cc14abaa7d0d2dbf9236c8b"/>
          <Part Type="papunktis" Nr="c" Abbr="1 p. c pp." DocPartId="7805df91b5d8446a907aaef937a5f26d" PartId="b83254603ece45618570d0f9358ae8c9"/>
        </Part>
        <Part Type="punktas" Nr="2" Abbr="2 p." DocPartId="b2b7b3fa4a24495890679d0f5ee4b7e0" PartId="cad838ba12504ae6bbf16a3230832fda"/>
        <Part Type="punktas" Nr="3" Abbr="3 p." DocPartId="1b2b3312c35341338ef5426cef0cd1da" PartId="4db0b3ace7514c549a6aaa3c9ff20dca">
          <Part Type="papunktis" Nr="a" Abbr="3 p. a pp." DocPartId="37594ef67d1a4df78620f5ee8374f398" PartId="bafbe8abee0c4cfea492680447c8c6ae"/>
          <Part Type="papunktis" Nr="b" Abbr="3 p. b pp." DocPartId="1d84cf4a5e52499cb498c3a79a047ea0" PartId="a2152b96eae84d60b83a31ed2241e540"/>
        </Part>
      </Part>
    </Part>
    <Part Type="signatura" DocPartId="bf6394f84e0e41f98cda864fa9f6ce70" PartId="017093aed41e4fa984e62f053105df87"/>
  </Part>
</Parts>
</file>

<file path=customXml/itemProps1.xml><?xml version="1.0" encoding="utf-8"?>
<ds:datastoreItem xmlns:ds="http://schemas.openxmlformats.org/officeDocument/2006/customXml" ds:itemID="{72C82F9E-AB93-4B89-AFDA-8AE8364108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2359</Characters>
  <Application>Microsoft Office Word</Application>
  <DocSecurity>4</DocSecurity>
  <Lines>43</Lines>
  <Paragraphs>22</Paragraphs>
  <ScaleCrop>false</ScaleCrop>
  <Company/>
  <LinksUpToDate>false</LinksUpToDate>
  <CharactersWithSpaces>2675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2015-07-04T09:25:00Z</dcterms:created>
  <dc:creator>Ash</dc:creator>
  <lastModifiedBy>Adlib User</lastModifiedBy>
  <dcterms:modified xsi:type="dcterms:W3CDTF">2015-07-04T09:25:00Z</dcterms:modified>
  <revision>2</revision>
</coreProperties>
</file>