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val="en-GB"/>
        </w:rPr>
        <w:alias w:val="pagrindine"/>
        <w:tag w:val="part_4e3a65bd8e62426cae7b44e7bcf6a4c6"/>
        <w:id w:val="1653014010"/>
        <w:lock w:val="sdtLocked"/>
        <w:placeholder>
          <w:docPart w:val="DefaultPlaceholder_1082065158"/>
        </w:placeholder>
      </w:sdtPr>
      <w:sdtEndPr>
        <w:rPr>
          <w:szCs w:val="24"/>
          <w:lang w:val="lt-LT"/>
        </w:rPr>
      </w:sdtEndPr>
      <w:sdtContent>
        <w:p w:rsidR="00EA105C" w:rsidRDefault="00EA105C">
          <w:pPr>
            <w:tabs>
              <w:tab w:val="center" w:pos="4153"/>
              <w:tab w:val="right" w:pos="8306"/>
            </w:tabs>
            <w:overflowPunct w:val="0"/>
            <w:jc w:val="both"/>
            <w:textAlignment w:val="baseline"/>
            <w:rPr>
              <w:lang w:val="en-GB"/>
            </w:rPr>
          </w:pPr>
        </w:p>
        <w:p w:rsidR="00EA105C" w:rsidRDefault="00D825BB">
          <w:pPr>
            <w:overflowPunct w:val="0"/>
            <w:jc w:val="center"/>
            <w:textAlignment w:val="baseline"/>
            <w:rPr>
              <w:sz w:val="16"/>
              <w:szCs w:val="16"/>
            </w:rPr>
          </w:pPr>
          <w:r>
            <w:rPr>
              <w:noProof/>
              <w:lang w:eastAsia="lt-LT"/>
            </w:rPr>
            <w:drawing>
              <wp:inline distT="0" distB="0" distL="0" distR="0" wp14:anchorId="34A742BF" wp14:editId="0FB86D3C">
                <wp:extent cx="1061085" cy="724535"/>
                <wp:effectExtent l="0" t="0" r="5715" b="0"/>
                <wp:docPr id="2"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rsidR="00EA105C" w:rsidRDefault="00D825BB">
          <w:pPr>
            <w:overflowPunct w:val="0"/>
            <w:jc w:val="center"/>
            <w:textAlignment w:val="baseline"/>
            <w:rPr>
              <w:b/>
              <w:sz w:val="28"/>
              <w:szCs w:val="28"/>
            </w:rPr>
          </w:pPr>
          <w:r>
            <w:rPr>
              <w:b/>
              <w:sz w:val="28"/>
              <w:szCs w:val="28"/>
            </w:rPr>
            <w:t>LIETUVOS RESPUBLIKOS ŽEMĖS ŪKIO MINISTRAS</w:t>
          </w:r>
        </w:p>
        <w:p w:rsidR="00EA105C" w:rsidRDefault="00EA105C">
          <w:pPr>
            <w:overflowPunct w:val="0"/>
            <w:jc w:val="center"/>
            <w:textAlignment w:val="baseline"/>
            <w:rPr>
              <w:b/>
              <w:sz w:val="28"/>
              <w:szCs w:val="28"/>
            </w:rPr>
          </w:pPr>
        </w:p>
        <w:p w:rsidR="00EA105C" w:rsidRDefault="00D825BB">
          <w:pPr>
            <w:overflowPunct w:val="0"/>
            <w:jc w:val="center"/>
            <w:textAlignment w:val="baseline"/>
            <w:rPr>
              <w:b/>
              <w:szCs w:val="24"/>
            </w:rPr>
          </w:pPr>
          <w:r>
            <w:rPr>
              <w:b/>
              <w:szCs w:val="24"/>
            </w:rPr>
            <w:t>ĮSAKYMAS</w:t>
          </w:r>
        </w:p>
        <w:p w:rsidR="00EA105C" w:rsidRDefault="00D825BB">
          <w:pPr>
            <w:overflowPunct w:val="0"/>
            <w:jc w:val="center"/>
            <w:textAlignment w:val="baseline"/>
            <w:rPr>
              <w:b/>
            </w:rPr>
          </w:pPr>
          <w:r>
            <w:rPr>
              <w:b/>
              <w:caps/>
            </w:rPr>
            <w:t xml:space="preserve">DĖL ŽEMĖS ŪKIO MINISTRO 2008 M. BIRŽELIO 26 D. ĮSAKYMO NR. 3D-357 „DĖL PARAMOS TEIKIMO BIČIŲ LAIKYTOJAMS UŽ PAPILDOMĄ BIČIŲ MAITINIMĄ TAISYKLIŲ PATVIRTINIMO“ PAKEITIMO </w:t>
          </w:r>
        </w:p>
        <w:p w:rsidR="00EA105C" w:rsidRDefault="00EA105C">
          <w:pPr>
            <w:overflowPunct w:val="0"/>
            <w:jc w:val="center"/>
            <w:textAlignment w:val="baseline"/>
          </w:pPr>
        </w:p>
        <w:p w:rsidR="00EA105C" w:rsidRDefault="00EA105C">
          <w:pPr>
            <w:overflowPunct w:val="0"/>
            <w:jc w:val="center"/>
            <w:textAlignment w:val="baseline"/>
          </w:pPr>
        </w:p>
        <w:p w:rsidR="00EA105C" w:rsidRDefault="00D825BB">
          <w:pPr>
            <w:overflowPunct w:val="0"/>
            <w:jc w:val="center"/>
            <w:textAlignment w:val="baseline"/>
            <w:rPr>
              <w:szCs w:val="24"/>
              <w:lang w:eastAsia="lt-LT"/>
            </w:rPr>
          </w:pPr>
          <w:r>
            <w:t xml:space="preserve">2021 m. kovo 17 d. Nr. </w:t>
          </w:r>
          <w:r>
            <w:rPr>
              <w:szCs w:val="24"/>
              <w:lang w:eastAsia="lt-LT"/>
            </w:rPr>
            <w:t>3D-175</w:t>
          </w:r>
        </w:p>
        <w:p w:rsidR="00EA105C" w:rsidRDefault="00D825BB" w:rsidP="00D825BB">
          <w:pPr>
            <w:overflowPunct w:val="0"/>
            <w:jc w:val="center"/>
            <w:textAlignment w:val="baseline"/>
          </w:pPr>
          <w:r>
            <w:t>Vilnius</w:t>
          </w:r>
        </w:p>
        <w:p w:rsidR="00EA105C" w:rsidRDefault="00EA105C">
          <w:pPr>
            <w:overflowPunct w:val="0"/>
            <w:ind w:firstLine="709"/>
            <w:jc w:val="center"/>
            <w:textAlignment w:val="baseline"/>
          </w:pPr>
        </w:p>
        <w:p w:rsidR="00EA105C" w:rsidRDefault="00EA105C">
          <w:pPr>
            <w:overflowPunct w:val="0"/>
            <w:ind w:firstLine="709"/>
            <w:jc w:val="center"/>
            <w:textAlignment w:val="baseline"/>
          </w:pPr>
        </w:p>
        <w:sdt>
          <w:sdtPr>
            <w:alias w:val="1 p."/>
            <w:tag w:val="part_69a45458789b4cda89511acc17cbbcb9"/>
            <w:id w:val="2111693247"/>
            <w:lock w:val="sdtLocked"/>
          </w:sdtPr>
          <w:sdtEndPr/>
          <w:sdtContent>
            <w:p w:rsidR="00EA105C" w:rsidRDefault="00D825BB">
              <w:pPr>
                <w:tabs>
                  <w:tab w:val="left" w:pos="0"/>
                  <w:tab w:val="left" w:pos="709"/>
                </w:tabs>
                <w:overflowPunct w:val="0"/>
                <w:spacing w:line="360" w:lineRule="auto"/>
                <w:ind w:firstLine="720"/>
                <w:jc w:val="both"/>
                <w:textAlignment w:val="baseline"/>
                <w:rPr>
                  <w:bCs/>
                  <w:szCs w:val="24"/>
                </w:rPr>
              </w:pPr>
              <w:sdt>
                <w:sdtPr>
                  <w:alias w:val="Numeris"/>
                  <w:tag w:val="nr_69a45458789b4cda89511acc17cbbcb9"/>
                  <w:id w:val="-983001501"/>
                  <w:lock w:val="sdtLocked"/>
                </w:sdtPr>
                <w:sdtEndPr/>
                <w:sdtContent>
                  <w:r>
                    <w:rPr>
                      <w:bCs/>
                      <w:szCs w:val="24"/>
                    </w:rPr>
                    <w:t>1</w:t>
                  </w:r>
                </w:sdtContent>
              </w:sdt>
              <w:r>
                <w:rPr>
                  <w:bCs/>
                  <w:szCs w:val="24"/>
                </w:rPr>
                <w:t>. P a k e i č i u Lietuvos Respublikos žem</w:t>
              </w:r>
              <w:r>
                <w:rPr>
                  <w:bCs/>
                  <w:szCs w:val="24"/>
                </w:rPr>
                <w:t>ės ūkio ministro 2008 m. birželio 26 d. įsakymą Nr. 3D-357 „Dėl Paramos teikimo bičių laikytojams už papildomą bičių maitinimą taisyklių patvirtinimo“ ir jį išdėstau nauja redakcija (nurodytu įsakymu patvirtintos Paramos teikimo bičių laikytojams už papild</w:t>
              </w:r>
              <w:r>
                <w:rPr>
                  <w:bCs/>
                  <w:szCs w:val="24"/>
                </w:rPr>
                <w:t>omą bičių maitinimą taisyklės nauja redakcija nedėstomos):</w:t>
              </w:r>
            </w:p>
            <w:sdt>
              <w:sdtPr>
                <w:alias w:val="citata"/>
                <w:tag w:val="part_dadb8c7389d2446da4a459eced55ac45"/>
                <w:id w:val="-1921701583"/>
                <w:lock w:val="sdtLocked"/>
              </w:sdtPr>
              <w:sdtEndPr/>
              <w:sdtContent>
                <w:sdt>
                  <w:sdtPr>
                    <w:alias w:val="pagrindine"/>
                    <w:tag w:val="part_32958a7ed99d443897a4ce2a28c04f34"/>
                    <w:id w:val="718171943"/>
                    <w:lock w:val="sdtLocked"/>
                  </w:sdtPr>
                  <w:sdtEndPr/>
                  <w:sdtContent>
                    <w:p w:rsidR="00EA105C" w:rsidRDefault="00D825BB">
                      <w:pPr>
                        <w:overflowPunct w:val="0"/>
                        <w:jc w:val="center"/>
                        <w:textAlignment w:val="baseline"/>
                        <w:rPr>
                          <w:b/>
                          <w:sz w:val="28"/>
                          <w:szCs w:val="28"/>
                        </w:rPr>
                      </w:pPr>
                      <w:r>
                        <w:rPr>
                          <w:b/>
                          <w:sz w:val="28"/>
                          <w:szCs w:val="28"/>
                        </w:rPr>
                        <w:t>„LIETUVOS RESPUBLIKOS ŽEMĖS ŪKIO MINISTRAS</w:t>
                      </w:r>
                    </w:p>
                    <w:p w:rsidR="00EA105C" w:rsidRDefault="00EA105C">
                      <w:pPr>
                        <w:overflowPunct w:val="0"/>
                        <w:jc w:val="center"/>
                        <w:textAlignment w:val="baseline"/>
                        <w:rPr>
                          <w:b/>
                          <w:sz w:val="28"/>
                          <w:szCs w:val="28"/>
                        </w:rPr>
                      </w:pPr>
                    </w:p>
                    <w:p w:rsidR="00EA105C" w:rsidRDefault="00D825BB">
                      <w:pPr>
                        <w:overflowPunct w:val="0"/>
                        <w:jc w:val="center"/>
                        <w:textAlignment w:val="baseline"/>
                        <w:rPr>
                          <w:b/>
                          <w:szCs w:val="24"/>
                        </w:rPr>
                      </w:pPr>
                      <w:r>
                        <w:rPr>
                          <w:b/>
                          <w:szCs w:val="24"/>
                        </w:rPr>
                        <w:t>ĮSAKYMAS</w:t>
                      </w:r>
                    </w:p>
                    <w:p w:rsidR="00EA105C" w:rsidRDefault="00D825BB">
                      <w:pPr>
                        <w:tabs>
                          <w:tab w:val="left" w:pos="0"/>
                          <w:tab w:val="left" w:pos="709"/>
                        </w:tabs>
                        <w:overflowPunct w:val="0"/>
                        <w:spacing w:line="276" w:lineRule="auto"/>
                        <w:jc w:val="center"/>
                        <w:textAlignment w:val="baseline"/>
                        <w:rPr>
                          <w:b/>
                          <w:caps/>
                        </w:rPr>
                      </w:pPr>
                      <w:r>
                        <w:rPr>
                          <w:b/>
                          <w:caps/>
                        </w:rPr>
                        <w:t>DĖL PARAMOS TEIKIMO BIČIŲ LAIKYTOJAMS UŽ PAPILDOMĄ BIČIŲ MAITINIMĄ TAISYKLIŲ PATVIRTINIMO</w:t>
                      </w:r>
                    </w:p>
                    <w:p w:rsidR="00EA105C" w:rsidRDefault="00EA105C">
                      <w:pPr>
                        <w:tabs>
                          <w:tab w:val="left" w:pos="0"/>
                          <w:tab w:val="left" w:pos="709"/>
                        </w:tabs>
                        <w:overflowPunct w:val="0"/>
                        <w:spacing w:line="360" w:lineRule="auto"/>
                        <w:jc w:val="center"/>
                        <w:textAlignment w:val="baseline"/>
                        <w:rPr>
                          <w:b/>
                          <w:caps/>
                        </w:rPr>
                      </w:pPr>
                    </w:p>
                    <w:sdt>
                      <w:sdtPr>
                        <w:alias w:val="preambule"/>
                        <w:tag w:val="part_ebc6c5377be34795ae9a74bf2c716cbf"/>
                        <w:id w:val="-1239096327"/>
                        <w:lock w:val="sdtLocked"/>
                      </w:sdtPr>
                      <w:sdtEndPr/>
                      <w:sdtContent>
                        <w:p w:rsidR="00EA105C" w:rsidRDefault="00D825BB">
                          <w:pPr>
                            <w:spacing w:line="360" w:lineRule="auto"/>
                            <w:ind w:firstLine="720"/>
                            <w:jc w:val="both"/>
                            <w:rPr>
                              <w:color w:val="000000"/>
                              <w:szCs w:val="24"/>
                              <w:lang w:eastAsia="lt-LT"/>
                            </w:rPr>
                          </w:pPr>
                          <w:r>
                            <w:rPr>
                              <w:color w:val="000000"/>
                              <w:szCs w:val="24"/>
                              <w:lang w:eastAsia="lt-LT"/>
                            </w:rPr>
                            <w:t xml:space="preserve">Vadovaudamasis </w:t>
                          </w:r>
                          <w:r>
                            <w:rPr>
                              <w:lang w:eastAsia="lt-LT"/>
                            </w:rPr>
                            <w:t xml:space="preserve">2013 m. gruodžio 18 d. Komisijos reglamentu (ES) Nr. 1408/2013 dėl Sutarties dėl Europos Sąjungos veikimo 107 ir 108 straipsnių taikymo </w:t>
                          </w:r>
                          <w:proofErr w:type="spellStart"/>
                          <w:r>
                            <w:rPr>
                              <w:i/>
                              <w:iCs/>
                              <w:lang w:eastAsia="lt-LT"/>
                            </w:rPr>
                            <w:t>de</w:t>
                          </w:r>
                          <w:proofErr w:type="spellEnd"/>
                          <w:r>
                            <w:rPr>
                              <w:i/>
                              <w:iCs/>
                              <w:lang w:eastAsia="lt-LT"/>
                            </w:rPr>
                            <w:t xml:space="preserve"> </w:t>
                          </w:r>
                          <w:proofErr w:type="spellStart"/>
                          <w:r>
                            <w:rPr>
                              <w:i/>
                              <w:iCs/>
                              <w:lang w:eastAsia="lt-LT"/>
                            </w:rPr>
                            <w:t>minimis</w:t>
                          </w:r>
                          <w:proofErr w:type="spellEnd"/>
                          <w:r>
                            <w:rPr>
                              <w:lang w:eastAsia="lt-LT"/>
                            </w:rPr>
                            <w:t xml:space="preserve"> pagalbai žemės ūkio sektoriuje su visais pakeitimais</w:t>
                          </w:r>
                          <w:r>
                            <w:rPr>
                              <w:color w:val="000000"/>
                              <w:szCs w:val="24"/>
                              <w:lang w:eastAsia="lt-LT"/>
                            </w:rPr>
                            <w:t xml:space="preserve">, </w:t>
                          </w:r>
                        </w:p>
                      </w:sdtContent>
                    </w:sdt>
                    <w:sdt>
                      <w:sdtPr>
                        <w:alias w:val="pastraipa"/>
                        <w:tag w:val="part_9157b4e1039949cba9db71baf75ab629"/>
                        <w:id w:val="856999797"/>
                        <w:lock w:val="sdtLocked"/>
                      </w:sdtPr>
                      <w:sdtEndPr/>
                      <w:sdtContent>
                        <w:p w:rsidR="00EA105C" w:rsidRDefault="00D825BB">
                          <w:pPr>
                            <w:spacing w:line="360" w:lineRule="auto"/>
                            <w:ind w:firstLine="709"/>
                            <w:jc w:val="both"/>
                            <w:rPr>
                              <w:color w:val="000000"/>
                              <w:szCs w:val="24"/>
                              <w:lang w:eastAsia="lt-LT"/>
                            </w:rPr>
                          </w:pPr>
                          <w:r>
                            <w:rPr>
                              <w:color w:val="000000"/>
                              <w:szCs w:val="24"/>
                              <w:lang w:eastAsia="lt-LT"/>
                            </w:rPr>
                            <w:t>t v i r t i n u Paramos teikimo bičių laikytojams už</w:t>
                          </w:r>
                          <w:r>
                            <w:rPr>
                              <w:color w:val="000000"/>
                              <w:szCs w:val="24"/>
                              <w:lang w:eastAsia="lt-LT"/>
                            </w:rPr>
                            <w:t xml:space="preserve"> papildomą bičių maitinimą taisykles (pridedama).“</w:t>
                          </w:r>
                        </w:p>
                        <w:p w:rsidR="00EA105C" w:rsidRDefault="00D825BB">
                          <w:pPr>
                            <w:rPr>
                              <w:sz w:val="14"/>
                              <w:szCs w:val="14"/>
                            </w:rPr>
                          </w:pPr>
                        </w:p>
                      </w:sdtContent>
                    </w:sdt>
                  </w:sdtContent>
                </w:sdt>
              </w:sdtContent>
            </w:sdt>
          </w:sdtContent>
        </w:sdt>
        <w:sdt>
          <w:sdtPr>
            <w:alias w:val="2 p."/>
            <w:tag w:val="part_da20bd97f1aa4d768fe7b33110e4738b"/>
            <w:id w:val="-442768014"/>
            <w:lock w:val="sdtLocked"/>
          </w:sdtPr>
          <w:sdtEndPr/>
          <w:sdtContent>
            <w:p w:rsidR="00EA105C" w:rsidRDefault="00D825BB">
              <w:pPr>
                <w:tabs>
                  <w:tab w:val="left" w:pos="0"/>
                  <w:tab w:val="left" w:pos="709"/>
                  <w:tab w:val="left" w:pos="993"/>
                </w:tabs>
                <w:overflowPunct w:val="0"/>
                <w:spacing w:line="360" w:lineRule="auto"/>
                <w:ind w:firstLine="709"/>
                <w:jc w:val="both"/>
                <w:textAlignment w:val="baseline"/>
                <w:rPr>
                  <w:bCs/>
                  <w:szCs w:val="24"/>
                </w:rPr>
              </w:pPr>
              <w:sdt>
                <w:sdtPr>
                  <w:alias w:val="Numeris"/>
                  <w:tag w:val="nr_da20bd97f1aa4d768fe7b33110e4738b"/>
                  <w:id w:val="-745260504"/>
                  <w:lock w:val="sdtLocked"/>
                </w:sdtPr>
                <w:sdtEndPr/>
                <w:sdtContent>
                  <w:r>
                    <w:rPr>
                      <w:bCs/>
                      <w:szCs w:val="24"/>
                    </w:rPr>
                    <w:t>2</w:t>
                  </w:r>
                </w:sdtContent>
              </w:sdt>
              <w:r>
                <w:rPr>
                  <w:bCs/>
                  <w:szCs w:val="24"/>
                </w:rPr>
                <w:t>. P a k e i č i u nurodytu įsakymu patvirtintas Paramos teikimo bičių laikytojams už papildomą bičių maitinimą taisykles:</w:t>
              </w:r>
            </w:p>
            <w:sdt>
              <w:sdtPr>
                <w:alias w:val="2.1 pp."/>
                <w:tag w:val="part_c9da71dfe5b3465ea180079eabaefbe5"/>
                <w:id w:val="-595401780"/>
                <w:lock w:val="sdtLocked"/>
              </w:sdtPr>
              <w:sdtEndPr/>
              <w:sdtContent>
                <w:p w:rsidR="00EA105C" w:rsidRDefault="00D825BB">
                  <w:pPr>
                    <w:tabs>
                      <w:tab w:val="left" w:pos="0"/>
                      <w:tab w:val="left" w:pos="709"/>
                      <w:tab w:val="left" w:pos="993"/>
                    </w:tabs>
                    <w:overflowPunct w:val="0"/>
                    <w:spacing w:line="360" w:lineRule="auto"/>
                    <w:ind w:left="360" w:firstLine="349"/>
                    <w:jc w:val="both"/>
                    <w:textAlignment w:val="baseline"/>
                    <w:rPr>
                      <w:bCs/>
                      <w:szCs w:val="24"/>
                    </w:rPr>
                  </w:pPr>
                  <w:sdt>
                    <w:sdtPr>
                      <w:alias w:val="Numeris"/>
                      <w:tag w:val="nr_c9da71dfe5b3465ea180079eabaefbe5"/>
                      <w:id w:val="1563527477"/>
                      <w:lock w:val="sdtLocked"/>
                    </w:sdtPr>
                    <w:sdtEndPr/>
                    <w:sdtContent>
                      <w:r>
                        <w:rPr>
                          <w:bCs/>
                          <w:szCs w:val="24"/>
                        </w:rPr>
                        <w:t>2.1</w:t>
                      </w:r>
                    </w:sdtContent>
                  </w:sdt>
                  <w:r>
                    <w:rPr>
                      <w:bCs/>
                      <w:szCs w:val="24"/>
                    </w:rPr>
                    <w:t>. Pakeičiu 1 punktą ir jį išdėstau taip:</w:t>
                  </w:r>
                </w:p>
                <w:sdt>
                  <w:sdtPr>
                    <w:alias w:val="citata"/>
                    <w:tag w:val="part_f5a9cd1f388140a7aaa92d7d95f17e01"/>
                    <w:id w:val="-641430771"/>
                    <w:lock w:val="sdtLocked"/>
                  </w:sdtPr>
                  <w:sdtEndPr/>
                  <w:sdtContent>
                    <w:sdt>
                      <w:sdtPr>
                        <w:alias w:val="1 p."/>
                        <w:tag w:val="part_3dff03c27a5c4ac8901e7e00e5d90dcf"/>
                        <w:id w:val="-2105643510"/>
                        <w:lock w:val="sdtLocked"/>
                      </w:sdtPr>
                      <w:sdtEndPr/>
                      <w:sdtContent>
                        <w:p w:rsidR="00EA105C" w:rsidRDefault="00D825BB">
                          <w:pPr>
                            <w:tabs>
                              <w:tab w:val="left" w:pos="0"/>
                              <w:tab w:val="left" w:pos="709"/>
                            </w:tabs>
                            <w:overflowPunct w:val="0"/>
                            <w:spacing w:line="360" w:lineRule="auto"/>
                            <w:ind w:firstLine="709"/>
                            <w:jc w:val="both"/>
                            <w:textAlignment w:val="baseline"/>
                          </w:pPr>
                          <w:r>
                            <w:rPr>
                              <w:bCs/>
                              <w:szCs w:val="24"/>
                            </w:rPr>
                            <w:t>„</w:t>
                          </w:r>
                          <w:sdt>
                            <w:sdtPr>
                              <w:alias w:val="Numeris"/>
                              <w:tag w:val="nr_3dff03c27a5c4ac8901e7e00e5d90dcf"/>
                              <w:id w:val="49817411"/>
                              <w:lock w:val="sdtLocked"/>
                            </w:sdtPr>
                            <w:sdtEndPr/>
                            <w:sdtContent>
                              <w:r>
                                <w:rPr>
                                  <w:bCs/>
                                  <w:szCs w:val="24"/>
                                </w:rPr>
                                <w:t>1</w:t>
                              </w:r>
                            </w:sdtContent>
                          </w:sdt>
                          <w:r>
                            <w:rPr>
                              <w:bCs/>
                              <w:szCs w:val="24"/>
                            </w:rPr>
                            <w:t xml:space="preserve">. Paramos teikimo bičių laikytojams už papildomą bičių maitinimą taisyklės (toliau – taisyklės) parengtos vadovaujantis 2013 m. gruodžio 18 d. Komisijos reglamentu (ES) Nr. 1408/2013 dėl Sutarties dėl Europos Sąjungos veikimo 107 ir 108 straipsnių taikymo </w:t>
                          </w:r>
                          <w:proofErr w:type="spellStart"/>
                          <w:r>
                            <w:rPr>
                              <w:bCs/>
                              <w:i/>
                              <w:szCs w:val="24"/>
                            </w:rPr>
                            <w:t>de</w:t>
                          </w:r>
                          <w:proofErr w:type="spellEnd"/>
                          <w:r>
                            <w:rPr>
                              <w:bCs/>
                              <w:i/>
                              <w:szCs w:val="24"/>
                            </w:rPr>
                            <w:t xml:space="preserve"> </w:t>
                          </w:r>
                          <w:proofErr w:type="spellStart"/>
                          <w:r>
                            <w:rPr>
                              <w:bCs/>
                              <w:i/>
                              <w:szCs w:val="24"/>
                            </w:rPr>
                            <w:t>minimis</w:t>
                          </w:r>
                          <w:proofErr w:type="spellEnd"/>
                          <w:r>
                            <w:rPr>
                              <w:bCs/>
                              <w:szCs w:val="24"/>
                            </w:rPr>
                            <w:t xml:space="preserve"> pagalbai žemės ūkio sektoriuje su visais pakeitimais, Ūkinių gyvūnų laikymo vietų registravimo ir jose laikomų ūkinių gyvūnų ženklinimo ir apskaitos tvarkos aprašu, patvirtintu Lietuvos Respublikos žemės ūkio ministro 2003 m. birželio 16 d. įsak</w:t>
                          </w:r>
                          <w:r>
                            <w:rPr>
                              <w:bCs/>
                              <w:szCs w:val="24"/>
                            </w:rPr>
                            <w:t xml:space="preserve">ymu Nr. 3D-234 „Dėl Ūkinių gyvūnų </w:t>
                          </w:r>
                          <w:r>
                            <w:rPr>
                              <w:bCs/>
                              <w:szCs w:val="24"/>
                            </w:rPr>
                            <w:lastRenderedPageBreak/>
                            <w:t xml:space="preserve">laikymo vietų registravimo ir jose laikomų ūkinių gyvūnų ženklinimo ir apskaitos tvarkos aprašo patvirtinimo“, bei Valstybės pagalbos žemės ūkiui, maisto ūkiui, žuvininkystei ir kaimo plėtrai ir kitų iš valstybės biudžeto </w:t>
                          </w:r>
                          <w:r>
                            <w:rPr>
                              <w:bCs/>
                              <w:szCs w:val="24"/>
                            </w:rPr>
                            <w:t>lėšų finansuojamų priemonių bendrosiomis administravimo taisyklėmis, patvirtintomis Lietuvos Respublikos žemės ūkio ministro 2010 m. lapkričio 8 d. įsakymu Nr. 3D-979 „Dėl Valstybės pagalbos žemės ūkiui, maisto ūkiui, žuvininkystei ir kaimo plėtrai ir kitų</w:t>
                          </w:r>
                          <w:r>
                            <w:rPr>
                              <w:bCs/>
                              <w:szCs w:val="24"/>
                            </w:rPr>
                            <w:t xml:space="preserve"> iš valstybės biudžeto lėšų finansuojamų priemonių bendrųjų administravimo taisyklių patvirtinimo“  (toliau – Bendrosios administravimo taisyklės).“</w:t>
                          </w:r>
                        </w:p>
                      </w:sdtContent>
                    </w:sdt>
                  </w:sdtContent>
                </w:sdt>
              </w:sdtContent>
            </w:sdt>
            <w:sdt>
              <w:sdtPr>
                <w:alias w:val="2.2 pp."/>
                <w:tag w:val="part_6fff588f36dd4869a8dc07de34ea61d0"/>
                <w:id w:val="-546066021"/>
                <w:lock w:val="sdtLocked"/>
              </w:sdtPr>
              <w:sdtEndPr/>
              <w:sdtContent>
                <w:p w:rsidR="00EA105C" w:rsidRDefault="00D825BB">
                  <w:pPr>
                    <w:tabs>
                      <w:tab w:val="left" w:pos="993"/>
                    </w:tabs>
                    <w:overflowPunct w:val="0"/>
                    <w:spacing w:line="360" w:lineRule="auto"/>
                    <w:ind w:left="720"/>
                    <w:jc w:val="both"/>
                    <w:textAlignment w:val="baseline"/>
                    <w:rPr>
                      <w:bCs/>
                      <w:szCs w:val="24"/>
                    </w:rPr>
                  </w:pPr>
                  <w:sdt>
                    <w:sdtPr>
                      <w:alias w:val="Numeris"/>
                      <w:tag w:val="nr_6fff588f36dd4869a8dc07de34ea61d0"/>
                      <w:id w:val="2062127818"/>
                      <w:lock w:val="sdtLocked"/>
                    </w:sdtPr>
                    <w:sdtEndPr/>
                    <w:sdtContent>
                      <w:r>
                        <w:rPr>
                          <w:bCs/>
                          <w:szCs w:val="24"/>
                        </w:rPr>
                        <w:t>2.2</w:t>
                      </w:r>
                    </w:sdtContent>
                  </w:sdt>
                  <w:r>
                    <w:rPr>
                      <w:bCs/>
                      <w:szCs w:val="24"/>
                    </w:rPr>
                    <w:t>. Pakeičiu 11 punktą ir jį išdėstau taip:</w:t>
                  </w:r>
                </w:p>
                <w:sdt>
                  <w:sdtPr>
                    <w:alias w:val="citata"/>
                    <w:tag w:val="part_a2d0141faa5445c49e628e1246f0d350"/>
                    <w:id w:val="-2067397544"/>
                    <w:lock w:val="sdtLocked"/>
                  </w:sdtPr>
                  <w:sdtEndPr/>
                  <w:sdtContent>
                    <w:sdt>
                      <w:sdtPr>
                        <w:alias w:val="11 p."/>
                        <w:tag w:val="part_a527312288bd4b21940f4228d91f2ea0"/>
                        <w:id w:val="577632169"/>
                        <w:lock w:val="sdtLocked"/>
                      </w:sdtPr>
                      <w:sdtEndPr/>
                      <w:sdtContent>
                        <w:p w:rsidR="00EA105C" w:rsidRDefault="00D825BB">
                          <w:pPr>
                            <w:tabs>
                              <w:tab w:val="left" w:pos="709"/>
                              <w:tab w:val="left" w:pos="1134"/>
                            </w:tabs>
                            <w:overflowPunct w:val="0"/>
                            <w:spacing w:line="360" w:lineRule="auto"/>
                            <w:ind w:firstLine="709"/>
                            <w:jc w:val="both"/>
                            <w:textAlignment w:val="baseline"/>
                          </w:pPr>
                          <w:r>
                            <w:rPr>
                              <w:bCs/>
                              <w:szCs w:val="24"/>
                            </w:rPr>
                            <w:t>„</w:t>
                          </w:r>
                          <w:sdt>
                            <w:sdtPr>
                              <w:alias w:val="Numeris"/>
                              <w:tag w:val="nr_a527312288bd4b21940f4228d91f2ea0"/>
                              <w:id w:val="-1155680730"/>
                              <w:lock w:val="sdtLocked"/>
                            </w:sdtPr>
                            <w:sdtEndPr/>
                            <w:sdtContent>
                              <w:r>
                                <w:rPr>
                                  <w:szCs w:val="24"/>
                                </w:rPr>
                                <w:t>11</w:t>
                              </w:r>
                            </w:sdtContent>
                          </w:sdt>
                          <w:r>
                            <w:rPr>
                              <w:szCs w:val="24"/>
                            </w:rPr>
                            <w:t xml:space="preserve">. </w:t>
                          </w:r>
                          <w:r>
                            <w:t>Bendra nereikšmingos (</w:t>
                          </w:r>
                          <w:proofErr w:type="spellStart"/>
                          <w:r>
                            <w:rPr>
                              <w:i/>
                              <w:iCs/>
                            </w:rPr>
                            <w:t>de</w:t>
                          </w:r>
                          <w:proofErr w:type="spellEnd"/>
                          <w:r>
                            <w:rPr>
                              <w:i/>
                              <w:iCs/>
                            </w:rPr>
                            <w:t xml:space="preserve"> </w:t>
                          </w:r>
                          <w:proofErr w:type="spellStart"/>
                          <w:r>
                            <w:rPr>
                              <w:i/>
                              <w:iCs/>
                            </w:rPr>
                            <w:t>minimis</w:t>
                          </w:r>
                          <w:proofErr w:type="spellEnd"/>
                          <w:r>
                            <w:t>) pagalbos, suteiktos vadovaujantis reglamento (ES) Nr. 1408/2013 nuostatomis, suma vienam paramos gavėjui (įskaitant su juo reglamento (ES) Nr. 1408/2013 2 straipsnio 2 dalyje nurodytais ryšiais susijusius ūkio subjektus) per bet kurį trejų finansinių met</w:t>
                          </w:r>
                          <w:r>
                            <w:t xml:space="preserve">ų laikotarpį negali viršyti 25 000 eurų. </w:t>
                          </w:r>
                          <w:r>
                            <w:rPr>
                              <w:color w:val="000000"/>
                            </w:rPr>
                            <w:t>Bendra nereikšmingos (</w:t>
                          </w:r>
                          <w:proofErr w:type="spellStart"/>
                          <w:r>
                            <w:rPr>
                              <w:i/>
                              <w:iCs/>
                              <w:color w:val="000000"/>
                            </w:rPr>
                            <w:t>de</w:t>
                          </w:r>
                          <w:proofErr w:type="spellEnd"/>
                          <w:r>
                            <w:rPr>
                              <w:i/>
                              <w:iCs/>
                              <w:color w:val="000000"/>
                            </w:rPr>
                            <w:t xml:space="preserve"> </w:t>
                          </w:r>
                          <w:proofErr w:type="spellStart"/>
                          <w:r>
                            <w:rPr>
                              <w:i/>
                              <w:iCs/>
                              <w:color w:val="000000"/>
                            </w:rPr>
                            <w:t>minimis</w:t>
                          </w:r>
                          <w:proofErr w:type="spellEnd"/>
                          <w:r>
                            <w:rPr>
                              <w:color w:val="000000"/>
                            </w:rPr>
                            <w:t>) pagalbos, suteiktos vadovaujantis reglamento (ES) Nr. 1408/2013 nuostatomis, suma pirminės žemės ūkio produktų gamybos sektoriuje veiklą vykdančioms įmonėms per bet kurį trejų finan</w:t>
                          </w:r>
                          <w:r>
                            <w:rPr>
                              <w:color w:val="000000"/>
                            </w:rPr>
                            <w:t>sinių metų laikotarpį neturi viršyti reglamento (ES) Nr. 1408/2013 II priede nurodytos nacionalinės ribos.</w:t>
                          </w:r>
                          <w:r>
                            <w:rPr>
                              <w:szCs w:val="24"/>
                            </w:rPr>
                            <w:t xml:space="preserve"> Nereikšmingos</w:t>
                          </w:r>
                          <w:r>
                            <w:rPr>
                              <w:i/>
                              <w:iCs/>
                              <w:szCs w:val="24"/>
                            </w:rPr>
                            <w:t xml:space="preserve"> (</w:t>
                          </w:r>
                          <w:proofErr w:type="spellStart"/>
                          <w:r>
                            <w:rPr>
                              <w:i/>
                              <w:iCs/>
                              <w:szCs w:val="24"/>
                            </w:rPr>
                            <w:t>d</w:t>
                          </w:r>
                          <w:r>
                            <w:rPr>
                              <w:i/>
                              <w:iCs/>
                            </w:rPr>
                            <w:t>e</w:t>
                          </w:r>
                          <w:proofErr w:type="spellEnd"/>
                          <w:r>
                            <w:rPr>
                              <w:i/>
                              <w:iCs/>
                            </w:rPr>
                            <w:t xml:space="preserve"> </w:t>
                          </w:r>
                          <w:proofErr w:type="spellStart"/>
                          <w:r>
                            <w:rPr>
                              <w:i/>
                              <w:iCs/>
                            </w:rPr>
                            <w:t>minimis</w:t>
                          </w:r>
                          <w:proofErr w:type="spellEnd"/>
                          <w:r>
                            <w:rPr>
                              <w:i/>
                              <w:iCs/>
                            </w:rPr>
                            <w:t>)</w:t>
                          </w:r>
                          <w:r>
                            <w:t xml:space="preserve"> pagalbos priemonėms, naudingoms tik vieno atskiro produkto sektoriui, kaip jis apibrėžtas reglamento (ES) Nr. 1408/2013 2 </w:t>
                          </w:r>
                          <w:r>
                            <w:t>straipsnio 3 dalyje, bendra teikiamos nereikšmingos (</w:t>
                          </w:r>
                          <w:proofErr w:type="spellStart"/>
                          <w:r>
                            <w:rPr>
                              <w:i/>
                              <w:iCs/>
                            </w:rPr>
                            <w:t>de</w:t>
                          </w:r>
                          <w:proofErr w:type="spellEnd"/>
                          <w:r>
                            <w:rPr>
                              <w:i/>
                              <w:iCs/>
                            </w:rPr>
                            <w:t xml:space="preserve"> </w:t>
                          </w:r>
                          <w:proofErr w:type="spellStart"/>
                          <w:r>
                            <w:rPr>
                              <w:i/>
                              <w:iCs/>
                            </w:rPr>
                            <w:t>minimis</w:t>
                          </w:r>
                          <w:proofErr w:type="spellEnd"/>
                          <w:r>
                            <w:rPr>
                              <w:i/>
                              <w:iCs/>
                            </w:rPr>
                            <w:t>)</w:t>
                          </w:r>
                          <w:r>
                            <w:t xml:space="preserve"> pagalbos suma per bet kurį trejų finansinių metų laikotarpį negali viršyti 50 proc. reglamento (ES) Nr. 1408/2013 II priede nurodytos nacionalinės ribos. Jei suteikus paramą pagal taisykles b</w:t>
                          </w:r>
                          <w:r>
                            <w:t>ūtų viršytos šiame punkte nurodytos ribos, skiriant paramą paramos suma sumažinama tiek, kad pirmiau nurodytos ribos nebūtų viršytos.</w:t>
                          </w:r>
                          <w:r>
                            <w:rPr>
                              <w:color w:val="000000"/>
                              <w:szCs w:val="24"/>
                              <w:lang w:eastAsia="lt-LT"/>
                            </w:rPr>
                            <w:t>“</w:t>
                          </w:r>
                          <w:r>
                            <w:rPr>
                              <w:szCs w:val="24"/>
                            </w:rPr>
                            <w:t xml:space="preserve"> </w:t>
                          </w:r>
                        </w:p>
                      </w:sdtContent>
                    </w:sdt>
                  </w:sdtContent>
                </w:sdt>
              </w:sdtContent>
            </w:sdt>
          </w:sdtContent>
        </w:sdt>
        <w:sdt>
          <w:sdtPr>
            <w:alias w:val="3 p."/>
            <w:tag w:val="part_4b045dc53e5248c39dd6f45ddb0a6f73"/>
            <w:id w:val="-363126109"/>
            <w:lock w:val="sdtLocked"/>
          </w:sdtPr>
          <w:sdtEndPr/>
          <w:sdtContent>
            <w:p w:rsidR="00EA105C" w:rsidRDefault="00D825BB" w:rsidP="00D825BB">
              <w:pPr>
                <w:tabs>
                  <w:tab w:val="left" w:pos="993"/>
                </w:tabs>
                <w:overflowPunct w:val="0"/>
                <w:spacing w:line="360" w:lineRule="auto"/>
                <w:ind w:firstLine="709"/>
                <w:jc w:val="both"/>
                <w:textAlignment w:val="baseline"/>
              </w:pPr>
              <w:sdt>
                <w:sdtPr>
                  <w:alias w:val="Numeris"/>
                  <w:tag w:val="nr_4b045dc53e5248c39dd6f45ddb0a6f73"/>
                  <w:id w:val="-1129324717"/>
                  <w:lock w:val="sdtLocked"/>
                </w:sdtPr>
                <w:sdtEndPr/>
                <w:sdtContent>
                  <w:r>
                    <w:t>3</w:t>
                  </w:r>
                </w:sdtContent>
              </w:sdt>
              <w:r>
                <w:t>.</w:t>
              </w:r>
              <w:r>
                <w:tab/>
                <w:t>Pakeičiu 4 priedą ir jį išdėstau nauja redakcija (pridedama).</w:t>
              </w:r>
            </w:p>
          </w:sdtContent>
        </w:sdt>
        <w:sdt>
          <w:sdtPr>
            <w:alias w:val="signatura"/>
            <w:tag w:val="part_df6ba6f832f24f66aaa2466d6a657b39"/>
            <w:id w:val="1226175763"/>
            <w:lock w:val="sdtLocked"/>
            <w:placeholder>
              <w:docPart w:val="DefaultPlaceholder_1082065158"/>
            </w:placeholder>
          </w:sdtPr>
          <w:sdtEndPr>
            <w:rPr>
              <w:szCs w:val="24"/>
            </w:rPr>
          </w:sdtEndPr>
          <w:sdtContent>
            <w:p w:rsidR="00D825BB" w:rsidRDefault="00D825BB" w:rsidP="00D825BB">
              <w:pPr>
                <w:tabs>
                  <w:tab w:val="left" w:pos="6237"/>
                </w:tabs>
                <w:overflowPunct w:val="0"/>
                <w:jc w:val="both"/>
                <w:textAlignment w:val="baseline"/>
              </w:pPr>
            </w:p>
            <w:p w:rsidR="00D825BB" w:rsidRDefault="00D825BB" w:rsidP="00D825BB">
              <w:pPr>
                <w:tabs>
                  <w:tab w:val="left" w:pos="6237"/>
                </w:tabs>
                <w:overflowPunct w:val="0"/>
                <w:jc w:val="both"/>
                <w:textAlignment w:val="baseline"/>
              </w:pPr>
            </w:p>
            <w:p w:rsidR="00D825BB" w:rsidRDefault="00D825BB" w:rsidP="00D825BB">
              <w:pPr>
                <w:tabs>
                  <w:tab w:val="left" w:pos="6237"/>
                </w:tabs>
                <w:overflowPunct w:val="0"/>
                <w:jc w:val="both"/>
                <w:textAlignment w:val="baseline"/>
              </w:pPr>
            </w:p>
            <w:p w:rsidR="00EA105C" w:rsidRDefault="00D825BB">
              <w:pPr>
                <w:tabs>
                  <w:tab w:val="left" w:pos="6237"/>
                </w:tabs>
                <w:overflowPunct w:val="0"/>
                <w:spacing w:line="360" w:lineRule="auto"/>
                <w:jc w:val="both"/>
                <w:textAlignment w:val="baseline"/>
                <w:rPr>
                  <w:szCs w:val="24"/>
                </w:rPr>
              </w:pPr>
              <w:r>
                <w:t xml:space="preserve">Žemės ūkio ministras    </w:t>
              </w:r>
              <w:r>
                <w:tab/>
                <w:t xml:space="preserve">    Kęstutis Nav</w:t>
              </w:r>
              <w:r>
                <w:t>ickas</w:t>
              </w:r>
            </w:p>
          </w:sdtContent>
        </w:sdt>
      </w:sdtContent>
    </w:sdt>
    <w:sdt>
      <w:sdtPr>
        <w:rPr>
          <w:szCs w:val="24"/>
        </w:rPr>
        <w:alias w:val="4 pr."/>
        <w:tag w:val="part_4640cc50e0df48e8a8e16d8f77a93a49"/>
        <w:id w:val="-225381457"/>
        <w:lock w:val="sdtLocked"/>
        <w:placeholder>
          <w:docPart w:val="DefaultPlaceholder_1082065158"/>
        </w:placeholder>
      </w:sdtPr>
      <w:sdtEndPr>
        <w:rPr>
          <w:szCs w:val="20"/>
        </w:rPr>
      </w:sdtEndPr>
      <w:sdtContent>
        <w:p w:rsidR="00EA105C" w:rsidRDefault="00EA105C">
          <w:pPr>
            <w:overflowPunct w:val="0"/>
            <w:spacing w:line="360" w:lineRule="auto"/>
            <w:ind w:firstLine="720"/>
            <w:jc w:val="both"/>
            <w:textAlignment w:val="baseline"/>
            <w:rPr>
              <w:szCs w:val="24"/>
            </w:rPr>
            <w:sectPr w:rsidR="00EA105C">
              <w:headerReference w:type="even" r:id="rId10"/>
              <w:headerReference w:type="default" r:id="rId11"/>
              <w:footerReference w:type="even" r:id="rId12"/>
              <w:footerReference w:type="default" r:id="rId13"/>
              <w:headerReference w:type="first" r:id="rId14"/>
              <w:footerReference w:type="first" r:id="rId15"/>
              <w:pgSz w:w="11907" w:h="16840"/>
              <w:pgMar w:top="1134" w:right="708" w:bottom="1134" w:left="1701" w:header="567" w:footer="567" w:gutter="0"/>
              <w:cols w:space="1296"/>
              <w:titlePg/>
              <w:docGrid w:linePitch="326"/>
            </w:sectPr>
          </w:pPr>
        </w:p>
        <w:p w:rsidR="00EA105C" w:rsidRDefault="00D825BB">
          <w:pPr>
            <w:widowControl w:val="0"/>
            <w:suppressAutoHyphens/>
            <w:ind w:left="6521"/>
            <w:textAlignment w:val="baseline"/>
            <w:rPr>
              <w:sz w:val="20"/>
            </w:rPr>
          </w:pPr>
          <w:r>
            <w:rPr>
              <w:sz w:val="20"/>
            </w:rPr>
            <w:lastRenderedPageBreak/>
            <w:t>Paramos teikimo bičių laikytojams už</w:t>
          </w:r>
        </w:p>
        <w:p w:rsidR="00EA105C" w:rsidRDefault="00D825BB">
          <w:pPr>
            <w:widowControl w:val="0"/>
            <w:suppressAutoHyphens/>
            <w:ind w:left="6521"/>
            <w:textAlignment w:val="baseline"/>
            <w:rPr>
              <w:sz w:val="20"/>
            </w:rPr>
          </w:pPr>
          <w:r>
            <w:rPr>
              <w:sz w:val="20"/>
            </w:rPr>
            <w:t>papildomą bičių maitinimą taisyklių</w:t>
          </w:r>
        </w:p>
        <w:p w:rsidR="00EA105C" w:rsidRDefault="00D825BB">
          <w:pPr>
            <w:widowControl w:val="0"/>
            <w:suppressAutoHyphens/>
            <w:ind w:left="9639" w:hanging="3118"/>
            <w:textAlignment w:val="baseline"/>
            <w:rPr>
              <w:sz w:val="20"/>
            </w:rPr>
          </w:pPr>
          <w:r>
            <w:rPr>
              <w:sz w:val="20"/>
            </w:rPr>
            <w:t>4</w:t>
          </w:r>
          <w:r>
            <w:rPr>
              <w:sz w:val="20"/>
            </w:rPr>
            <w:t xml:space="preserve"> priedas </w:t>
          </w:r>
        </w:p>
        <w:p w:rsidR="00EA105C" w:rsidRDefault="00EA105C">
          <w:pPr>
            <w:widowControl w:val="0"/>
            <w:suppressAutoHyphens/>
            <w:ind w:left="8640"/>
            <w:textAlignment w:val="baseline"/>
            <w:rPr>
              <w:sz w:val="20"/>
            </w:rPr>
          </w:pPr>
        </w:p>
        <w:p w:rsidR="00EA105C" w:rsidRDefault="00D825BB">
          <w:pPr>
            <w:widowControl w:val="0"/>
            <w:suppressAutoHyphens/>
            <w:ind w:firstLine="53"/>
            <w:jc w:val="center"/>
            <w:textAlignment w:val="baseline"/>
          </w:pPr>
          <w:r>
            <w:rPr>
              <w:b/>
              <w:sz w:val="20"/>
            </w:rPr>
            <w:t>(Ataskaitos apie paramos teikimo bičių laikytojams už papildomą</w:t>
          </w:r>
        </w:p>
        <w:p w:rsidR="00EA105C" w:rsidRDefault="00D825BB">
          <w:pPr>
            <w:widowControl w:val="0"/>
            <w:suppressAutoHyphens/>
            <w:jc w:val="center"/>
            <w:textAlignment w:val="baseline"/>
          </w:pPr>
          <w:r>
            <w:rPr>
              <w:b/>
              <w:sz w:val="20"/>
            </w:rPr>
            <w:t xml:space="preserve">bičių maitinimą </w:t>
          </w:r>
          <w:r>
            <w:rPr>
              <w:b/>
              <w:bCs/>
              <w:sz w:val="20"/>
            </w:rPr>
            <w:t>įgyvendinimą</w:t>
          </w:r>
          <w:r>
            <w:rPr>
              <w:b/>
              <w:sz w:val="20"/>
            </w:rPr>
            <w:t xml:space="preserve"> forma)</w:t>
          </w:r>
        </w:p>
        <w:p w:rsidR="00EA105C" w:rsidRDefault="00EA105C">
          <w:pPr>
            <w:widowControl w:val="0"/>
            <w:suppressAutoHyphens/>
            <w:textAlignment w:val="baseline"/>
            <w:rPr>
              <w:bCs/>
              <w:caps/>
              <w:color w:val="000000"/>
              <w:szCs w:val="24"/>
            </w:rPr>
          </w:pPr>
        </w:p>
        <w:p w:rsidR="00EA105C" w:rsidRDefault="00D825BB">
          <w:pPr>
            <w:widowControl w:val="0"/>
            <w:suppressAutoHyphens/>
            <w:jc w:val="center"/>
            <w:textAlignment w:val="baseline"/>
            <w:rPr>
              <w:b/>
              <w:bCs/>
              <w:caps/>
              <w:color w:val="000000"/>
              <w:szCs w:val="24"/>
            </w:rPr>
          </w:pPr>
          <w:r>
            <w:rPr>
              <w:b/>
              <w:bCs/>
              <w:caps/>
              <w:color w:val="000000"/>
              <w:szCs w:val="24"/>
            </w:rPr>
            <w:t>NACIONALINĖ MOKĖJIMO AGENTŪRA PRIE ŽEMĖS ŪKIO MINISTERIJOS</w:t>
          </w:r>
        </w:p>
        <w:p w:rsidR="00EA105C" w:rsidRDefault="00EA105C">
          <w:pPr>
            <w:widowControl w:val="0"/>
            <w:suppressAutoHyphens/>
            <w:jc w:val="center"/>
            <w:textAlignment w:val="baseline"/>
            <w:rPr>
              <w:b/>
              <w:bCs/>
              <w:caps/>
              <w:color w:val="000000"/>
              <w:szCs w:val="24"/>
            </w:rPr>
          </w:pPr>
        </w:p>
        <w:p w:rsidR="00EA105C" w:rsidRDefault="00D825BB">
          <w:pPr>
            <w:suppressAutoHyphens/>
            <w:jc w:val="center"/>
            <w:textAlignment w:val="baseline"/>
            <w:rPr>
              <w:b/>
              <w:bCs/>
              <w:caps/>
              <w:szCs w:val="24"/>
            </w:rPr>
          </w:pPr>
          <w:r>
            <w:rPr>
              <w:b/>
              <w:bCs/>
              <w:caps/>
              <w:szCs w:val="24"/>
            </w:rPr>
            <w:t>ATASKAITA APIE Paramos teikimo bičių laikytojams už papildomą</w:t>
          </w:r>
        </w:p>
        <w:p w:rsidR="00EA105C" w:rsidRDefault="00D825BB">
          <w:pPr>
            <w:suppressAutoHyphens/>
            <w:jc w:val="center"/>
            <w:textAlignment w:val="baseline"/>
            <w:rPr>
              <w:b/>
              <w:bCs/>
              <w:caps/>
              <w:szCs w:val="24"/>
            </w:rPr>
          </w:pPr>
          <w:r>
            <w:rPr>
              <w:b/>
              <w:bCs/>
              <w:caps/>
              <w:szCs w:val="24"/>
            </w:rPr>
            <w:t xml:space="preserve">bičių MAITINIMĄ įgyvendinimą </w:t>
          </w:r>
        </w:p>
        <w:p w:rsidR="00EA105C" w:rsidRDefault="00EA105C">
          <w:pPr>
            <w:suppressAutoHyphens/>
            <w:textAlignment w:val="baseline"/>
            <w:rPr>
              <w:sz w:val="20"/>
            </w:rPr>
          </w:pPr>
        </w:p>
        <w:p w:rsidR="00EA105C" w:rsidRDefault="00D825BB">
          <w:pPr>
            <w:suppressAutoHyphens/>
            <w:jc w:val="center"/>
            <w:textAlignment w:val="baseline"/>
            <w:rPr>
              <w:sz w:val="20"/>
            </w:rPr>
          </w:pPr>
          <w:r>
            <w:rPr>
              <w:sz w:val="20"/>
            </w:rPr>
            <w:t>____________   Nr. _______________</w:t>
          </w:r>
        </w:p>
        <w:p w:rsidR="00EA105C" w:rsidRDefault="00D825BB">
          <w:pPr>
            <w:suppressAutoHyphens/>
            <w:jc w:val="center"/>
            <w:textAlignment w:val="baseline"/>
            <w:rPr>
              <w:sz w:val="20"/>
            </w:rPr>
          </w:pPr>
          <w:r>
            <w:rPr>
              <w:sz w:val="20"/>
            </w:rPr>
            <w:t>(data)</w:t>
          </w:r>
        </w:p>
        <w:p w:rsidR="00EA105C" w:rsidRDefault="00D825BB">
          <w:pPr>
            <w:suppressAutoHyphens/>
            <w:jc w:val="center"/>
            <w:textAlignment w:val="baseline"/>
            <w:rPr>
              <w:sz w:val="20"/>
            </w:rPr>
          </w:pPr>
          <w:r>
            <w:rPr>
              <w:sz w:val="20"/>
            </w:rPr>
            <w:t>____________</w:t>
          </w:r>
        </w:p>
        <w:p w:rsidR="00EA105C" w:rsidRDefault="00D825BB">
          <w:pPr>
            <w:suppressAutoHyphens/>
            <w:jc w:val="center"/>
            <w:textAlignment w:val="baseline"/>
            <w:rPr>
              <w:sz w:val="20"/>
            </w:rPr>
          </w:pPr>
          <w:r>
            <w:rPr>
              <w:sz w:val="20"/>
            </w:rPr>
            <w:t>(sudarymo vieta)</w:t>
          </w:r>
        </w:p>
        <w:p w:rsidR="00EA105C" w:rsidRDefault="00EA105C">
          <w:pPr>
            <w:suppressAutoHyphens/>
            <w:jc w:val="center"/>
            <w:textAlignment w:val="baseline"/>
            <w:rPr>
              <w:sz w:val="20"/>
            </w:rPr>
          </w:pPr>
        </w:p>
        <w:tbl>
          <w:tblPr>
            <w:tblW w:w="6947" w:type="dxa"/>
            <w:tblInd w:w="137" w:type="dxa"/>
            <w:tblCellMar>
              <w:left w:w="10" w:type="dxa"/>
              <w:right w:w="10" w:type="dxa"/>
            </w:tblCellMar>
            <w:tblLook w:val="0000" w:firstRow="0" w:lastRow="0" w:firstColumn="0" w:lastColumn="0" w:noHBand="0" w:noVBand="0"/>
          </w:tblPr>
          <w:tblGrid>
            <w:gridCol w:w="3545"/>
            <w:gridCol w:w="3402"/>
          </w:tblGrid>
          <w:tr w:rsidR="00EA105C">
            <w:trPr>
              <w:cantSplit/>
              <w:trHeight w:val="531"/>
            </w:trPr>
            <w:tc>
              <w:tcPr>
                <w:tcW w:w="3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D825BB">
                <w:pPr>
                  <w:suppressAutoHyphens/>
                  <w:textAlignment w:val="baseline"/>
                  <w:rPr>
                    <w:sz w:val="20"/>
                  </w:rPr>
                </w:pPr>
                <w:r>
                  <w:rPr>
                    <w:sz w:val="20"/>
                  </w:rPr>
                  <w:t xml:space="preserve">Periodas, už kurį formuojama ataskaita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tabs>
                    <w:tab w:val="left" w:pos="4320"/>
                  </w:tabs>
                  <w:suppressAutoHyphens/>
                  <w:ind w:firstLine="159"/>
                  <w:textAlignment w:val="baseline"/>
                  <w:rPr>
                    <w:sz w:val="20"/>
                  </w:rPr>
                </w:pPr>
              </w:p>
              <w:p w:rsidR="00EA105C" w:rsidRDefault="00D825BB">
                <w:pPr>
                  <w:tabs>
                    <w:tab w:val="left" w:pos="4320"/>
                  </w:tabs>
                  <w:suppressAutoHyphens/>
                  <w:ind w:firstLine="477"/>
                  <w:textAlignment w:val="baseline"/>
                  <w:rPr>
                    <w:sz w:val="20"/>
                  </w:rPr>
                </w:pPr>
                <w:r>
                  <w:rPr>
                    <w:sz w:val="20"/>
                  </w:rPr>
                  <w:t>(nuo)                             (iki)</w:t>
                </w:r>
              </w:p>
            </w:tc>
          </w:tr>
        </w:tbl>
        <w:p w:rsidR="00EA105C" w:rsidRDefault="00EA105C">
          <w:pPr>
            <w:suppressAutoHyphens/>
            <w:textAlignment w:val="baseline"/>
            <w:rPr>
              <w:b/>
              <w:bCs/>
              <w:szCs w:val="24"/>
            </w:rPr>
          </w:pPr>
        </w:p>
        <w:p w:rsidR="00EA105C" w:rsidRDefault="00D825BB">
          <w:pPr>
            <w:tabs>
              <w:tab w:val="left" w:pos="567"/>
            </w:tabs>
            <w:suppressAutoHyphens/>
            <w:ind w:firstLine="159"/>
            <w:textAlignment w:val="baseline"/>
            <w:rPr>
              <w:b/>
              <w:bCs/>
              <w:sz w:val="20"/>
            </w:rPr>
          </w:pPr>
          <w:r>
            <w:rPr>
              <w:b/>
              <w:bCs/>
              <w:sz w:val="20"/>
            </w:rPr>
            <w:t>PARAMOS TEIKIMO BIČIŲ LAIKYTOJAMS UŽ PAPILDOMĄ BIČIŲ MAITINIMĄ ĮGYVENDINIMAS</w:t>
          </w:r>
        </w:p>
        <w:tbl>
          <w:tblPr>
            <w:tblW w:w="9072" w:type="dxa"/>
            <w:tblInd w:w="137" w:type="dxa"/>
            <w:tblLayout w:type="fixed"/>
            <w:tblCellMar>
              <w:left w:w="10" w:type="dxa"/>
              <w:right w:w="10" w:type="dxa"/>
            </w:tblCellMar>
            <w:tblLook w:val="0000" w:firstRow="0" w:lastRow="0" w:firstColumn="0" w:lastColumn="0" w:noHBand="0" w:noVBand="0"/>
          </w:tblPr>
          <w:tblGrid>
            <w:gridCol w:w="541"/>
            <w:gridCol w:w="4987"/>
            <w:gridCol w:w="1843"/>
            <w:gridCol w:w="1701"/>
          </w:tblGrid>
          <w:tr w:rsidR="00EA105C">
            <w:trPr>
              <w:cantSplit/>
              <w:trHeight w:val="869"/>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
                    <w:bCs/>
                  </w:rPr>
                  <w:t>Eil. Nr.</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
                    <w:bCs/>
                  </w:rPr>
                  <w:t xml:space="preserve">Informacija apie paramos teikimo bičių laikytojams už papildomą bičių maitinimą </w:t>
                </w:r>
                <w:r>
                  <w:rPr>
                    <w:b/>
                    <w:bCs/>
                  </w:rPr>
                  <w:t>įgyvendinimą</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
                  </w:rPr>
                  <w:t>Bičių šeimų laikytojų skaičius, vnt.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
                  </w:rPr>
                  <w:t>Ekologiškų bičių šeimų laikytojų skaičius, vnt.</w:t>
                </w: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Cs/>
                  </w:rPr>
                  <w:t>1.</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
                    <w:bCs/>
                  </w:rPr>
                  <w:t>Laikomų bičių šeimų skaičius, vnt.</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Cs/>
                  </w:rPr>
                  <w:t>1–4</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Cs/>
                  </w:rPr>
                  <w:t>5–20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Cs/>
                  </w:rPr>
                  <w:t>21–40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Cs/>
                  </w:rPr>
                  <w:t>41–60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Cs/>
                  </w:rPr>
                  <w:t>61–100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rPr>
              <w:cantSplit/>
              <w:tblHeader/>
            </w:trPr>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textAlignment w:val="baseline"/>
                </w:pPr>
                <w:r>
                  <w:rPr>
                    <w:bCs/>
                  </w:rPr>
                  <w:t>101–150</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
                    <w:bCs/>
                    <w:sz w:val="22"/>
                    <w:szCs w:val="22"/>
                  </w:rPr>
                </w:pPr>
              </w:p>
            </w:tc>
          </w:tr>
          <w:tr w:rsidR="00EA105C">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Cs/>
                  </w:rPr>
                  <w:t>2.</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D825BB">
                <w:pPr>
                  <w:suppressAutoHyphens/>
                  <w:textAlignment w:val="baseline"/>
                </w:pPr>
                <w:r>
                  <w:t xml:space="preserve">Suteikta paramos už bičių šeimų papildomą maitinimą </w:t>
                </w:r>
                <w:r>
                  <w:t>(</w:t>
                </w:r>
                <w:proofErr w:type="spellStart"/>
                <w:r>
                  <w:t>Eur</w:t>
                </w:r>
                <w:proofErr w:type="spellEnd"/>
                <w:r>
                  <w:t>)</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Cs/>
                    <w:sz w:val="22"/>
                    <w:szCs w:val="22"/>
                  </w:rPr>
                </w:pPr>
              </w:p>
            </w:tc>
          </w:tr>
          <w:tr w:rsidR="00EA105C">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pPr>
                <w:r>
                  <w:rPr>
                    <w:bCs/>
                  </w:rPr>
                  <w:t>3.</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D825BB">
                <w:pPr>
                  <w:suppressAutoHyphens/>
                  <w:textAlignment w:val="baseline"/>
                </w:pPr>
                <w:r>
                  <w:t>Suteikta paramos už ekologiškų bičių šeimų papildomą maitinimą (</w:t>
                </w:r>
                <w:proofErr w:type="spellStart"/>
                <w:r>
                  <w:t>Eur</w:t>
                </w:r>
                <w:proofErr w:type="spellEnd"/>
                <w:r>
                  <w:t>)</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Cs/>
                    <w:sz w:val="22"/>
                    <w:szCs w:val="22"/>
                  </w:rPr>
                </w:pPr>
              </w:p>
            </w:tc>
          </w:tr>
          <w:tr w:rsidR="00EA105C">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rPr>
                    <w:bCs/>
                  </w:rPr>
                </w:pPr>
                <w:r>
                  <w:rPr>
                    <w:bCs/>
                  </w:rPr>
                  <w:t>4.</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D825BB">
                <w:pPr>
                  <w:suppressAutoHyphens/>
                  <w:textAlignment w:val="baseline"/>
                  <w:rPr>
                    <w:bCs/>
                  </w:rPr>
                </w:pPr>
                <w:r>
                  <w:rPr>
                    <w:bCs/>
                  </w:rPr>
                  <w:t>Suteikta paramos už bičių šeimų papildomą maitinimą (bičių šeimų skaičius, vnt.)</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Cs/>
                    <w:sz w:val="22"/>
                    <w:szCs w:val="22"/>
                  </w:rPr>
                </w:pPr>
              </w:p>
            </w:tc>
          </w:tr>
          <w:tr w:rsidR="00EA105C">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D825BB">
                <w:pPr>
                  <w:suppressAutoHyphens/>
                  <w:jc w:val="center"/>
                  <w:textAlignment w:val="baseline"/>
                  <w:rPr>
                    <w:bCs/>
                  </w:rPr>
                </w:pPr>
                <w:r>
                  <w:rPr>
                    <w:bCs/>
                  </w:rPr>
                  <w:t>5.</w:t>
                </w: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D825BB">
                <w:pPr>
                  <w:suppressAutoHyphens/>
                  <w:textAlignment w:val="baseline"/>
                  <w:rPr>
                    <w:bCs/>
                  </w:rPr>
                </w:pPr>
                <w:r>
                  <w:rPr>
                    <w:bCs/>
                  </w:rPr>
                  <w:t>Suteikta paramos už ekologiškų bičių šeimų papildomą maitinimą (bičių šeimų skaičius,</w:t>
                </w:r>
                <w:r>
                  <w:rPr>
                    <w:bCs/>
                  </w:rPr>
                  <w:t xml:space="preserve"> vnt.)</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Cs/>
                    <w:sz w:val="22"/>
                    <w:szCs w:val="22"/>
                  </w:rPr>
                </w:pPr>
              </w:p>
            </w:tc>
          </w:tr>
          <w:tr w:rsidR="00EA105C">
            <w:tc>
              <w:tcPr>
                <w:tcW w:w="5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A105C" w:rsidRDefault="00EA105C">
                <w:pPr>
                  <w:suppressAutoHyphens/>
                  <w:jc w:val="center"/>
                  <w:textAlignment w:val="baseline"/>
                  <w:rPr>
                    <w:bCs/>
                    <w:sz w:val="22"/>
                    <w:szCs w:val="22"/>
                  </w:rPr>
                </w:pPr>
              </w:p>
            </w:tc>
            <w:tc>
              <w:tcPr>
                <w:tcW w:w="49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D825BB">
                <w:pPr>
                  <w:suppressAutoHyphens/>
                  <w:textAlignment w:val="baseline"/>
                </w:pPr>
                <w:r>
                  <w:rPr>
                    <w:b/>
                    <w:bCs/>
                  </w:rPr>
                  <w:t xml:space="preserve">Bendra suma, </w:t>
                </w:r>
                <w:proofErr w:type="spellStart"/>
                <w:r>
                  <w:rPr>
                    <w:b/>
                    <w:bCs/>
                  </w:rPr>
                  <w:t>Eur</w:t>
                </w:r>
                <w:proofErr w:type="spellEnd"/>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A105C" w:rsidRDefault="00EA105C">
                <w:pPr>
                  <w:suppressAutoHyphens/>
                  <w:jc w:val="center"/>
                  <w:textAlignment w:val="baseline"/>
                  <w:rPr>
                    <w:bCs/>
                    <w:sz w:val="22"/>
                    <w:szCs w:val="22"/>
                  </w:rPr>
                </w:pPr>
              </w:p>
            </w:tc>
          </w:tr>
        </w:tbl>
        <w:p w:rsidR="00EA105C" w:rsidRDefault="00EA105C">
          <w:pPr>
            <w:suppressAutoHyphens/>
            <w:jc w:val="both"/>
            <w:textAlignment w:val="baseline"/>
            <w:rPr>
              <w:sz w:val="20"/>
            </w:rPr>
          </w:pPr>
        </w:p>
        <w:p w:rsidR="00EA105C" w:rsidRDefault="00EA105C">
          <w:pPr>
            <w:suppressAutoHyphens/>
            <w:jc w:val="both"/>
            <w:textAlignment w:val="baseline"/>
            <w:rPr>
              <w:sz w:val="20"/>
              <w:szCs w:val="24"/>
            </w:rPr>
          </w:pPr>
        </w:p>
        <w:p w:rsidR="00EA105C" w:rsidRDefault="00EA105C">
          <w:pPr>
            <w:suppressAutoHyphens/>
            <w:jc w:val="both"/>
            <w:textAlignment w:val="baseline"/>
            <w:rPr>
              <w:sz w:val="20"/>
              <w:szCs w:val="24"/>
            </w:rPr>
          </w:pPr>
        </w:p>
        <w:p w:rsidR="00EA105C" w:rsidRDefault="00EA105C">
          <w:pPr>
            <w:suppressAutoHyphens/>
            <w:jc w:val="both"/>
            <w:textAlignment w:val="baseline"/>
            <w:rPr>
              <w:sz w:val="20"/>
              <w:szCs w:val="24"/>
            </w:rPr>
          </w:pPr>
        </w:p>
        <w:p w:rsidR="00EA105C" w:rsidRDefault="00EA105C">
          <w:pPr>
            <w:suppressAutoHyphens/>
            <w:jc w:val="both"/>
            <w:textAlignment w:val="baseline"/>
            <w:rPr>
              <w:sz w:val="20"/>
              <w:szCs w:val="24"/>
            </w:rPr>
          </w:pPr>
        </w:p>
        <w:p w:rsidR="00EA105C" w:rsidRDefault="00EA105C">
          <w:pPr>
            <w:suppressAutoHyphens/>
            <w:jc w:val="both"/>
            <w:textAlignment w:val="baseline"/>
            <w:rPr>
              <w:sz w:val="20"/>
              <w:szCs w:val="24"/>
            </w:rPr>
          </w:pPr>
        </w:p>
        <w:p w:rsidR="00EA105C" w:rsidRDefault="00D825BB" w:rsidP="00D825BB">
          <w:pPr>
            <w:suppressAutoHyphens/>
            <w:jc w:val="both"/>
            <w:textAlignment w:val="baseline"/>
            <w:rPr>
              <w:szCs w:val="24"/>
            </w:rPr>
          </w:pPr>
          <w:r>
            <w:t>Direktorius arba jo įgalioto asmens pareigos</w:t>
          </w:r>
          <w:r>
            <w:tab/>
            <w:t xml:space="preserve"> (Parašas)</w:t>
          </w:r>
          <w:r>
            <w:tab/>
            <w:t xml:space="preserve">               (Vardas, pavardė)</w:t>
          </w:r>
        </w:p>
        <w:bookmarkStart w:id="0" w:name="_GoBack" w:displacedByCustomXml="next"/>
        <w:bookmarkEnd w:id="0" w:displacedByCustomXml="next"/>
      </w:sdtContent>
    </w:sdt>
    <w:sectPr w:rsidR="00EA105C">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105C" w:rsidRDefault="00D825BB">
      <w:pPr>
        <w:overflowPunct w:val="0"/>
        <w:jc w:val="both"/>
        <w:textAlignment w:val="baseline"/>
        <w:rPr>
          <w:lang w:val="en-GB"/>
        </w:rPr>
      </w:pPr>
      <w:r>
        <w:rPr>
          <w:lang w:val="en-GB"/>
        </w:rPr>
        <w:separator/>
      </w:r>
    </w:p>
  </w:endnote>
  <w:endnote w:type="continuationSeparator" w:id="0">
    <w:p w:rsidR="00EA105C" w:rsidRDefault="00D825BB">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5C" w:rsidRDefault="00EA105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5C" w:rsidRDefault="00EA105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5C" w:rsidRDefault="00EA105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105C" w:rsidRDefault="00D825BB">
      <w:pPr>
        <w:overflowPunct w:val="0"/>
        <w:jc w:val="both"/>
        <w:textAlignment w:val="baseline"/>
        <w:rPr>
          <w:lang w:val="en-GB"/>
        </w:rPr>
      </w:pPr>
      <w:r>
        <w:rPr>
          <w:lang w:val="en-GB"/>
        </w:rPr>
        <w:separator/>
      </w:r>
    </w:p>
  </w:footnote>
  <w:footnote w:type="continuationSeparator" w:id="0">
    <w:p w:rsidR="00EA105C" w:rsidRDefault="00D825BB">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5C" w:rsidRDefault="00EA105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5C" w:rsidRDefault="00D825BB">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D825BB">
      <w:rPr>
        <w:noProof/>
      </w:rPr>
      <w:t>2</w:t>
    </w:r>
    <w:r>
      <w:rPr>
        <w:lang w:val="en-GB"/>
      </w:rPr>
      <w:fldChar w:fldCharType="end"/>
    </w:r>
  </w:p>
  <w:p w:rsidR="00EA105C" w:rsidRDefault="00EA105C">
    <w:pPr>
      <w:tabs>
        <w:tab w:val="center" w:pos="4153"/>
        <w:tab w:val="right" w:pos="8306"/>
      </w:tabs>
      <w:overflowPunct w:val="0"/>
      <w:jc w:val="right"/>
      <w:textAlignment w:val="baseli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5C" w:rsidRDefault="00EA105C">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57D"/>
    <w:rsid w:val="005A457D"/>
    <w:rsid w:val="00D825BB"/>
    <w:rsid w:val="00EA10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5B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5B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118311">
      <w:bodyDiv w:val="1"/>
      <w:marLeft w:val="0"/>
      <w:marRight w:val="0"/>
      <w:marTop w:val="0"/>
      <w:marBottom w:val="0"/>
      <w:divBdr>
        <w:top w:val="none" w:sz="0" w:space="0" w:color="auto"/>
        <w:left w:val="none" w:sz="0" w:space="0" w:color="auto"/>
        <w:bottom w:val="none" w:sz="0" w:space="0" w:color="auto"/>
        <w:right w:val="none" w:sz="0" w:space="0" w:color="auto"/>
      </w:divBdr>
    </w:div>
    <w:div w:id="1377508751">
      <w:bodyDiv w:val="1"/>
      <w:marLeft w:val="0"/>
      <w:marRight w:val="0"/>
      <w:marTop w:val="0"/>
      <w:marBottom w:val="0"/>
      <w:divBdr>
        <w:top w:val="none" w:sz="0" w:space="0" w:color="auto"/>
        <w:left w:val="none" w:sz="0" w:space="0" w:color="auto"/>
        <w:bottom w:val="none" w:sz="0" w:space="0" w:color="auto"/>
        <w:right w:val="none" w:sz="0" w:space="0" w:color="auto"/>
      </w:divBdr>
    </w:div>
    <w:div w:id="1686857559">
      <w:bodyDiv w:val="1"/>
      <w:marLeft w:val="0"/>
      <w:marRight w:val="0"/>
      <w:marTop w:val="0"/>
      <w:marBottom w:val="0"/>
      <w:divBdr>
        <w:top w:val="none" w:sz="0" w:space="0" w:color="auto"/>
        <w:left w:val="none" w:sz="0" w:space="0" w:color="auto"/>
        <w:bottom w:val="none" w:sz="0" w:space="0" w:color="auto"/>
        <w:right w:val="none" w:sz="0" w:space="0" w:color="auto"/>
      </w:divBdr>
      <w:divsChild>
        <w:div w:id="977415197">
          <w:marLeft w:val="0"/>
          <w:marRight w:val="0"/>
          <w:marTop w:val="0"/>
          <w:marBottom w:val="0"/>
          <w:divBdr>
            <w:top w:val="none" w:sz="0" w:space="0" w:color="auto"/>
            <w:left w:val="none" w:sz="0" w:space="0" w:color="auto"/>
            <w:bottom w:val="none" w:sz="0" w:space="0" w:color="auto"/>
            <w:right w:val="none" w:sz="0" w:space="0" w:color="auto"/>
          </w:divBdr>
          <w:divsChild>
            <w:div w:id="1021978945">
              <w:marLeft w:val="0"/>
              <w:marRight w:val="0"/>
              <w:marTop w:val="0"/>
              <w:marBottom w:val="0"/>
              <w:divBdr>
                <w:top w:val="none" w:sz="0" w:space="0" w:color="auto"/>
                <w:left w:val="none" w:sz="0" w:space="0" w:color="auto"/>
                <w:bottom w:val="none" w:sz="0" w:space="0" w:color="auto"/>
                <w:right w:val="none" w:sz="0" w:space="0" w:color="auto"/>
              </w:divBdr>
              <w:divsChild>
                <w:div w:id="325472627">
                  <w:marLeft w:val="0"/>
                  <w:marRight w:val="0"/>
                  <w:marTop w:val="0"/>
                  <w:marBottom w:val="0"/>
                  <w:divBdr>
                    <w:top w:val="none" w:sz="0" w:space="0" w:color="auto"/>
                    <w:left w:val="none" w:sz="0" w:space="0" w:color="auto"/>
                    <w:bottom w:val="none" w:sz="0" w:space="0" w:color="auto"/>
                    <w:right w:val="none" w:sz="0" w:space="0" w:color="auto"/>
                  </w:divBdr>
                  <w:divsChild>
                    <w:div w:id="1623153064">
                      <w:marLeft w:val="0"/>
                      <w:marRight w:val="0"/>
                      <w:marTop w:val="0"/>
                      <w:marBottom w:val="0"/>
                      <w:divBdr>
                        <w:top w:val="none" w:sz="0" w:space="0" w:color="auto"/>
                        <w:left w:val="none" w:sz="0" w:space="0" w:color="auto"/>
                        <w:bottom w:val="none" w:sz="0" w:space="0" w:color="auto"/>
                        <w:right w:val="none" w:sz="0" w:space="0" w:color="auto"/>
                      </w:divBdr>
                      <w:divsChild>
                        <w:div w:id="95617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1987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A5E9A05-D65D-4B03-B5A0-A38E5FBC394F}"/>
      </w:docPartPr>
      <w:docPartBody>
        <w:p w:rsidR="00000000" w:rsidRDefault="000D6A54">
          <w:r w:rsidRPr="007000D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A54"/>
    <w:rsid w:val="000D6A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6A5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6A5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dc3459dfd9e4b838cc3ba9d7bfa2b38" PartId="4e3a65bd8e62426cae7b44e7bcf6a4c6">
    <Part Type="punktas" Nr="1" Abbr="1 p." DocPartId="113b1f608c614a50a66871abd894a75b" PartId="69a45458789b4cda89511acc17cbbcb9">
      <Part Type="citata" DocPartId="f5316c0f58bc4631a2a2842888102570" PartId="dadb8c7389d2446da4a459eced55ac45">
        <Part Type="pagrindine" DocPartId="20ba570510554e79a04b957b50335e67" PartId="32958a7ed99d443897a4ce2a28c04f34">
          <Part Type="preambule" DocPartId="8517b60688164c9583e884f08016ebba" PartId="ebc6c5377be34795ae9a74bf2c716cbf"/>
          <Part Type="pastraipa" DocPartId="09bea0c43bd448359d1f0ca6dd8b141c" PartId="9157b4e1039949cba9db71baf75ab629"/>
        </Part>
      </Part>
    </Part>
    <Part Type="punktas" Nr="2" Abbr="2 p." DocPartId="a340830e2aa3402187e3d71e03e0e64f" PartId="da20bd97f1aa4d768fe7b33110e4738b">
      <Part Type="papunktis" Nr="2.1" Abbr="2.1 pp." DocPartId="281c2f0aa56645eaa647b3bcee9e8f0d" PartId="c9da71dfe5b3465ea180079eabaefbe5">
        <Part Type="citata" DocPartId="1f280e53bd7e41c7a2779212a46af49d" PartId="f5a9cd1f388140a7aaa92d7d95f17e01">
          <Part Type="punktas" Nr="1" Abbr="1 p." DocPartId="04727b9474a3488e91a03cc55ce09a7c" PartId="3dff03c27a5c4ac8901e7e00e5d90dcf"/>
        </Part>
      </Part>
      <Part Type="papunktis" Nr="2.2" Abbr="2.2 pp." DocPartId="8588b5b2de8a411a9b2832ef98415752" PartId="6fff588f36dd4869a8dc07de34ea61d0">
        <Part Type="citata" DocPartId="7d7d0a8ddb5a468e8d598d1500e3afef" PartId="a2d0141faa5445c49e628e1246f0d350">
          <Part Type="punktas" Nr="11" Abbr="11 p." DocPartId="96c653b0c1c94a3496067e5a80ef906f" PartId="a527312288bd4b21940f4228d91f2ea0"/>
        </Part>
      </Part>
    </Part>
    <Part Type="punktas" Nr="3" Abbr="3 p." DocPartId="b97e136f47814d12b3024bdf7b97f1c3" PartId="4b045dc53e5248c39dd6f45ddb0a6f73"/>
    <Part Type="signatura" DocPartId="1a25cd686b224c23a35ced7b6043687b" PartId="df6ba6f832f24f66aaa2466d6a657b39"/>
  </Part>
  <Part Type="priedas" Nr="4" Abbr="4 pr." Title="(Ataskaitos apie paramos teikimo bičių laikytojams už papildomą bičių maitinimą įgyvendinimą forma)" DocPartId="b2f91e0b116a429ab3040f2bb47d9d21" PartId="4640cc50e0df48e8a8e16d8f77a93a49"/>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F2257B-BB38-43FF-B060-E41397F7C02A}">
  <ds:schemaRefs>
    <ds:schemaRef ds:uri="http://lrs.lt/TAIS/DocParts"/>
  </ds:schemaRefs>
</ds:datastoreItem>
</file>

<file path=customXml/itemProps2.xml><?xml version="1.0" encoding="utf-8"?>
<ds:datastoreItem xmlns:ds="http://schemas.openxmlformats.org/officeDocument/2006/customXml" ds:itemID="{41A3E797-FC1B-4DCB-8BC9-634A033BF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681</Words>
  <Characters>4450</Characters>
  <Application>Microsoft Office Word</Application>
  <DocSecurity>0</DocSecurity>
  <Lines>37</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5121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2021-03-17T12:07:00Z</dcterms:created>
  <dcterms:modified xsi:type="dcterms:W3CDTF">2021-03-17T12:22:00Z</dcterms:modified>
</cp:coreProperties>
</file>