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7AFC3" w14:textId="77777777" w:rsidR="00ED48A0" w:rsidRDefault="00ED48A0">
      <w:pPr>
        <w:tabs>
          <w:tab w:val="center" w:pos="4986"/>
          <w:tab w:val="right" w:pos="9972"/>
        </w:tabs>
        <w:rPr>
          <w:szCs w:val="24"/>
        </w:rPr>
      </w:pPr>
    </w:p>
    <w:p w14:paraId="6C07AFC4" w14:textId="77777777" w:rsidR="00ED48A0" w:rsidRDefault="00D9730A">
      <w:pPr>
        <w:keepNext/>
        <w:jc w:val="center"/>
        <w:rPr>
          <w:b/>
          <w:bCs/>
          <w:caps/>
          <w:szCs w:val="24"/>
        </w:rPr>
      </w:pPr>
      <w:r>
        <w:rPr>
          <w:noProof/>
          <w:sz w:val="20"/>
          <w:szCs w:val="24"/>
          <w:lang w:eastAsia="lt-LT"/>
        </w:rPr>
        <w:drawing>
          <wp:inline distT="0" distB="0" distL="0" distR="0" wp14:anchorId="6C07AFD3" wp14:editId="6C07AFD4">
            <wp:extent cx="732790" cy="75946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90" cy="759460"/>
                    </a:xfrm>
                    <a:prstGeom prst="rect">
                      <a:avLst/>
                    </a:prstGeom>
                    <a:noFill/>
                    <a:ln>
                      <a:noFill/>
                    </a:ln>
                  </pic:spPr>
                </pic:pic>
              </a:graphicData>
            </a:graphic>
          </wp:inline>
        </w:drawing>
      </w:r>
    </w:p>
    <w:p w14:paraId="6C07AFC5" w14:textId="77777777" w:rsidR="00ED48A0" w:rsidRDefault="00ED48A0">
      <w:pPr>
        <w:keepNext/>
        <w:jc w:val="center"/>
        <w:rPr>
          <w:b/>
          <w:bCs/>
          <w:caps/>
          <w:szCs w:val="24"/>
        </w:rPr>
      </w:pPr>
    </w:p>
    <w:p w14:paraId="6C07AFC6" w14:textId="77777777" w:rsidR="00ED48A0" w:rsidRDefault="00D9730A">
      <w:pPr>
        <w:keepNext/>
        <w:jc w:val="center"/>
        <w:rPr>
          <w:szCs w:val="24"/>
          <w:lang w:val="en-US"/>
        </w:rPr>
      </w:pPr>
      <w:r>
        <w:rPr>
          <w:b/>
          <w:bCs/>
          <w:caps/>
          <w:szCs w:val="24"/>
        </w:rPr>
        <w:t>LIETUVOS RESPUBLIKOS TEISINGUMO MINISTRas</w:t>
      </w:r>
    </w:p>
    <w:p w14:paraId="6C07AFC7" w14:textId="77777777" w:rsidR="00ED48A0" w:rsidRDefault="00ED48A0">
      <w:pPr>
        <w:keepNext/>
        <w:ind w:firstLine="62"/>
        <w:jc w:val="center"/>
        <w:rPr>
          <w:szCs w:val="24"/>
          <w:lang w:val="en-US"/>
        </w:rPr>
      </w:pPr>
    </w:p>
    <w:p w14:paraId="6C07AFC8" w14:textId="77777777" w:rsidR="00ED48A0" w:rsidRDefault="00D9730A">
      <w:pPr>
        <w:keepNext/>
        <w:jc w:val="center"/>
        <w:rPr>
          <w:szCs w:val="24"/>
          <w:lang w:val="en-US"/>
        </w:rPr>
      </w:pPr>
      <w:r>
        <w:rPr>
          <w:b/>
          <w:bCs/>
          <w:caps/>
          <w:szCs w:val="24"/>
        </w:rPr>
        <w:t>ĮSAKYMAS</w:t>
      </w:r>
    </w:p>
    <w:p w14:paraId="6C07AFC9" w14:textId="77777777" w:rsidR="00ED48A0" w:rsidRDefault="00D9730A">
      <w:pPr>
        <w:keepNext/>
        <w:jc w:val="center"/>
        <w:rPr>
          <w:szCs w:val="24"/>
          <w:lang w:val="en-US"/>
        </w:rPr>
      </w:pPr>
      <w:r>
        <w:rPr>
          <w:b/>
          <w:bCs/>
          <w:caps/>
          <w:szCs w:val="24"/>
        </w:rPr>
        <w:t>DĖL teisingumo ministro 2002 m. GRUODŽIO 30 d. įsakymo nr. 400 „dėl antstolių viešo konkurso komisijos nuostatų, antstolių viešo konkurso tvarkos APRAŠO, antstolių VEIKLOS tikrinimo tvarkos APRAŠO, antstolių informacinės sistemos nuostatų, antstolių atestavimo komisijos nuostatų ir antstolių atestavimo TAISYKLIŲ patvirtinimo“ pakeitimo</w:t>
      </w:r>
    </w:p>
    <w:p w14:paraId="6C07AFCA" w14:textId="77777777" w:rsidR="00ED48A0" w:rsidRDefault="00ED48A0">
      <w:pPr>
        <w:keepNext/>
        <w:ind w:firstLine="67"/>
        <w:jc w:val="center"/>
        <w:rPr>
          <w:szCs w:val="24"/>
          <w:lang w:val="en-US"/>
        </w:rPr>
      </w:pPr>
    </w:p>
    <w:p w14:paraId="6C07AFCB" w14:textId="384BD011" w:rsidR="00ED48A0" w:rsidRDefault="00D9730A">
      <w:pPr>
        <w:jc w:val="center"/>
        <w:rPr>
          <w:szCs w:val="24"/>
        </w:rPr>
      </w:pPr>
      <w:r>
        <w:rPr>
          <w:szCs w:val="24"/>
        </w:rPr>
        <w:t>2018 m. birželio 11 d. Nr.</w:t>
      </w:r>
      <w:r w:rsidR="008008CF">
        <w:rPr>
          <w:szCs w:val="24"/>
        </w:rPr>
        <w:t xml:space="preserve"> </w:t>
      </w:r>
      <w:r>
        <w:rPr>
          <w:szCs w:val="24"/>
        </w:rPr>
        <w:t>1R-98</w:t>
      </w:r>
    </w:p>
    <w:p w14:paraId="6C07AFCC" w14:textId="77777777" w:rsidR="00ED48A0" w:rsidRDefault="00D9730A">
      <w:pPr>
        <w:jc w:val="center"/>
        <w:rPr>
          <w:szCs w:val="24"/>
          <w:lang w:val="en-US"/>
        </w:rPr>
      </w:pPr>
      <w:r>
        <w:rPr>
          <w:szCs w:val="24"/>
        </w:rPr>
        <w:t>Vilnius</w:t>
      </w:r>
    </w:p>
    <w:p w14:paraId="6C07AFCD" w14:textId="77777777" w:rsidR="00ED48A0" w:rsidRDefault="00ED48A0">
      <w:pPr>
        <w:ind w:firstLine="124"/>
        <w:jc w:val="center"/>
        <w:rPr>
          <w:szCs w:val="24"/>
          <w:lang w:val="en-US"/>
        </w:rPr>
      </w:pPr>
    </w:p>
    <w:p w14:paraId="59B6C9DA" w14:textId="77777777" w:rsidR="00C82817" w:rsidRDefault="00C82817">
      <w:pPr>
        <w:ind w:firstLine="124"/>
        <w:jc w:val="center"/>
        <w:rPr>
          <w:szCs w:val="24"/>
          <w:lang w:val="en-US"/>
        </w:rPr>
      </w:pPr>
    </w:p>
    <w:p w14:paraId="6C07AFCE" w14:textId="77777777" w:rsidR="00ED48A0" w:rsidRDefault="00D9730A">
      <w:pPr>
        <w:ind w:firstLine="720"/>
        <w:jc w:val="both"/>
        <w:rPr>
          <w:szCs w:val="24"/>
        </w:rPr>
      </w:pPr>
      <w:r>
        <w:rPr>
          <w:szCs w:val="24"/>
        </w:rPr>
        <w:t xml:space="preserve">P a k e i č i u Antstolių atestavimo komisijos nuostatus, patvirtintus Lietuvos Respublikos teisingumo ministro 2002 m. gruodžio 30 d. įsakymu Nr. 400 „Dėl Antstolių viešo konkurso komisijos nuostatų, Antstolių viešo konkurso tvarkos aprašo, Antstolių veiklos tikrinimo tvarkos aprašo, Antstolių informacinės sistemos nuostatų, Antstolių atestavimo komisijos nuostatų ir Antstolių atestavimo taisyklių patvirtinimo“, ir 13 punktą išdėstau taip: </w:t>
      </w:r>
    </w:p>
    <w:p w14:paraId="6C07AFD1" w14:textId="5F6BEAF9" w:rsidR="00ED48A0" w:rsidRPr="00D9730A" w:rsidRDefault="00D9730A" w:rsidP="00D9730A">
      <w:pPr>
        <w:tabs>
          <w:tab w:val="left" w:pos="709"/>
        </w:tabs>
        <w:ind w:firstLine="709"/>
        <w:jc w:val="both"/>
        <w:rPr>
          <w:szCs w:val="24"/>
          <w:lang w:val="en-US"/>
        </w:rPr>
      </w:pPr>
      <w:r>
        <w:rPr>
          <w:szCs w:val="24"/>
        </w:rPr>
        <w:t>„</w:t>
      </w:r>
      <w:r>
        <w:rPr>
          <w:szCs w:val="24"/>
        </w:rPr>
        <w:t>13</w:t>
      </w:r>
      <w:r>
        <w:rPr>
          <w:szCs w:val="24"/>
        </w:rPr>
        <w:t>. Komisija sprendimus jos kompetencijai priskirtais klausimais priima balsų dauguma. Komisijos posėdyje dalyvaujantis narys, balsuodamas dėl sprendimo, susilaikyti negali.  Komisijos narių balsams pasiskirsčius po lygiai, lemia Komisijos pirmininko (pirmininkaujančiojo) nuomonė.</w:t>
      </w:r>
      <w:r>
        <w:rPr>
          <w:szCs w:val="24"/>
          <w:lang w:val="en-US"/>
        </w:rPr>
        <w:t>“</w:t>
      </w:r>
    </w:p>
    <w:p w14:paraId="481E8A24" w14:textId="77777777" w:rsidR="00D9730A" w:rsidRDefault="00D9730A"/>
    <w:p w14:paraId="475F8EDD" w14:textId="77777777" w:rsidR="00D9730A" w:rsidRDefault="00D9730A"/>
    <w:p w14:paraId="37F8874E" w14:textId="77777777" w:rsidR="00D9730A" w:rsidRDefault="00D9730A">
      <w:bookmarkStart w:id="0" w:name="_GoBack"/>
      <w:bookmarkEnd w:id="0"/>
    </w:p>
    <w:p w14:paraId="6C07AFD2" w14:textId="2CD29B51" w:rsidR="00ED48A0" w:rsidRDefault="00D9730A" w:rsidP="00D9730A">
      <w:pPr>
        <w:tabs>
          <w:tab w:val="left" w:pos="7088"/>
        </w:tabs>
        <w:rPr>
          <w:szCs w:val="24"/>
        </w:rPr>
      </w:pPr>
      <w:r>
        <w:rPr>
          <w:szCs w:val="24"/>
        </w:rPr>
        <w:t xml:space="preserve">Teisingumo ministras </w:t>
      </w:r>
      <w:r>
        <w:rPr>
          <w:szCs w:val="24"/>
        </w:rPr>
        <w:tab/>
        <w:t>Elvinas Jankevičius</w:t>
      </w:r>
    </w:p>
    <w:sectPr w:rsidR="00ED48A0">
      <w:headerReference w:type="even" r:id="rId9"/>
      <w:headerReference w:type="default" r:id="rId10"/>
      <w:footerReference w:type="even" r:id="rId11"/>
      <w:footerReference w:type="default" r:id="rId12"/>
      <w:headerReference w:type="first" r:id="rId13"/>
      <w:footerReference w:type="first" r:id="rId14"/>
      <w:pgSz w:w="11907" w:h="16840" w:code="9"/>
      <w:pgMar w:top="964" w:right="737" w:bottom="1162" w:left="1531" w:header="811"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AFD7" w14:textId="77777777" w:rsidR="00ED48A0" w:rsidRDefault="00D9730A">
      <w:pPr>
        <w:rPr>
          <w:szCs w:val="24"/>
        </w:rPr>
      </w:pPr>
      <w:r>
        <w:rPr>
          <w:szCs w:val="24"/>
        </w:rPr>
        <w:separator/>
      </w:r>
    </w:p>
  </w:endnote>
  <w:endnote w:type="continuationSeparator" w:id="0">
    <w:p w14:paraId="6C07AFD8" w14:textId="77777777" w:rsidR="00ED48A0" w:rsidRDefault="00D9730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DB" w14:textId="77777777" w:rsidR="00ED48A0" w:rsidRDefault="00ED48A0">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DC" w14:textId="77777777" w:rsidR="00ED48A0" w:rsidRDefault="00ED48A0">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DE" w14:textId="77777777" w:rsidR="00ED48A0" w:rsidRDefault="00ED48A0">
    <w:pPr>
      <w:tabs>
        <w:tab w:val="center" w:pos="4986"/>
        <w:tab w:val="right" w:pos="9972"/>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AFD5" w14:textId="77777777" w:rsidR="00ED48A0" w:rsidRDefault="00D9730A">
      <w:pPr>
        <w:rPr>
          <w:szCs w:val="24"/>
        </w:rPr>
      </w:pPr>
      <w:r>
        <w:rPr>
          <w:szCs w:val="24"/>
        </w:rPr>
        <w:separator/>
      </w:r>
    </w:p>
  </w:footnote>
  <w:footnote w:type="continuationSeparator" w:id="0">
    <w:p w14:paraId="6C07AFD6" w14:textId="77777777" w:rsidR="00ED48A0" w:rsidRDefault="00D9730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D9" w14:textId="77777777" w:rsidR="00ED48A0" w:rsidRDefault="00ED48A0">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DA" w14:textId="77777777" w:rsidR="00ED48A0" w:rsidRDefault="00ED48A0">
    <w:pPr>
      <w:tabs>
        <w:tab w:val="center" w:pos="4986"/>
        <w:tab w:val="right" w:pos="9972"/>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DD" w14:textId="77777777" w:rsidR="00ED48A0" w:rsidRDefault="00ED48A0">
    <w:pPr>
      <w:tabs>
        <w:tab w:val="center" w:pos="4986"/>
        <w:tab w:val="right" w:pos="9972"/>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F"/>
    <w:rsid w:val="0043002F"/>
    <w:rsid w:val="008008CF"/>
    <w:rsid w:val="00C82817"/>
    <w:rsid w:val="00D9730A"/>
    <w:rsid w:val="00ED4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9730A"/>
    <w:rPr>
      <w:rFonts w:ascii="Tahoma" w:hAnsi="Tahoma" w:cs="Tahoma"/>
      <w:sz w:val="16"/>
      <w:szCs w:val="16"/>
    </w:rPr>
  </w:style>
  <w:style w:type="character" w:customStyle="1" w:styleId="DebesliotekstasDiagrama">
    <w:name w:val="Debesėlio tekstas Diagrama"/>
    <w:basedOn w:val="Numatytasispastraiposriftas"/>
    <w:link w:val="Debesliotekstas"/>
    <w:rsid w:val="00D9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9730A"/>
    <w:rPr>
      <w:rFonts w:ascii="Tahoma" w:hAnsi="Tahoma" w:cs="Tahoma"/>
      <w:sz w:val="16"/>
      <w:szCs w:val="16"/>
    </w:rPr>
  </w:style>
  <w:style w:type="character" w:customStyle="1" w:styleId="DebesliotekstasDiagrama">
    <w:name w:val="Debesėlio tekstas Diagrama"/>
    <w:basedOn w:val="Numatytasispastraiposriftas"/>
    <w:link w:val="Debesliotekstas"/>
    <w:rsid w:val="00D9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5002">
      <w:bodyDiv w:val="1"/>
      <w:marLeft w:val="0"/>
      <w:marRight w:val="0"/>
      <w:marTop w:val="0"/>
      <w:marBottom w:val="0"/>
      <w:divBdr>
        <w:top w:val="none" w:sz="0" w:space="0" w:color="auto"/>
        <w:left w:val="none" w:sz="0" w:space="0" w:color="auto"/>
        <w:bottom w:val="none" w:sz="0" w:space="0" w:color="auto"/>
        <w:right w:val="none" w:sz="0" w:space="0" w:color="auto"/>
      </w:divBdr>
      <w:divsChild>
        <w:div w:id="2039548333">
          <w:marLeft w:val="0"/>
          <w:marRight w:val="0"/>
          <w:marTop w:val="0"/>
          <w:marBottom w:val="0"/>
          <w:divBdr>
            <w:top w:val="none" w:sz="0" w:space="0" w:color="auto"/>
            <w:left w:val="none" w:sz="0" w:space="0" w:color="auto"/>
            <w:bottom w:val="none" w:sz="0" w:space="0" w:color="auto"/>
            <w:right w:val="none" w:sz="0" w:space="0" w:color="auto"/>
          </w:divBdr>
          <w:divsChild>
            <w:div w:id="119301893">
              <w:marLeft w:val="0"/>
              <w:marRight w:val="0"/>
              <w:marTop w:val="0"/>
              <w:marBottom w:val="0"/>
              <w:divBdr>
                <w:top w:val="none" w:sz="0" w:space="0" w:color="auto"/>
                <w:left w:val="none" w:sz="0" w:space="0" w:color="auto"/>
                <w:bottom w:val="none" w:sz="0" w:space="0" w:color="auto"/>
                <w:right w:val="none" w:sz="0" w:space="0" w:color="auto"/>
              </w:divBdr>
              <w:divsChild>
                <w:div w:id="1948543660">
                  <w:marLeft w:val="0"/>
                  <w:marRight w:val="0"/>
                  <w:marTop w:val="0"/>
                  <w:marBottom w:val="0"/>
                  <w:divBdr>
                    <w:top w:val="none" w:sz="0" w:space="0" w:color="auto"/>
                    <w:left w:val="none" w:sz="0" w:space="0" w:color="auto"/>
                    <w:bottom w:val="none" w:sz="0" w:space="0" w:color="auto"/>
                    <w:right w:val="none" w:sz="0" w:space="0" w:color="auto"/>
                  </w:divBdr>
                  <w:divsChild>
                    <w:div w:id="58947739">
                      <w:marLeft w:val="0"/>
                      <w:marRight w:val="0"/>
                      <w:marTop w:val="0"/>
                      <w:marBottom w:val="0"/>
                      <w:divBdr>
                        <w:top w:val="none" w:sz="0" w:space="0" w:color="auto"/>
                        <w:left w:val="none" w:sz="0" w:space="0" w:color="auto"/>
                        <w:bottom w:val="none" w:sz="0" w:space="0" w:color="auto"/>
                        <w:right w:val="none" w:sz="0" w:space="0" w:color="auto"/>
                      </w:divBdr>
                      <w:divsChild>
                        <w:div w:id="541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847">
                  <w:marLeft w:val="0"/>
                  <w:marRight w:val="0"/>
                  <w:marTop w:val="0"/>
                  <w:marBottom w:val="0"/>
                  <w:divBdr>
                    <w:top w:val="none" w:sz="0" w:space="0" w:color="auto"/>
                    <w:left w:val="none" w:sz="0" w:space="0" w:color="auto"/>
                    <w:bottom w:val="none" w:sz="0" w:space="0" w:color="auto"/>
                    <w:right w:val="none" w:sz="0" w:space="0" w:color="auto"/>
                  </w:divBdr>
                  <w:divsChild>
                    <w:div w:id="185607288">
                      <w:marLeft w:val="0"/>
                      <w:marRight w:val="0"/>
                      <w:marTop w:val="0"/>
                      <w:marBottom w:val="0"/>
                      <w:divBdr>
                        <w:top w:val="none" w:sz="0" w:space="0" w:color="auto"/>
                        <w:left w:val="none" w:sz="0" w:space="0" w:color="auto"/>
                        <w:bottom w:val="none" w:sz="0" w:space="0" w:color="auto"/>
                        <w:right w:val="none" w:sz="0" w:space="0" w:color="auto"/>
                      </w:divBdr>
                      <w:divsChild>
                        <w:div w:id="1580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5133">
                  <w:marLeft w:val="0"/>
                  <w:marRight w:val="0"/>
                  <w:marTop w:val="0"/>
                  <w:marBottom w:val="0"/>
                  <w:divBdr>
                    <w:top w:val="none" w:sz="0" w:space="0" w:color="auto"/>
                    <w:left w:val="none" w:sz="0" w:space="0" w:color="auto"/>
                    <w:bottom w:val="none" w:sz="0" w:space="0" w:color="auto"/>
                    <w:right w:val="none" w:sz="0" w:space="0" w:color="auto"/>
                  </w:divBdr>
                  <w:divsChild>
                    <w:div w:id="1433935762">
                      <w:marLeft w:val="0"/>
                      <w:marRight w:val="0"/>
                      <w:marTop w:val="0"/>
                      <w:marBottom w:val="0"/>
                      <w:divBdr>
                        <w:top w:val="none" w:sz="0" w:space="0" w:color="auto"/>
                        <w:left w:val="none" w:sz="0" w:space="0" w:color="auto"/>
                        <w:bottom w:val="none" w:sz="0" w:space="0" w:color="auto"/>
                        <w:right w:val="none" w:sz="0" w:space="0" w:color="auto"/>
                      </w:divBdr>
                      <w:divsChild>
                        <w:div w:id="1494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3301">
              <w:marLeft w:val="0"/>
              <w:marRight w:val="0"/>
              <w:marTop w:val="0"/>
              <w:marBottom w:val="0"/>
              <w:divBdr>
                <w:top w:val="none" w:sz="0" w:space="0" w:color="auto"/>
                <w:left w:val="none" w:sz="0" w:space="0" w:color="auto"/>
                <w:bottom w:val="none" w:sz="0" w:space="0" w:color="auto"/>
                <w:right w:val="none" w:sz="0" w:space="0" w:color="auto"/>
              </w:divBdr>
              <w:divsChild>
                <w:div w:id="12991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Words>
  <Characters>445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2018-06-11T03:39:00Z</dcterms:created>
  <dc:creator>Nijolė Tomaševičienė</dc:creator>
  <lastModifiedBy>GUMBYTĖ Danguolė</lastModifiedBy>
  <lastPrinted>2018-06-08T05:42:00Z</lastPrinted>
  <dcterms:modified xsi:type="dcterms:W3CDTF">2018-06-12T04:50:00Z</dcterms:modified>
  <revision>5</revision>
</coreProperties>
</file>