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edc7cadf62043a8a839f377efa9079a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rFonts w:eastAsia="Calibri"/>
              <w:szCs w:val="24"/>
            </w:rPr>
          </w:pP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  <w:lang w:eastAsia="lt-LT"/>
            </w:rPr>
            <w:drawing>
              <wp:inline distT="0" distB="0" distL="0" distR="0" wp14:anchorId="39862967" wp14:editId="6AEF1A66">
                <wp:extent cx="390525" cy="466725"/>
                <wp:effectExtent l="0" t="0" r="9525" b="9525"/>
                <wp:docPr id="1" name="Paveikslėlis 1" descr="VH3BW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VH3BW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9052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rFonts w:eastAsia="Calibri"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VILNIAUS MIESTO SAVIVALDYBĖS TARYBA</w:t>
          </w:r>
        </w:p>
        <w:p>
          <w:pPr>
            <w:jc w:val="center"/>
            <w:rPr>
              <w:rFonts w:eastAsia="Calibri"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SPRENDIMAS</w:t>
          </w: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 xml:space="preserve">DĖL VILNIAUS MIESTO SAVIVALDYBĖS TYLIŲJŲ ZONŲ NUSTATYMO, </w:t>
          </w:r>
          <w:r>
            <w:rPr>
              <w:rFonts w:eastAsia="Calibri"/>
              <w:b/>
              <w:caps/>
              <w:szCs w:val="24"/>
            </w:rPr>
            <w:t xml:space="preserve">Vilniaus miesto savivaldybės tyliųjų ir triukšmo prevencijos zonų ribų, metodinių rekomendacijų ir reglamentų tvirtinimo </w:t>
          </w:r>
        </w:p>
        <w:p>
          <w:pPr>
            <w:jc w:val="center"/>
            <w:rPr>
              <w:rFonts w:eastAsia="Calibri"/>
              <w:szCs w:val="24"/>
            </w:rPr>
          </w:pPr>
        </w:p>
        <w:p>
          <w:pPr>
            <w:jc w:val="center"/>
            <w:rPr>
              <w:rFonts w:eastAsia="Calibri"/>
              <w:szCs w:val="24"/>
            </w:rPr>
          </w:pPr>
          <w:smartTag w:uri="urn:schemas-microsoft-com:office:smarttags" w:element="metricconverter">
            <w:smartTagPr>
              <w:attr w:name="ProductID" w:val="2011 m"/>
            </w:smartTagPr>
            <w:r>
              <w:rPr>
                <w:rFonts w:eastAsia="Calibri"/>
                <w:szCs w:val="24"/>
              </w:rPr>
              <w:t>2011 m</w:t>
            </w:r>
          </w:smartTag>
          <w:r>
            <w:rPr>
              <w:rFonts w:eastAsia="Calibri"/>
              <w:szCs w:val="24"/>
            </w:rPr>
            <w:t>. gruodžio 14 d. Nr. 1-341</w:t>
          </w: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Vilnius</w:t>
          </w:r>
        </w:p>
        <w:p>
          <w:pPr>
            <w:jc w:val="both"/>
            <w:rPr>
              <w:rFonts w:eastAsia="Calibri"/>
              <w:szCs w:val="24"/>
            </w:rPr>
          </w:pPr>
        </w:p>
        <w:sdt>
          <w:sdtPr>
            <w:alias w:val="preambule"/>
            <w:tag w:val="part_1768767df0654c14b1ba7b4f39427ee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Vadovaudamasi Lietuvos Respublikos triukšmo valdymo įstatymo 13 straipsniu, Europos Parlamento ir Tarybos </w:t>
              </w:r>
              <w:smartTag w:uri="urn:schemas-microsoft-com:office:smarttags" w:element="metricconverter">
                <w:smartTagPr>
                  <w:attr w:name="ProductID" w:val="2002 m"/>
                </w:smartTagPr>
                <w:r>
                  <w:rPr>
                    <w:rFonts w:eastAsia="Calibri"/>
                    <w:szCs w:val="24"/>
                  </w:rPr>
                  <w:t>2002 m</w:t>
                </w:r>
              </w:smartTag>
              <w:r>
                <w:rPr>
                  <w:rFonts w:eastAsia="Calibri"/>
                  <w:szCs w:val="24"/>
                </w:rPr>
                <w:t xml:space="preserve">. birželio 25 d. direktyva 2002/49/EB „Dėl aplinkos triukšmo įvertinimo ir valdymo“ ir Vilniaus miesto savivaldybės tarybos </w:t>
              </w:r>
              <w:smartTag w:uri="urn:schemas-microsoft-com:office:smarttags" w:element="metricconverter">
                <w:smartTagPr>
                  <w:attr w:name="ProductID" w:val="2010 m"/>
                </w:smartTagPr>
                <w:r>
                  <w:rPr>
                    <w:rFonts w:eastAsia="Calibri"/>
                    <w:szCs w:val="24"/>
                  </w:rPr>
                  <w:t>2010 m</w:t>
                </w:r>
              </w:smartTag>
              <w:r>
                <w:rPr>
                  <w:rFonts w:eastAsia="Calibri"/>
                  <w:szCs w:val="24"/>
                </w:rPr>
                <w:t>. sausio 27 d. sprendimu Nr. 1-1379 patvirtinta Vilniaus miesto savivaldybės triukšmo kartografavimo, prevencijos ir mažinimo 2009–2013 metų programa, Vilniaus miesto savivaldybės taryba nusprendžia:</w:t>
              </w:r>
            </w:p>
          </w:sdtContent>
        </w:sdt>
        <w:sdt>
          <w:sdtPr>
            <w:alias w:val="1 p."/>
            <w:tag w:val="part_2d6eb99fc74e4d02a979589fdccd4528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2d6eb99fc74e4d02a979589fdccd4528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</w:rPr>
                <w:t>. Nustatyti Vilniaus miesto savivaldybės teritorijoje šias tyliąsias zonas:</w:t>
              </w:r>
            </w:p>
            <w:sdt>
              <w:sdtPr>
                <w:alias w:val="1.1 p."/>
                <w:tag w:val="part_7923e94377334932b02bef153d60122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7923e94377334932b02bef153d60122c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Gulbinų tylioji gamtos zona (plotas – </w:t>
                  </w:r>
                  <w:smartTag w:uri="urn:schemas-microsoft-com:office:smarttags" w:element="metricconverter">
                    <w:smartTagPr>
                      <w:attr w:name="ProductID" w:val="142 ha"/>
                    </w:smartTagPr>
                    <w:r>
                      <w:rPr>
                        <w:rFonts w:eastAsia="Calibri"/>
                        <w:szCs w:val="24"/>
                      </w:rPr>
                      <w:t>142 ha</w:t>
                    </w:r>
                  </w:smartTag>
                  <w:r>
                    <w:rPr>
                      <w:rFonts w:eastAsia="Calibri"/>
                      <w:szCs w:val="24"/>
                    </w:rPr>
                    <w:t>);</w:t>
                  </w:r>
                </w:p>
              </w:sdtContent>
            </w:sdt>
            <w:sdt>
              <w:sdtPr>
                <w:alias w:val="1.2 p."/>
                <w:tag w:val="part_4e3aa0c6d9a443c1a5ac1ff3eebccc5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4e3aa0c6d9a443c1a5ac1ff3eebccc5c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Tapelių tylioji gamtos zona (plotas – </w:t>
                  </w:r>
                  <w:smartTag w:uri="urn:schemas-microsoft-com:office:smarttags" w:element="metricconverter">
                    <w:smartTagPr>
                      <w:attr w:name="ProductID" w:val="280 ha"/>
                    </w:smartTagPr>
                    <w:r>
                      <w:rPr>
                        <w:rFonts w:eastAsia="Calibri"/>
                        <w:szCs w:val="24"/>
                      </w:rPr>
                      <w:t>280 ha</w:t>
                    </w:r>
                  </w:smartTag>
                  <w:r>
                    <w:rPr>
                      <w:rFonts w:eastAsia="Calibri"/>
                      <w:szCs w:val="24"/>
                    </w:rPr>
                    <w:t>);</w:t>
                  </w:r>
                </w:p>
              </w:sdtContent>
            </w:sdt>
            <w:sdt>
              <w:sdtPr>
                <w:alias w:val="1.3 p."/>
                <w:tag w:val="part_0a4e3e1b6689433aa5a9b2453bb50d6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0a4e3e1b6689433aa5a9b2453bb50d6b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Viršuliškių tylioji viešoji zona (plotas – </w:t>
                  </w:r>
                  <w:smartTag w:uri="urn:schemas-microsoft-com:office:smarttags" w:element="metricconverter">
                    <w:smartTagPr>
                      <w:attr w:name="ProductID" w:val="14 ha"/>
                    </w:smartTagPr>
                    <w:r>
                      <w:rPr>
                        <w:rFonts w:eastAsia="Calibri"/>
                        <w:szCs w:val="24"/>
                      </w:rPr>
                      <w:t>14 ha</w:t>
                    </w:r>
                  </w:smartTag>
                  <w:r>
                    <w:rPr>
                      <w:rFonts w:eastAsia="Calibri"/>
                      <w:szCs w:val="24"/>
                    </w:rPr>
                    <w:t>);</w:t>
                  </w:r>
                </w:p>
              </w:sdtContent>
            </w:sdt>
            <w:sdt>
              <w:sdtPr>
                <w:alias w:val="1.4 p."/>
                <w:tag w:val="part_7569462cd8304629af23b927b9a6190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7569462cd8304629af23b927b9a6190f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Karoliniškių tylioji viešoji zona (plotas – </w:t>
                  </w:r>
                  <w:smartTag w:uri="urn:schemas-microsoft-com:office:smarttags" w:element="metricconverter">
                    <w:smartTagPr>
                      <w:attr w:name="ProductID" w:val="68 ha"/>
                    </w:smartTagPr>
                    <w:r>
                      <w:rPr>
                        <w:rFonts w:eastAsia="Calibri"/>
                        <w:szCs w:val="24"/>
                      </w:rPr>
                      <w:t>68 ha</w:t>
                    </w:r>
                  </w:smartTag>
                  <w:r>
                    <w:rPr>
                      <w:rFonts w:eastAsia="Calibri"/>
                      <w:szCs w:val="24"/>
                    </w:rPr>
                    <w:t>);</w:t>
                  </w:r>
                </w:p>
              </w:sdtContent>
            </w:sdt>
            <w:sdt>
              <w:sdtPr>
                <w:alias w:val="1.5 p."/>
                <w:tag w:val="part_fb85c96e9ed741708ec0562ed37590c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fb85c96e9ed741708ec0562ed37590ca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Baltupių tylioji viešoji zona (plotas – </w:t>
                  </w:r>
                  <w:smartTag w:uri="urn:schemas-microsoft-com:office:smarttags" w:element="metricconverter">
                    <w:smartTagPr>
                      <w:attr w:name="ProductID" w:val="18 ha"/>
                    </w:smartTagPr>
                    <w:r>
                      <w:rPr>
                        <w:rFonts w:eastAsia="Calibri"/>
                        <w:szCs w:val="24"/>
                      </w:rPr>
                      <w:t>18 ha</w:t>
                    </w:r>
                  </w:smartTag>
                  <w:r>
                    <w:rPr>
                      <w:rFonts w:eastAsia="Calibri"/>
                      <w:szCs w:val="24"/>
                    </w:rPr>
                    <w:t>);</w:t>
                  </w:r>
                </w:p>
              </w:sdtContent>
            </w:sdt>
            <w:sdt>
              <w:sdtPr>
                <w:alias w:val="1.6 p."/>
                <w:tag w:val="part_4af8476ec28846c7abba114cfad6c3b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4af8476ec28846c7abba114cfad6c3ba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Fabijoniškių tylioji viešoji zona (plotas – </w:t>
                  </w:r>
                  <w:smartTag w:uri="urn:schemas-microsoft-com:office:smarttags" w:element="metricconverter">
                    <w:smartTagPr>
                      <w:attr w:name="ProductID" w:val="14 ha"/>
                    </w:smartTagPr>
                    <w:r>
                      <w:rPr>
                        <w:rFonts w:eastAsia="Calibri"/>
                        <w:szCs w:val="24"/>
                      </w:rPr>
                      <w:t>14 ha</w:t>
                    </w:r>
                  </w:smartTag>
                  <w:r>
                    <w:rPr>
                      <w:rFonts w:eastAsia="Calibri"/>
                      <w:szCs w:val="24"/>
                    </w:rPr>
                    <w:t>);</w:t>
                  </w:r>
                </w:p>
              </w:sdtContent>
            </w:sdt>
            <w:sdt>
              <w:sdtPr>
                <w:alias w:val="1.7 p."/>
                <w:tag w:val="part_ee65422d27f1472a95336f255fbbae2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ee65422d27f1472a95336f255fbbae23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Ozo tylioji viešoji zona ( plotas – </w:t>
                  </w:r>
                  <w:smartTag w:uri="urn:schemas-microsoft-com:office:smarttags" w:element="metricconverter">
                    <w:smartTagPr>
                      <w:attr w:name="ProductID" w:val="6 ha"/>
                    </w:smartTagPr>
                    <w:r>
                      <w:rPr>
                        <w:rFonts w:eastAsia="Calibri"/>
                        <w:szCs w:val="24"/>
                      </w:rPr>
                      <w:t>6 ha</w:t>
                    </w:r>
                  </w:smartTag>
                  <w:r>
                    <w:rPr>
                      <w:rFonts w:eastAsia="Calibri"/>
                      <w:szCs w:val="24"/>
                    </w:rPr>
                    <w:t>).</w:t>
                  </w:r>
                </w:p>
              </w:sdtContent>
            </w:sdt>
          </w:sdtContent>
        </w:sdt>
        <w:sdt>
          <w:sdtPr>
            <w:alias w:val="2 p."/>
            <w:tag w:val="part_6f31c077ab414ef4a8771f858aac48e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6f31c077ab414ef4a8771f858aac48ea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</w:rPr>
                <w:t>. Patvirtinti pridedamus:</w:t>
              </w:r>
            </w:p>
            <w:sdt>
              <w:sdtPr>
                <w:alias w:val="2.1 p."/>
                <w:tag w:val="part_e5c3cdfa2b934f978aff1f099c3d998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e5c3cdfa2b934f978aff1f099c3d9980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Vilniaus miesto savivaldybės tyliųjų zonų ribas pagal schemas Nr. 1–7;</w:t>
                  </w:r>
                </w:p>
              </w:sdtContent>
            </w:sdt>
            <w:sdt>
              <w:sdtPr>
                <w:alias w:val="2.2 p."/>
                <w:tag w:val="part_9b3d8b4ae2594fea806416340c2edd0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9b3d8b4ae2594fea806416340c2edd05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Vilniaus miesto savivaldybės triukšmo prevencijos zonas pagal schemą Nr. 8;</w:t>
                  </w:r>
                </w:p>
              </w:sdtContent>
            </w:sdt>
            <w:sdt>
              <w:sdtPr>
                <w:alias w:val="2.3 p."/>
                <w:tag w:val="part_03fa6680e28b41cf9a6ea4746916eced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03fa6680e28b41cf9a6ea4746916eced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Vilniaus miesto savivaldybės tyliųjų ir triukšmo prevencijos zonų ribų nustatymo metodines rekomendacijas; </w:t>
                  </w:r>
                </w:p>
              </w:sdtContent>
            </w:sdt>
            <w:sdt>
              <w:sdtPr>
                <w:alias w:val="2.4 p."/>
                <w:tag w:val="part_99ef5ca3222443b68a82c48a14ff197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99ef5ca3222443b68a82c48a14ff1975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Vilniaus miesto savivaldybės tyliųjų zonų reglamentą; </w:t>
                  </w:r>
                </w:p>
              </w:sdtContent>
            </w:sdt>
            <w:sdt>
              <w:sdtPr>
                <w:alias w:val="2.5 p."/>
                <w:tag w:val="part_67523fd35b1e41e0854d94d431fee852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67523fd35b1e41e0854d94d431fee852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Vilniaus miesto savivaldybės triukšmo prevencijos zonų reglamentą.</w:t>
                  </w:r>
                </w:p>
              </w:sdtContent>
            </w:sdt>
          </w:sdtContent>
        </w:sdt>
        <w:sdt>
          <w:sdtPr>
            <w:alias w:val="3 p."/>
            <w:tag w:val="part_df5f6903bb084362b4866733dc0b3ae4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df5f6903bb084362b4866733dc0b3ae4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szCs w:val="24"/>
                </w:rPr>
                <w:t>. Nustatyti, kad Vilniaus miesto savivaldybėje tyliosios zonos steigiamos gyvenamųjų namų bendrijų iniciatyva, teritorijose, kuriose esami aplinkos (transporto, pramonės, komunalinio ūkio) triukšmo lygiai pagal triukšmo kartografavimo rezultatus atitinka tyliųjų aglomeracijos zonų reikalavimus.</w:t>
              </w:r>
            </w:p>
          </w:sdtContent>
        </w:sdt>
        <w:sdt>
          <w:sdtPr>
            <w:alias w:val="4 p."/>
            <w:tag w:val="part_f93fb45d0d804d19998b3e6d5d4fe8f2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f93fb45d0d804d19998b3e6d5d4fe8f2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</w:rPr>
                    <w:t>4</w:t>
                  </w:r>
                </w:sdtContent>
              </w:sdt>
              <w:r>
                <w:rPr>
                  <w:rFonts w:eastAsia="Calibri"/>
                  <w:szCs w:val="24"/>
                </w:rPr>
                <w:t>. Pavesti Vilniaus miesto savivaldybės administracijos direktoriui sudaryti Vilniaus miesto savivaldybės tyliųjų ir triukšmo prevencijos zonų nustatymo, reglamentų įgyvendinimo, koordinavimo ir priežiūros darbo grupę.</w:t>
              </w:r>
            </w:p>
            <w:p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signatura"/>
            <w:tag w:val="part_5ac1ed6e963e45b48c106e6cef27b459"/>
            <w:lock w:val="sdtLocked"/>
            <w:richText/>
          </w:sdtPr>
          <w:sdtContent>
            <w:p>
              <w:pPr>
                <w:tabs>
                  <w:tab w:val="left" w:pos="4927"/>
                </w:tabs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Meras</w:t>
                <w:tab/>
                <w:tab/>
                <w:tab/>
                <w:tab/>
                <w:t>Artūras Zuokas</w:t>
              </w:r>
            </w:p>
            <w:p>
              <w:pPr>
                <w:spacing w:line="360" w:lineRule="auto"/>
                <w:jc w:val="center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______________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eastAsia="Calibri"/>
          <w:szCs w:val="24"/>
        </w:rPr>
      </w:pPr>
      <w:r>
        <w:rPr>
          <w:rFonts w:eastAsia="Calibri"/>
          <w:szCs w:val="24"/>
        </w:rPr>
        <w:separator/>
      </w:r>
    </w:p>
  </w:endnote>
  <w:endnote w:type="continuationSeparator" w:id="0">
    <w:p>
      <w:pPr>
        <w:rPr>
          <w:rFonts w:eastAsia="Calibri"/>
          <w:szCs w:val="24"/>
        </w:rPr>
      </w:pPr>
      <w:r>
        <w:rPr>
          <w:rFonts w:eastAsia="Calibri"/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eastAsia="Calibri"/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eastAsia="Calibri"/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eastAsia="Calibri"/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eastAsia="Calibri"/>
          <w:szCs w:val="24"/>
        </w:rPr>
      </w:pPr>
      <w:r>
        <w:rPr>
          <w:rFonts w:eastAsia="Calibri"/>
          <w:szCs w:val="24"/>
        </w:rPr>
        <w:separator/>
      </w:r>
    </w:p>
  </w:footnote>
  <w:footnote w:type="continuationSeparator" w:id="0">
    <w:p>
      <w:pPr>
        <w:rPr>
          <w:rFonts w:eastAsia="Calibri"/>
          <w:szCs w:val="24"/>
        </w:rPr>
      </w:pPr>
      <w:r>
        <w:rPr>
          <w:rFonts w:eastAsia="Calibri"/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819"/>
        <w:tab w:val="right" w:pos="9638"/>
      </w:tabs>
      <w:rPr>
        <w:rFonts w:eastAsia="Calibri"/>
        <w:szCs w:val="24"/>
      </w:rPr>
    </w:pPr>
    <w:r>
      <w:rPr>
        <w:rFonts w:eastAsia="Calibri"/>
        <w:szCs w:val="24"/>
      </w:rPr>
      <w:fldChar w:fldCharType="begin"/>
    </w:r>
    <w:r>
      <w:rPr>
        <w:rFonts w:eastAsia="Calibri"/>
        <w:szCs w:val="24"/>
      </w:rPr>
      <w:instrText xml:space="preserve">PAGE  </w:instrText>
    </w:r>
    <w:r>
      <w:rPr>
        <w:rFonts w:eastAsia="Calibri"/>
        <w:szCs w:val="24"/>
      </w:rPr>
      <w:fldChar w:fldCharType="end"/>
    </w:r>
  </w:p>
  <w:p>
    <w:pPr>
      <w:tabs>
        <w:tab w:val="center" w:pos="4819"/>
        <w:tab w:val="right" w:pos="9638"/>
      </w:tabs>
      <w:rPr>
        <w:rFonts w:eastAsia="Calibri"/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eastAsia="Calibri"/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eastAsia="Calibri"/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39111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0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01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f95b17ba2c7478b8ce9cca4e9476278" PartId="1edc7cadf62043a8a839f377efa9079a">
    <Part Type="preambule" DocPartId="04f2c5c03a5c4886a231a0351a9e87fe" PartId="1768767df0654c14b1ba7b4f39427eef"/>
    <Part Type="punktas" Nr="1" Abbr="1 p." DocPartId="37bf2cf95cbf48c0bf8c3b8bd7e62949" PartId="2d6eb99fc74e4d02a979589fdccd4528">
      <Part Type="punktas" Nr="1.1" Abbr="1.1 p." DocPartId="10be64086bfa44378acd2a665709264c" PartId="7923e94377334932b02bef153d60122c"/>
      <Part Type="punktas" Nr="1.2" Abbr="1.2 p." DocPartId="9ca937b644ce4397bfdea8c20b7150b2" PartId="4e3aa0c6d9a443c1a5ac1ff3eebccc5c"/>
      <Part Type="punktas" Nr="1.3" Abbr="1.3 p." DocPartId="f51fda76e7654e369992daecd334afac" PartId="0a4e3e1b6689433aa5a9b2453bb50d6b"/>
      <Part Type="punktas" Nr="1.4" Abbr="1.4 p." DocPartId="95f61772deb64fff9cdf3e5ee6223451" PartId="7569462cd8304629af23b927b9a6190f"/>
      <Part Type="punktas" Nr="1.5" Abbr="1.5 p." DocPartId="1012de1ffdb44c05bdb77a2e55bdd9ea" PartId="fb85c96e9ed741708ec0562ed37590ca"/>
      <Part Type="punktas" Nr="1.6" Abbr="1.6 p." DocPartId="a7edb76da4d24ef4aadd5409b13ee44d" PartId="4af8476ec28846c7abba114cfad6c3ba"/>
      <Part Type="punktas" Nr="1.7" Abbr="1.7 p." DocPartId="292a608f1c024eab9abb8cb2cab0d3ff" PartId="ee65422d27f1472a95336f255fbbae23"/>
    </Part>
    <Part Type="punktas" Nr="2" Abbr="2 p." DocPartId="9ec68b7752954acb82e6360a559ecd1f" PartId="6f31c077ab414ef4a8771f858aac48ea">
      <Part Type="punktas" Nr="2.1" Abbr="2.1 p." DocPartId="508702787b624c70a63eae52351e4c05" PartId="e5c3cdfa2b934f978aff1f099c3d9980"/>
      <Part Type="punktas" Nr="2.2" Abbr="2.2 p." DocPartId="fca56b2fb4d24947bf40da92e8e4eb62" PartId="9b3d8b4ae2594fea806416340c2edd05"/>
      <Part Type="punktas" Nr="2.3" Abbr="2.3 p." DocPartId="8cf9a48d06d84757a4748b539f41f197" PartId="03fa6680e28b41cf9a6ea4746916eced"/>
      <Part Type="punktas" Nr="2.4" Abbr="2.4 p." DocPartId="11c4e1c1d6e94199bfb2d2d1c94798c1" PartId="99ef5ca3222443b68a82c48a14ff1975"/>
      <Part Type="punktas" Nr="2.5" Abbr="2.5 p." DocPartId="6af38c2918224f06a5c0f9e9ed65f60f" PartId="67523fd35b1e41e0854d94d431fee852"/>
    </Part>
    <Part Type="punktas" Nr="3" Abbr="3 p." DocPartId="9f38f5d2bdf1480286d0286dcf229706" PartId="df5f6903bb084362b4866733dc0b3ae4"/>
    <Part Type="punktas" Nr="4" Abbr="4 p." DocPartId="1c425c8220f24683a8d3c08b0a79ac21" PartId="f93fb45d0d804d19998b3e6d5d4fe8f2"/>
    <Part Type="signatura" DocPartId="e0c7a021252c4e2ab75ae4dc5b1775a7" PartId="5ac1ed6e963e45b48c106e6cef27b459"/>
  </Part>
</Parts>
</file>

<file path=customXml/itemProps1.xml><?xml version="1.0" encoding="utf-8"?>
<ds:datastoreItem xmlns:ds="http://schemas.openxmlformats.org/officeDocument/2006/customXml" ds:itemID="{A9D081B7-1277-4C05-A22C-29D4204007C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272</Words>
  <Characters>1881</Characters>
  <Application>Microsoft Office Word</Application>
  <DocSecurity>4</DocSecurity>
  <Lines>42</Lines>
  <Paragraphs>27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VILNIAUS MIESTO SAVIVALDYBĖS TYLIŲJŲ ZONŲ NUSTATYMO, VILNIAUS MIESTO SAVIVALDYBĖS TYLIŲJŲ IR TRIUKŠMO PREVENCIJOS ZONŲ RIBŲ, METODINIŲ REKOMENDACIJŲ IR REGLAMENTŲ TVIRTINIMO</vt:lpstr>
      <vt:lpstr> </vt:lpstr>
    </vt:vector>
  </TitlesOfParts>
  <Manager>2011-12-14</Manager>
  <Company>VMSA</Company>
  <LinksUpToDate>false</LinksUpToDate>
  <CharactersWithSpaces>2126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category>SPRENDIMAS</category>
  <dcterms:created xsi:type="dcterms:W3CDTF">2015-07-29T05:08:00Z</dcterms:created>
  <dc:creator>VILNIAUS MIESTO SAVIVALDYBĖS TARYBA</dc:creator>
  <lastModifiedBy>Adlib User</lastModifiedBy>
  <lastPrinted>2011-12-06T10:46:00Z</lastPrinted>
  <dcterms:modified xsi:type="dcterms:W3CDTF">2015-07-29T05:08:00Z</dcterms:modified>
  <revision>2</revision>
  <dc:subject>1-341</dc:subject>
  <dc:title>DĖL VILNIAUS MIESTO SAVIVALDYBĖS TYLIŲJŲ ZONŲ NUSTATYMO, VILNIAUS MIESTO SAVIVALDYBĖS TYLIŲJŲ IR TRIUKŠMO PREVENCIJOS ZONŲ RIBŲ, METODINIŲ REKOMENDACIJŲ IR REGLAMENTŲ TVIRTINIMO</dc:title>
</coreProperties>
</file>