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31A2" w14:textId="77777777" w:rsidR="00EE0A39" w:rsidRDefault="00EE0A39">
      <w:pPr>
        <w:tabs>
          <w:tab w:val="center" w:pos="4153"/>
          <w:tab w:val="right" w:pos="8306"/>
        </w:tabs>
        <w:rPr>
          <w:szCs w:val="24"/>
        </w:rPr>
      </w:pPr>
    </w:p>
    <w:p w14:paraId="3CDA2349" w14:textId="77777777" w:rsidR="00EE0A39" w:rsidRDefault="00D5119C">
      <w:pPr>
        <w:tabs>
          <w:tab w:val="center" w:pos="4153"/>
          <w:tab w:val="right" w:pos="8306"/>
        </w:tabs>
        <w:jc w:val="center"/>
        <w:rPr>
          <w:szCs w:val="24"/>
        </w:rPr>
      </w:pPr>
      <w:r>
        <w:rPr>
          <w:szCs w:val="24"/>
        </w:rPr>
        <w:object w:dxaOrig="811" w:dyaOrig="961" w14:anchorId="3CDA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2.6pt" o:ole="" fillcolor="window">
            <v:imagedata r:id="rId8" o:title=""/>
          </v:shape>
          <o:OLEObject Type="Embed" ProgID="Word.Picture.8" ShapeID="_x0000_i1025" DrawAspect="Content" ObjectID="_1614063001" r:id="rId9"/>
        </w:object>
      </w:r>
    </w:p>
    <w:p w14:paraId="3CDA234A" w14:textId="77777777" w:rsidR="00EE0A39" w:rsidRDefault="00EE0A39">
      <w:pPr>
        <w:tabs>
          <w:tab w:val="center" w:pos="4153"/>
          <w:tab w:val="right" w:pos="8306"/>
        </w:tabs>
        <w:jc w:val="center"/>
        <w:rPr>
          <w:b/>
          <w:bCs/>
          <w:szCs w:val="24"/>
        </w:rPr>
      </w:pPr>
    </w:p>
    <w:p w14:paraId="3CDA234B" w14:textId="77777777" w:rsidR="00EE0A39" w:rsidRDefault="00D5119C">
      <w:pPr>
        <w:tabs>
          <w:tab w:val="center" w:pos="4153"/>
          <w:tab w:val="right" w:pos="8306"/>
        </w:tabs>
        <w:jc w:val="center"/>
        <w:rPr>
          <w:b/>
          <w:bCs/>
          <w:szCs w:val="24"/>
        </w:rPr>
      </w:pPr>
      <w:r>
        <w:rPr>
          <w:b/>
          <w:bCs/>
          <w:szCs w:val="24"/>
        </w:rPr>
        <w:t>LIETUVOS RESPUBLIKOS SVEIKATOS APSAUGOS MINISTRAS</w:t>
      </w:r>
    </w:p>
    <w:p w14:paraId="3CDA234C" w14:textId="77777777" w:rsidR="00EE0A39" w:rsidRDefault="00EE0A39">
      <w:pPr>
        <w:tabs>
          <w:tab w:val="center" w:pos="4153"/>
          <w:tab w:val="right" w:pos="8306"/>
        </w:tabs>
        <w:jc w:val="center"/>
        <w:rPr>
          <w:b/>
          <w:bCs/>
          <w:szCs w:val="24"/>
        </w:rPr>
      </w:pPr>
    </w:p>
    <w:p w14:paraId="3CDA234D" w14:textId="77777777" w:rsidR="00EE0A39" w:rsidRDefault="00D5119C">
      <w:pPr>
        <w:tabs>
          <w:tab w:val="center" w:pos="4153"/>
          <w:tab w:val="right" w:pos="8306"/>
        </w:tabs>
        <w:jc w:val="center"/>
        <w:rPr>
          <w:szCs w:val="24"/>
        </w:rPr>
      </w:pPr>
      <w:r>
        <w:rPr>
          <w:b/>
          <w:bCs/>
          <w:szCs w:val="24"/>
        </w:rPr>
        <w:t>ĮSAKYMAS</w:t>
      </w:r>
    </w:p>
    <w:p w14:paraId="3CDA234E" w14:textId="77777777" w:rsidR="00EE0A39" w:rsidRDefault="00D5119C">
      <w:pPr>
        <w:jc w:val="center"/>
        <w:rPr>
          <w:b/>
          <w:caps/>
          <w:szCs w:val="24"/>
        </w:rPr>
      </w:pPr>
      <w:r>
        <w:rPr>
          <w:b/>
          <w:caps/>
          <w:szCs w:val="24"/>
        </w:rPr>
        <w:t xml:space="preserve">DĖL Nacionalinės imunoprofilaktikos </w:t>
      </w:r>
      <w:r>
        <w:rPr>
          <w:b/>
          <w:szCs w:val="24"/>
        </w:rPr>
        <w:t>2019</w:t>
      </w:r>
      <w:r>
        <w:rPr>
          <w:b/>
          <w:bCs/>
          <w:szCs w:val="24"/>
        </w:rPr>
        <w:t>–</w:t>
      </w:r>
      <w:r>
        <w:rPr>
          <w:b/>
          <w:szCs w:val="24"/>
        </w:rPr>
        <w:t>2023</w:t>
      </w:r>
      <w:r>
        <w:rPr>
          <w:b/>
          <w:caps/>
          <w:szCs w:val="24"/>
        </w:rPr>
        <w:t xml:space="preserve"> metų programos patvirtinimo</w:t>
      </w:r>
    </w:p>
    <w:p w14:paraId="3CDA234F" w14:textId="77777777" w:rsidR="00EE0A39" w:rsidRDefault="00EE0A39">
      <w:pPr>
        <w:jc w:val="center"/>
        <w:rPr>
          <w:szCs w:val="24"/>
        </w:rPr>
      </w:pPr>
    </w:p>
    <w:p w14:paraId="3CDA2350" w14:textId="77777777" w:rsidR="00EE0A39" w:rsidRDefault="00D5119C">
      <w:pPr>
        <w:jc w:val="center"/>
        <w:rPr>
          <w:szCs w:val="24"/>
        </w:rPr>
      </w:pPr>
      <w:r>
        <w:rPr>
          <w:szCs w:val="24"/>
        </w:rPr>
        <w:t xml:space="preserve">2019 m. sausio 28 d. Nr. V-115  </w:t>
      </w:r>
    </w:p>
    <w:p w14:paraId="3CDA2351" w14:textId="77777777" w:rsidR="00EE0A39" w:rsidRDefault="00D5119C">
      <w:pPr>
        <w:jc w:val="center"/>
        <w:rPr>
          <w:szCs w:val="24"/>
        </w:rPr>
      </w:pPr>
      <w:r>
        <w:rPr>
          <w:szCs w:val="24"/>
        </w:rPr>
        <w:t>Vilnius</w:t>
      </w:r>
    </w:p>
    <w:p w14:paraId="3CDA2352" w14:textId="77777777" w:rsidR="00EE0A39" w:rsidRDefault="00EE0A39">
      <w:pPr>
        <w:jc w:val="center"/>
        <w:rPr>
          <w:szCs w:val="24"/>
        </w:rPr>
      </w:pPr>
    </w:p>
    <w:p w14:paraId="74918388" w14:textId="77777777" w:rsidR="00EE0A39" w:rsidRDefault="00EE0A39">
      <w:pPr>
        <w:jc w:val="center"/>
        <w:rPr>
          <w:szCs w:val="24"/>
        </w:rPr>
      </w:pPr>
    </w:p>
    <w:p w14:paraId="3CDA2353" w14:textId="77777777" w:rsidR="00EE0A39" w:rsidRDefault="00D5119C">
      <w:pPr>
        <w:tabs>
          <w:tab w:val="left" w:pos="720"/>
        </w:tabs>
        <w:spacing w:line="276" w:lineRule="auto"/>
        <w:ind w:firstLine="720"/>
        <w:jc w:val="both"/>
        <w:rPr>
          <w:szCs w:val="24"/>
        </w:rPr>
      </w:pPr>
      <w:r>
        <w:rPr>
          <w:szCs w:val="24"/>
        </w:rPr>
        <w:t xml:space="preserve">Vadovaudamasis Lietuvos Respublikos žmonių užkrečiamųjų ligų profilaktikos ir kontrolės įstatymo 22 straipsnio 1 dalimi ir siekdamas Lietuvos gyventojus apsaugoti nuo užkrečiamųjų ligų ir jų komplikacijų, kontroliuoti skiepijimais valdomas užkrečiamąsias ligas: </w:t>
      </w:r>
      <w:r>
        <w:rPr>
          <w:szCs w:val="24"/>
        </w:rPr>
        <w:tab/>
      </w:r>
    </w:p>
    <w:p w14:paraId="3CDA2354" w14:textId="77777777" w:rsidR="00EE0A39" w:rsidRDefault="00381469">
      <w:pPr>
        <w:tabs>
          <w:tab w:val="left" w:pos="720"/>
        </w:tabs>
        <w:spacing w:line="276" w:lineRule="auto"/>
        <w:ind w:firstLine="720"/>
        <w:jc w:val="both"/>
        <w:rPr>
          <w:szCs w:val="24"/>
        </w:rPr>
      </w:pPr>
      <w:r w:rsidR="00D5119C">
        <w:rPr>
          <w:szCs w:val="24"/>
        </w:rPr>
        <w:t>1</w:t>
      </w:r>
      <w:r w:rsidR="00D5119C">
        <w:rPr>
          <w:szCs w:val="24"/>
        </w:rPr>
        <w:t>. T v i r t i n u  Nacionalinę imunoprofilaktikos 2019</w:t>
      </w:r>
      <w:r w:rsidR="00D5119C">
        <w:rPr>
          <w:b/>
          <w:bCs/>
          <w:szCs w:val="24"/>
        </w:rPr>
        <w:t>–</w:t>
      </w:r>
      <w:r w:rsidR="00D5119C">
        <w:rPr>
          <w:szCs w:val="24"/>
        </w:rPr>
        <w:t>2023 metų programą (pridedama).</w:t>
      </w:r>
    </w:p>
    <w:p w14:paraId="3CDA2358" w14:textId="6930E226" w:rsidR="00EE0A39" w:rsidRDefault="00381469">
      <w:pPr>
        <w:tabs>
          <w:tab w:val="left" w:pos="720"/>
        </w:tabs>
        <w:spacing w:line="276" w:lineRule="auto"/>
        <w:ind w:firstLine="720"/>
        <w:jc w:val="both"/>
        <w:rPr>
          <w:szCs w:val="24"/>
        </w:rPr>
      </w:pPr>
      <w:r w:rsidR="00D5119C">
        <w:rPr>
          <w:szCs w:val="24"/>
        </w:rPr>
        <w:t>2</w:t>
      </w:r>
      <w:r w:rsidR="00D5119C">
        <w:rPr>
          <w:szCs w:val="24"/>
        </w:rPr>
        <w:t xml:space="preserve">. P a v e d u įsakymo vykdymą kontroliuoti viceministrui pagal veiklos sritį. </w:t>
      </w:r>
    </w:p>
    <w:p w14:paraId="03071579" w14:textId="77777777" w:rsidR="00D5119C" w:rsidRDefault="00D5119C"/>
    <w:p w14:paraId="4F4CEE82" w14:textId="77777777" w:rsidR="00D5119C" w:rsidRDefault="00D5119C"/>
    <w:p w14:paraId="5566BF13" w14:textId="77777777" w:rsidR="00D5119C" w:rsidRDefault="00D5119C"/>
    <w:p w14:paraId="3CDA2359" w14:textId="41CF7875" w:rsidR="00EE0A39" w:rsidRDefault="00D5119C">
      <w:pPr>
        <w:rPr>
          <w:szCs w:val="24"/>
        </w:rPr>
      </w:pPr>
      <w:r>
        <w:rPr>
          <w:szCs w:val="24"/>
        </w:rPr>
        <w:t xml:space="preserve">Sveikatos apsaugos ministras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Aurelijus </w:t>
      </w:r>
      <w:proofErr w:type="spellStart"/>
      <w:r>
        <w:rPr>
          <w:szCs w:val="24"/>
        </w:rPr>
        <w:t>Veryga</w:t>
      </w:r>
      <w:proofErr w:type="spellEnd"/>
    </w:p>
    <w:p w14:paraId="6B255A7D" w14:textId="1969DB5E" w:rsidR="00D5119C" w:rsidRDefault="00D5119C">
      <w:pPr>
        <w:tabs>
          <w:tab w:val="left" w:pos="851"/>
        </w:tabs>
        <w:ind w:firstLine="6480"/>
        <w:sectPr w:rsidR="00D5119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1134" w:gutter="0"/>
          <w:cols w:space="1296"/>
          <w:titlePg/>
          <w:docGrid w:linePitch="326"/>
        </w:sectPr>
      </w:pPr>
    </w:p>
    <w:p w14:paraId="64121188" w14:textId="32225BB7" w:rsidR="00EE0A39" w:rsidRDefault="00D5119C">
      <w:pPr>
        <w:tabs>
          <w:tab w:val="left" w:pos="851"/>
        </w:tabs>
        <w:ind w:firstLine="6480"/>
        <w:rPr>
          <w:rFonts w:eastAsia="MS Mincho"/>
          <w:b/>
          <w:bCs/>
        </w:rPr>
      </w:pPr>
      <w:r>
        <w:rPr>
          <w:rFonts w:eastAsia="MS Mincho"/>
        </w:rPr>
        <w:lastRenderedPageBreak/>
        <w:t xml:space="preserve">PATVIRTINTA </w:t>
      </w:r>
    </w:p>
    <w:p w14:paraId="24377FC6" w14:textId="77777777" w:rsidR="00EE0A39" w:rsidRDefault="00D5119C">
      <w:pPr>
        <w:tabs>
          <w:tab w:val="left" w:pos="851"/>
        </w:tabs>
        <w:ind w:firstLine="6480"/>
        <w:rPr>
          <w:rFonts w:eastAsia="MS Mincho"/>
          <w:b/>
          <w:bCs/>
        </w:rPr>
      </w:pPr>
      <w:r>
        <w:rPr>
          <w:rFonts w:eastAsia="MS Mincho"/>
        </w:rPr>
        <w:t xml:space="preserve">Lietuvos Respublikos </w:t>
      </w:r>
    </w:p>
    <w:p w14:paraId="002DA1F4" w14:textId="77777777" w:rsidR="00EE0A39" w:rsidRDefault="00D5119C">
      <w:pPr>
        <w:tabs>
          <w:tab w:val="left" w:pos="851"/>
        </w:tabs>
        <w:ind w:firstLine="6480"/>
        <w:rPr>
          <w:rFonts w:eastAsia="MS Mincho"/>
        </w:rPr>
      </w:pPr>
      <w:r>
        <w:rPr>
          <w:rFonts w:eastAsia="MS Mincho"/>
        </w:rPr>
        <w:t xml:space="preserve">sveikatos apsaugos ministro </w:t>
      </w:r>
    </w:p>
    <w:p w14:paraId="71AACB01" w14:textId="77777777" w:rsidR="00EE0A39" w:rsidRDefault="00D5119C">
      <w:pPr>
        <w:tabs>
          <w:tab w:val="left" w:pos="851"/>
        </w:tabs>
        <w:ind w:firstLine="6480"/>
        <w:rPr>
          <w:rFonts w:eastAsia="MS Mincho"/>
        </w:rPr>
      </w:pPr>
      <w:r>
        <w:rPr>
          <w:rFonts w:eastAsia="MS Mincho"/>
        </w:rPr>
        <w:t xml:space="preserve">2019 m. sausio 28 d. </w:t>
      </w:r>
    </w:p>
    <w:p w14:paraId="403ADC80" w14:textId="130D538A" w:rsidR="00EE0A39" w:rsidRDefault="00D5119C" w:rsidP="00D5119C">
      <w:pPr>
        <w:tabs>
          <w:tab w:val="center" w:pos="4819"/>
          <w:tab w:val="right" w:pos="9638"/>
        </w:tabs>
        <w:ind w:firstLine="6521"/>
        <w:rPr>
          <w:szCs w:val="24"/>
          <w:lang w:val="en-GB"/>
        </w:rPr>
      </w:pPr>
      <w:r>
        <w:rPr>
          <w:rFonts w:eastAsia="MS Mincho"/>
          <w:szCs w:val="24"/>
        </w:rPr>
        <w:t>įsakymu Nr. V-115</w:t>
      </w:r>
    </w:p>
    <w:p w14:paraId="2D29FB62" w14:textId="77777777" w:rsidR="00EE0A39" w:rsidRDefault="00EE0A39">
      <w:pPr>
        <w:tabs>
          <w:tab w:val="center" w:pos="4819"/>
          <w:tab w:val="right" w:pos="9638"/>
        </w:tabs>
        <w:jc w:val="right"/>
        <w:rPr>
          <w:szCs w:val="24"/>
          <w:lang w:val="en-GB"/>
        </w:rPr>
      </w:pPr>
    </w:p>
    <w:p w14:paraId="3E9DB31F" w14:textId="77777777" w:rsidR="00EE0A39" w:rsidRDefault="00381469">
      <w:pPr>
        <w:keepLines/>
        <w:suppressAutoHyphens/>
        <w:jc w:val="center"/>
        <w:rPr>
          <w:b/>
          <w:bCs/>
          <w:caps/>
          <w:color w:val="000000"/>
          <w:szCs w:val="24"/>
        </w:rPr>
      </w:pPr>
      <w:r w:rsidR="00D5119C">
        <w:rPr>
          <w:b/>
          <w:bCs/>
          <w:caps/>
          <w:color w:val="000000"/>
          <w:szCs w:val="24"/>
        </w:rPr>
        <w:t>Nacionalinė imunoprofilaktikos 2019−2023 metų programa</w:t>
      </w:r>
    </w:p>
    <w:p w14:paraId="42ED81E8" w14:textId="77777777" w:rsidR="00EE0A39" w:rsidRDefault="00381469">
      <w:pPr>
        <w:keepLines/>
        <w:suppressAutoHyphens/>
        <w:rPr>
          <w:b/>
          <w:bCs/>
          <w:caps/>
          <w:color w:val="000000"/>
          <w:szCs w:val="24"/>
        </w:rPr>
      </w:pPr>
    </w:p>
    <w:p w14:paraId="2C9D6C5C" w14:textId="77777777" w:rsidR="00EE0A39" w:rsidRDefault="00381469">
      <w:pPr>
        <w:keepLines/>
        <w:suppressAutoHyphens/>
        <w:jc w:val="center"/>
        <w:rPr>
          <w:b/>
          <w:bCs/>
          <w:caps/>
          <w:color w:val="000000"/>
          <w:szCs w:val="24"/>
        </w:rPr>
      </w:pPr>
      <w:r w:rsidR="00D5119C">
        <w:rPr>
          <w:b/>
          <w:bCs/>
          <w:caps/>
          <w:color w:val="000000"/>
          <w:szCs w:val="24"/>
        </w:rPr>
        <w:t>I</w:t>
      </w:r>
      <w:r w:rsidR="00D5119C">
        <w:rPr>
          <w:b/>
          <w:bCs/>
          <w:caps/>
          <w:color w:val="000000"/>
          <w:szCs w:val="24"/>
        </w:rPr>
        <w:t xml:space="preserve"> SKYRIUS</w:t>
      </w:r>
    </w:p>
    <w:p w14:paraId="2E52DF6A" w14:textId="77777777" w:rsidR="00EE0A39" w:rsidRDefault="00381469">
      <w:pPr>
        <w:keepLines/>
        <w:suppressAutoHyphens/>
        <w:jc w:val="center"/>
        <w:rPr>
          <w:b/>
          <w:bCs/>
          <w:caps/>
          <w:color w:val="000000"/>
          <w:szCs w:val="24"/>
        </w:rPr>
      </w:pPr>
      <w:r w:rsidR="00D5119C">
        <w:rPr>
          <w:b/>
          <w:bCs/>
          <w:caps/>
          <w:color w:val="000000"/>
          <w:szCs w:val="24"/>
        </w:rPr>
        <w:t>BENDROSIOS NUOSTATOS</w:t>
      </w:r>
    </w:p>
    <w:p w14:paraId="3C519EC1" w14:textId="77777777" w:rsidR="00EE0A39" w:rsidRDefault="00EE0A39">
      <w:pPr>
        <w:suppressAutoHyphens/>
        <w:ind w:firstLine="567"/>
        <w:jc w:val="both"/>
        <w:rPr>
          <w:color w:val="000000"/>
          <w:szCs w:val="24"/>
        </w:rPr>
      </w:pPr>
    </w:p>
    <w:p w14:paraId="22442343" w14:textId="77777777" w:rsidR="00EE0A39" w:rsidRDefault="00381469">
      <w:pPr>
        <w:spacing w:line="276" w:lineRule="auto"/>
        <w:ind w:firstLine="851"/>
        <w:jc w:val="both"/>
        <w:rPr>
          <w:rFonts w:eastAsia="Calibri"/>
          <w:szCs w:val="22"/>
          <w:lang w:eastAsia="lt-LT" w:bidi="lt-LT"/>
        </w:rPr>
      </w:pPr>
      <w:r w:rsidR="00D5119C">
        <w:rPr>
          <w:rFonts w:eastAsia="Calibri"/>
          <w:szCs w:val="22"/>
          <w:lang w:eastAsia="lt-LT" w:bidi="lt-LT"/>
        </w:rPr>
        <w:t>1</w:t>
      </w:r>
      <w:r w:rsidR="00D5119C">
        <w:rPr>
          <w:rFonts w:eastAsia="Calibri"/>
          <w:szCs w:val="22"/>
          <w:lang w:eastAsia="lt-LT" w:bidi="lt-LT"/>
        </w:rPr>
        <w:t>. Nacionalinė imunoprofilaktikos 2019</w:t>
      </w:r>
      <w:r w:rsidR="00D5119C">
        <w:rPr>
          <w:rFonts w:eastAsia="Calibri"/>
          <w:szCs w:val="24"/>
          <w:lang w:eastAsia="lt-LT" w:bidi="lt-LT"/>
        </w:rPr>
        <w:t>–2023 metų programa (toliau – Programa) reglamentuoja Lietuvos imunoprofilaktikos tikslą ir uždavinius, siekiamus rezultatus, vertinimo kriterijus, Programos įgyvendinimą, koordinavimo ir įgyvendinimo priemones.</w:t>
      </w:r>
    </w:p>
    <w:p w14:paraId="2B099051" w14:textId="77777777" w:rsidR="00EE0A39" w:rsidRDefault="00381469">
      <w:pPr>
        <w:spacing w:line="276" w:lineRule="auto"/>
        <w:ind w:firstLine="851"/>
        <w:jc w:val="both"/>
        <w:rPr>
          <w:rFonts w:eastAsia="Calibri"/>
          <w:szCs w:val="22"/>
          <w:bdr w:val="none" w:sz="0" w:space="0" w:color="auto" w:frame="1"/>
          <w:lang w:eastAsia="lt-LT" w:bidi="lt-LT"/>
        </w:rPr>
      </w:pPr>
      <w:r w:rsidR="00D5119C">
        <w:rPr>
          <w:rFonts w:eastAsia="Calibri"/>
          <w:szCs w:val="22"/>
          <w:lang w:eastAsia="lt-LT" w:bidi="lt-LT"/>
        </w:rPr>
        <w:t>2</w:t>
      </w:r>
      <w:r w:rsidR="00D5119C">
        <w:rPr>
          <w:rFonts w:eastAsia="Calibri"/>
          <w:szCs w:val="22"/>
          <w:lang w:eastAsia="lt-LT" w:bidi="lt-LT"/>
        </w:rPr>
        <w:t>. Skiepijimas – vienas didžiausių laimėjimų sveikatos priežiūros srityje. Skiepijant išgelbstima gyvybių, apsaugoma visuomenė, mažinamas sergamumas ir padedama pailginti tikėtiną gyvenimo trukmę. Kol nebuvo sukurta vakcinų, daug vaikų mirdavo visai maži arba visam gyvenimui tapdavo suluošinti. Skiepijant pavyko išnaikinti raupus ir beveik išnaikinti poliomielitą, taip pat užkirstas kelias begalei mirčių nuo daugelio kitų ligų, tokių kaip tymai, difterija ir kt.</w:t>
      </w:r>
    </w:p>
    <w:p w14:paraId="28F23823" w14:textId="77777777" w:rsidR="00EE0A39" w:rsidRDefault="00381469">
      <w:pPr>
        <w:spacing w:line="276" w:lineRule="auto"/>
        <w:ind w:firstLine="851"/>
        <w:jc w:val="both"/>
        <w:rPr>
          <w:rFonts w:eastAsia="Calibri"/>
          <w:color w:val="000000"/>
          <w:szCs w:val="22"/>
          <w:bdr w:val="none" w:sz="0" w:space="0" w:color="auto" w:frame="1"/>
          <w:lang w:eastAsia="lt-LT" w:bidi="lt-LT"/>
        </w:rPr>
      </w:pPr>
      <w:r w:rsidR="00D5119C">
        <w:rPr>
          <w:rFonts w:eastAsia="Calibri"/>
          <w:color w:val="000000"/>
          <w:szCs w:val="22"/>
          <w:bdr w:val="none" w:sz="0" w:space="0" w:color="auto" w:frame="1"/>
          <w:lang w:eastAsia="lt-LT" w:bidi="lt-LT"/>
        </w:rPr>
        <w:t>3</w:t>
      </w:r>
      <w:r w:rsidR="00D5119C">
        <w:rPr>
          <w:rFonts w:eastAsia="Calibri"/>
          <w:color w:val="000000"/>
          <w:szCs w:val="22"/>
          <w:bdr w:val="none" w:sz="0" w:space="0" w:color="auto" w:frame="1"/>
          <w:lang w:eastAsia="lt-LT" w:bidi="lt-LT"/>
        </w:rPr>
        <w:t xml:space="preserve">. Visame pasaulyje skiepais kasmet apsaugoma 2,7 mln. žmonių nuo tymų, 2 mln. – nuo naujagimių stabligės ir 1 mln. – nuo kokliušo. Europoje skiepijant nuo sezoninio gripo nuo šios ligos kasmet apsaugoma apie 2 mln. asmenų. </w:t>
      </w:r>
    </w:p>
    <w:p w14:paraId="6F605FD8" w14:textId="77777777" w:rsidR="00EE0A39" w:rsidRDefault="00381469">
      <w:pPr>
        <w:spacing w:line="276" w:lineRule="auto"/>
        <w:ind w:firstLine="851"/>
        <w:jc w:val="both"/>
        <w:rPr>
          <w:rFonts w:eastAsia="Calibri"/>
          <w:szCs w:val="22"/>
          <w:lang w:eastAsia="lt-LT" w:bidi="lt-LT"/>
        </w:rPr>
      </w:pPr>
      <w:r w:rsidR="00D5119C">
        <w:rPr>
          <w:rFonts w:eastAsia="Calibri"/>
          <w:color w:val="000000"/>
          <w:szCs w:val="22"/>
          <w:lang w:eastAsia="lt-LT" w:bidi="lt-LT"/>
        </w:rPr>
        <w:t>4</w:t>
      </w:r>
      <w:r w:rsidR="00D5119C">
        <w:rPr>
          <w:rFonts w:eastAsia="Calibri"/>
          <w:color w:val="000000"/>
          <w:szCs w:val="22"/>
          <w:lang w:eastAsia="lt-LT" w:bidi="lt-LT"/>
        </w:rPr>
        <w:t xml:space="preserve">. Šiuo metu keliose Europos Sąjungos (toliau </w:t>
      </w:r>
      <w:r w:rsidR="00D5119C">
        <w:rPr>
          <w:rFonts w:eastAsia="Calibri"/>
          <w:color w:val="000000"/>
          <w:szCs w:val="22"/>
          <w:bdr w:val="none" w:sz="0" w:space="0" w:color="auto" w:frame="1"/>
          <w:lang w:eastAsia="lt-LT" w:bidi="lt-LT"/>
        </w:rPr>
        <w:t xml:space="preserve">– </w:t>
      </w:r>
      <w:r w:rsidR="00D5119C">
        <w:rPr>
          <w:rFonts w:eastAsia="Calibri"/>
          <w:color w:val="000000"/>
          <w:szCs w:val="22"/>
          <w:lang w:eastAsia="lt-LT" w:bidi="lt-LT"/>
        </w:rPr>
        <w:t xml:space="preserve">ES) valstybėse narėse ir kaimyninėse šalyse nustatytas kaip niekad didelis ligų, kurių galima išvengti skiepijant, protrūkis. Jo priežastis – nepakankama skiepijimo aprėptis. Vien 2017 metais ES tymais susirgo daugiau negu 14 000 asmenų – tai trigubai viršija 2016 metais registruotų atvejų skaičių. Per pastaruosius dvejus metus 50 asmenų mirė nuo tymų ir du – nuo difterijos. Europa dar neišnaikino tymų, nors tai vienas iš sutartų Pasaulio sveikatos organizacijos (toliau – PSO) tikslų. ES vis dar esama poliomielito viruso pakartotinio išplitimo rizikos ir tai kelia pavojų ES, kaip laisvos nuo poliomielito, teritorijos statusui. Vyresnio amžiaus grupių asmenų skiepijimo nuo sezoninio gripo aprėpties mastas tebėra gerokai mažesnis negu 75 proc. </w:t>
      </w:r>
    </w:p>
    <w:p w14:paraId="5F49C619" w14:textId="77777777" w:rsidR="00EE0A39" w:rsidRDefault="00381469">
      <w:pPr>
        <w:spacing w:line="276" w:lineRule="auto"/>
        <w:ind w:firstLine="851"/>
        <w:jc w:val="both"/>
        <w:rPr>
          <w:rFonts w:eastAsia="Calibri"/>
          <w:szCs w:val="22"/>
          <w:lang w:eastAsia="lt-LT" w:bidi="lt-LT"/>
        </w:rPr>
      </w:pPr>
      <w:r w:rsidR="00D5119C">
        <w:rPr>
          <w:rFonts w:eastAsia="Calibri"/>
          <w:szCs w:val="22"/>
          <w:lang w:eastAsia="lt-LT" w:bidi="lt-LT"/>
        </w:rPr>
        <w:t>5</w:t>
      </w:r>
      <w:r w:rsidR="00D5119C">
        <w:rPr>
          <w:rFonts w:eastAsia="Calibri"/>
          <w:szCs w:val="22"/>
          <w:lang w:eastAsia="lt-LT" w:bidi="lt-LT"/>
        </w:rPr>
        <w:t xml:space="preserve">. Nepakankamam ar mažėjančiam skiepijimo aprėpties mastui turi įtakos keletas veiksnių. Vienas pagrindinių veiksnių </w:t>
      </w:r>
      <w:r w:rsidR="00D5119C">
        <w:rPr>
          <w:rFonts w:eastAsia="Calibri"/>
          <w:color w:val="000000"/>
          <w:szCs w:val="22"/>
          <w:bdr w:val="none" w:sz="0" w:space="0" w:color="auto" w:frame="1"/>
          <w:lang w:eastAsia="lt-LT" w:bidi="lt-LT"/>
        </w:rPr>
        <w:t>– m</w:t>
      </w:r>
      <w:r w:rsidR="00D5119C">
        <w:rPr>
          <w:rFonts w:eastAsia="Calibri"/>
          <w:szCs w:val="22"/>
          <w:lang w:eastAsia="lt-LT" w:bidi="lt-LT"/>
        </w:rPr>
        <w:t xml:space="preserve">ažėjantis pasitikėjimas skiepais. Dėl neteisingo supratimo apie skiepijimą visuomenė nebepasitiki skiepijimo nauda, ėmė nepasitikėti mokslu ir bijoti galimo nepageidaujamo poveikio. Šį padidėjusį baiminimąsi lemia keletas veiksnių: patikimos informacijos stoka ir, tam tikrais atvejais, nepasitikėjimas esamos informacijos teikėjais; nepakankamas supratimas apie skiepijimo naudą pavieniams asmenims, palyginti su nauda visuomenei; klaidinančios informacijos kurstomi ginčai žiniasklaidoje apie vakcinų saugumą. Kadangi dėl ilgalaikio skiepijimo sumažėjo ligų, kurių galima išvengti skiepijant, gyventojams nepakankamai gerai žinomas esminis skiepijimo vaidmuo apsaugant gyvybę ir kokia rizika kyla nesiskiepijant. </w:t>
      </w:r>
    </w:p>
    <w:p w14:paraId="2C4184D3" w14:textId="77777777" w:rsidR="00EE0A39" w:rsidRDefault="00381469">
      <w:pPr>
        <w:suppressAutoHyphens/>
        <w:spacing w:line="276" w:lineRule="auto"/>
        <w:ind w:firstLine="851"/>
        <w:jc w:val="both"/>
        <w:rPr>
          <w:color w:val="000000"/>
          <w:szCs w:val="24"/>
        </w:rPr>
      </w:pPr>
      <w:r w:rsidR="00D5119C">
        <w:rPr>
          <w:color w:val="000000"/>
          <w:szCs w:val="24"/>
        </w:rPr>
        <w:t>6</w:t>
      </w:r>
      <w:r w:rsidR="00D5119C">
        <w:rPr>
          <w:color w:val="000000"/>
          <w:szCs w:val="24"/>
        </w:rPr>
        <w:t>. Vaikų ir suaugusiųjų profilaktinis skiepijimas − tai viena iš sveikatos priežiūros sričių, kuri visame pasaulyje finansuojama iš valstybės biudžeto nepriklausomai nuo šalies ekonominio išsivystymo lygio. Skiepijimas nuo užkrečiamųjų ligų − tai ne tik asmens apsauga nuo užkrečiamosios ligos, bet ir svarbus kiekvienos šalies ekonominio bei socialinio vystymosi veiksnys.</w:t>
      </w:r>
    </w:p>
    <w:p w14:paraId="68916106" w14:textId="77777777" w:rsidR="00EE0A39" w:rsidRDefault="00381469">
      <w:pPr>
        <w:suppressAutoHyphens/>
        <w:spacing w:line="276" w:lineRule="auto"/>
        <w:ind w:firstLine="851"/>
        <w:jc w:val="both"/>
        <w:rPr>
          <w:color w:val="000000"/>
          <w:szCs w:val="24"/>
        </w:rPr>
      </w:pPr>
      <w:r w:rsidR="00D5119C">
        <w:rPr>
          <w:color w:val="000000"/>
          <w:szCs w:val="24"/>
        </w:rPr>
        <w:t>7</w:t>
      </w:r>
      <w:r w:rsidR="00D5119C">
        <w:rPr>
          <w:color w:val="000000"/>
          <w:szCs w:val="24"/>
        </w:rPr>
        <w:t xml:space="preserve">. PSO Pasauliniame 2011–2020 vakcinacijos veiksmų plane primenama, kad skiepijimai yra ir turėtų būti pripažįstami kaip esminė žmogaus teisės į sveikatos priežiūrą dalis. </w:t>
      </w:r>
    </w:p>
    <w:p w14:paraId="2C44233C" w14:textId="77777777" w:rsidR="00EE0A39" w:rsidRDefault="00381469">
      <w:pPr>
        <w:suppressAutoHyphens/>
        <w:spacing w:line="276" w:lineRule="auto"/>
        <w:ind w:firstLine="851"/>
        <w:jc w:val="both"/>
        <w:rPr>
          <w:color w:val="000000"/>
          <w:szCs w:val="24"/>
        </w:rPr>
      </w:pPr>
      <w:r w:rsidR="00D5119C">
        <w:rPr>
          <w:color w:val="000000"/>
          <w:szCs w:val="24"/>
        </w:rPr>
        <w:t>8</w:t>
      </w:r>
      <w:r w:rsidR="00D5119C">
        <w:rPr>
          <w:color w:val="000000"/>
          <w:szCs w:val="24"/>
        </w:rPr>
        <w:t xml:space="preserve">. ES nacionalinių imunoprofilaktikos programų įgyvendinimą bei vakcinomis valdomų užkrečiamųjų ligų epidemiologinę priežiūrą koordinuoja Europos Komisija, Europos ligų prevencijos ir kontrolės centras (toliau </w:t>
      </w:r>
      <w:r w:rsidR="00D5119C">
        <w:rPr>
          <w:color w:val="000000"/>
          <w:sz w:val="20"/>
          <w:bdr w:val="none" w:sz="0" w:space="0" w:color="auto" w:frame="1"/>
        </w:rPr>
        <w:t xml:space="preserve">– </w:t>
      </w:r>
      <w:r w:rsidR="00D5119C">
        <w:rPr>
          <w:color w:val="000000"/>
          <w:szCs w:val="24"/>
          <w:bdr w:val="none" w:sz="0" w:space="0" w:color="auto" w:frame="1"/>
        </w:rPr>
        <w:t>ELPKC</w:t>
      </w:r>
      <w:r w:rsidR="00D5119C">
        <w:rPr>
          <w:color w:val="000000"/>
          <w:sz w:val="20"/>
          <w:bdr w:val="none" w:sz="0" w:space="0" w:color="auto" w:frame="1"/>
        </w:rPr>
        <w:t>)</w:t>
      </w:r>
      <w:r w:rsidR="00D5119C">
        <w:rPr>
          <w:color w:val="000000"/>
          <w:szCs w:val="24"/>
        </w:rPr>
        <w:t xml:space="preserve">, bendradarbiaudamas su PSO ir šalių narių atsakingomis institucijomis. </w:t>
      </w:r>
    </w:p>
    <w:p w14:paraId="4D087888" w14:textId="77777777" w:rsidR="00EE0A39" w:rsidRDefault="00381469">
      <w:pPr>
        <w:suppressAutoHyphens/>
        <w:spacing w:line="276" w:lineRule="auto"/>
        <w:ind w:firstLine="851"/>
        <w:jc w:val="both"/>
        <w:rPr>
          <w:color w:val="000000"/>
          <w:szCs w:val="24"/>
        </w:rPr>
      </w:pPr>
      <w:r w:rsidR="00D5119C">
        <w:rPr>
          <w:color w:val="000000"/>
          <w:szCs w:val="24"/>
        </w:rPr>
        <w:t>9</w:t>
      </w:r>
      <w:r w:rsidR="00D5119C">
        <w:rPr>
          <w:color w:val="000000"/>
          <w:szCs w:val="24"/>
        </w:rPr>
        <w:t xml:space="preserve">. Pagrindinės skiepijimų programų vykdymo nuostatos: </w:t>
      </w:r>
    </w:p>
    <w:p w14:paraId="5904DB09" w14:textId="77777777" w:rsidR="00EE0A39" w:rsidRDefault="00381469">
      <w:pPr>
        <w:suppressAutoHyphens/>
        <w:spacing w:line="276" w:lineRule="auto"/>
        <w:ind w:firstLine="851"/>
        <w:jc w:val="both"/>
        <w:rPr>
          <w:color w:val="000000"/>
          <w:szCs w:val="24"/>
        </w:rPr>
      </w:pPr>
      <w:r w:rsidR="00D5119C">
        <w:rPr>
          <w:color w:val="000000"/>
          <w:szCs w:val="24"/>
        </w:rPr>
        <w:t>9.1</w:t>
      </w:r>
      <w:r w:rsidR="00D5119C">
        <w:rPr>
          <w:color w:val="000000"/>
          <w:szCs w:val="24"/>
        </w:rPr>
        <w:t xml:space="preserve">. kiekvienas ES pilietis turi gauti teisingą, mokslo įrodymais pagrįstą informaciją apie profilaktinius skiepijimus; </w:t>
      </w:r>
    </w:p>
    <w:p w14:paraId="2A53DC1C" w14:textId="77777777" w:rsidR="00EE0A39" w:rsidRDefault="00381469">
      <w:pPr>
        <w:suppressAutoHyphens/>
        <w:spacing w:line="276" w:lineRule="auto"/>
        <w:ind w:firstLine="851"/>
        <w:jc w:val="both"/>
        <w:rPr>
          <w:color w:val="000000"/>
          <w:szCs w:val="24"/>
        </w:rPr>
      </w:pPr>
      <w:r w:rsidR="00D5119C">
        <w:rPr>
          <w:color w:val="000000"/>
          <w:szCs w:val="24"/>
        </w:rPr>
        <w:t>9.2</w:t>
      </w:r>
      <w:r w:rsidR="00D5119C">
        <w:rPr>
          <w:color w:val="000000"/>
          <w:szCs w:val="24"/>
        </w:rPr>
        <w:t xml:space="preserve">. skiepijimo saugumas ir efektyvumas turi būti užtikrintas visuose skiepijimo proceso etapuose (asmens ir visuomenės sveikatos priežiūros specialistų kvalifikacija, vakcinų transportavimas ir saugojimas, nepageidaujamų reakcijų į skiepus, skiepijimo apimčių </w:t>
      </w:r>
      <w:proofErr w:type="spellStart"/>
      <w:r w:rsidR="00D5119C">
        <w:rPr>
          <w:color w:val="000000"/>
          <w:szCs w:val="24"/>
        </w:rPr>
        <w:t>stebėsena</w:t>
      </w:r>
      <w:proofErr w:type="spellEnd"/>
      <w:r w:rsidR="00D5119C">
        <w:rPr>
          <w:color w:val="000000"/>
          <w:szCs w:val="24"/>
        </w:rPr>
        <w:t xml:space="preserve"> ir </w:t>
      </w:r>
      <w:proofErr w:type="spellStart"/>
      <w:r w:rsidR="00D5119C">
        <w:rPr>
          <w:color w:val="000000"/>
          <w:szCs w:val="24"/>
        </w:rPr>
        <w:t>kt</w:t>
      </w:r>
      <w:proofErr w:type="spellEnd"/>
      <w:r w:rsidR="00D5119C">
        <w:rPr>
          <w:color w:val="000000"/>
          <w:szCs w:val="24"/>
        </w:rPr>
        <w:t>.).</w:t>
      </w:r>
    </w:p>
    <w:p w14:paraId="6E2FF0F7" w14:textId="77777777" w:rsidR="00EE0A39" w:rsidRDefault="00381469">
      <w:pPr>
        <w:keepLines/>
        <w:suppressAutoHyphens/>
        <w:spacing w:line="276" w:lineRule="auto"/>
        <w:jc w:val="center"/>
        <w:rPr>
          <w:color w:val="000000"/>
          <w:szCs w:val="24"/>
        </w:rPr>
      </w:pPr>
    </w:p>
    <w:p w14:paraId="403C28EB" w14:textId="77777777" w:rsidR="00EE0A39" w:rsidRDefault="00381469">
      <w:pPr>
        <w:keepLines/>
        <w:suppressAutoHyphens/>
        <w:spacing w:line="276" w:lineRule="auto"/>
        <w:jc w:val="center"/>
        <w:rPr>
          <w:b/>
          <w:bCs/>
          <w:caps/>
          <w:color w:val="000000"/>
          <w:szCs w:val="24"/>
        </w:rPr>
      </w:pPr>
      <w:r w:rsidR="00D5119C">
        <w:rPr>
          <w:b/>
          <w:bCs/>
          <w:caps/>
          <w:color w:val="000000"/>
          <w:szCs w:val="24"/>
        </w:rPr>
        <w:t>II</w:t>
      </w:r>
      <w:r w:rsidR="00D5119C">
        <w:rPr>
          <w:b/>
          <w:bCs/>
          <w:caps/>
          <w:color w:val="000000"/>
          <w:szCs w:val="24"/>
        </w:rPr>
        <w:t xml:space="preserve"> SKYRIUS</w:t>
      </w:r>
    </w:p>
    <w:p w14:paraId="5EFA9C81" w14:textId="77777777" w:rsidR="00EE0A39" w:rsidRDefault="00381469">
      <w:pPr>
        <w:keepLines/>
        <w:suppressAutoHyphens/>
        <w:spacing w:line="276" w:lineRule="auto"/>
        <w:jc w:val="center"/>
        <w:rPr>
          <w:b/>
          <w:bCs/>
          <w:caps/>
          <w:color w:val="000000"/>
          <w:szCs w:val="24"/>
        </w:rPr>
      </w:pPr>
      <w:r w:rsidR="00D5119C">
        <w:rPr>
          <w:b/>
          <w:bCs/>
          <w:caps/>
          <w:color w:val="000000"/>
          <w:szCs w:val="24"/>
        </w:rPr>
        <w:t>SITUACIJOS ANALIZĖ</w:t>
      </w:r>
    </w:p>
    <w:p w14:paraId="4F52F899" w14:textId="77777777" w:rsidR="00EE0A39" w:rsidRDefault="00EE0A39">
      <w:pPr>
        <w:suppressAutoHyphens/>
        <w:spacing w:line="276" w:lineRule="auto"/>
        <w:jc w:val="both"/>
        <w:rPr>
          <w:color w:val="000000"/>
          <w:szCs w:val="24"/>
        </w:rPr>
      </w:pPr>
    </w:p>
    <w:p w14:paraId="3D17E976" w14:textId="77777777" w:rsidR="00EE0A39" w:rsidRDefault="00381469">
      <w:pPr>
        <w:spacing w:line="276" w:lineRule="auto"/>
        <w:ind w:firstLine="851"/>
        <w:jc w:val="both"/>
        <w:rPr>
          <w:sz w:val="22"/>
          <w:szCs w:val="22"/>
        </w:rPr>
      </w:pPr>
      <w:r w:rsidR="00D5119C">
        <w:t>10</w:t>
      </w:r>
      <w:r w:rsidR="00D5119C">
        <w:t>. Sėkmingas ilgalaikių skiepijimų programų įgyvendinimas visame pasaulyje lėmė ženklų vakcinomis valdomų ligų sergamumo ir mirtingumo sumažėjimą. Didžiausi laimėjimai visuomenės sveikatos srityje – raupų išnaikinimas pasaulyje bei 2002 metais Europos regiono, kaip „laisvo“ nuo poliomielito sukėlėjo, sertifikavimas. Vykdant profilaktinius skiepijimus ir užkrečiamųjų ligų priežiūrą, 1993</w:t>
      </w:r>
      <w:r w:rsidR="00D5119C">
        <w:rPr>
          <w:color w:val="000000"/>
          <w:bdr w:val="none" w:sz="0" w:space="0" w:color="auto" w:frame="1"/>
        </w:rPr>
        <w:t>–</w:t>
      </w:r>
      <w:r w:rsidR="00D5119C">
        <w:t xml:space="preserve">2007 metais tymų atvejų Europos regione sumažėjo iki 90 proc., o iki 2010 metų siekta regione likviduoti tymus ir raudonukę. Nors Europos regiono valstybės narės padarė pažangą šioje srityje, iki numatyto termino tikslo įgyvendinti nepavyko, tad įgyvendinimo data buvo kelis kartus nukelta. </w:t>
      </w:r>
    </w:p>
    <w:p w14:paraId="59643293" w14:textId="77777777" w:rsidR="00EE0A39" w:rsidRDefault="00381469">
      <w:pPr>
        <w:tabs>
          <w:tab w:val="left" w:pos="284"/>
        </w:tabs>
        <w:spacing w:line="276" w:lineRule="auto"/>
        <w:ind w:firstLine="851"/>
        <w:jc w:val="both"/>
        <w:rPr>
          <w:szCs w:val="24"/>
        </w:rPr>
      </w:pPr>
      <w:r w:rsidR="00D5119C">
        <w:t>11</w:t>
      </w:r>
      <w:r w:rsidR="00D5119C">
        <w:t>. Didėjant mikroorganizmų atsparumui antimikrobiniams preparatams, vakcinacija pripažįstama kaip veiksminga priemonė ne tik kovojant su užkrečiamosiomis ligomis, jų komplikacijomis ir mirtimis, bet ir mažinant antibiotikų vartojimą bei mikroorganizmų atsparumą antimikrobiniams vaistams.</w:t>
      </w:r>
    </w:p>
    <w:p w14:paraId="73F52204" w14:textId="77777777" w:rsidR="00EE0A39" w:rsidRDefault="00381469">
      <w:pPr>
        <w:spacing w:line="276" w:lineRule="auto"/>
        <w:ind w:firstLine="851"/>
        <w:jc w:val="both"/>
      </w:pPr>
      <w:r w:rsidR="00D5119C">
        <w:t>12</w:t>
      </w:r>
      <w:r w:rsidR="00D5119C">
        <w:t>. Lietuvoje imunoprofilaktikos programa įgyvendinama nuo 1992 metų, per tą laiką keletą kartų keitėsi Lietuvos Respublikos vaikų profilaktinių skiepijimų kalendorius (toliau – skiepijimų kalendorius) dėl įtraukiamų naujų vakcinų. Įgyvendinant Nacionalinę imunoprofilaktikos 2014</w:t>
      </w:r>
      <w:r w:rsidR="00D5119C">
        <w:rPr>
          <w:color w:val="000000"/>
          <w:bdr w:val="none" w:sz="0" w:space="0" w:color="auto" w:frame="1"/>
        </w:rPr>
        <w:t>–</w:t>
      </w:r>
      <w:r w:rsidR="00D5119C">
        <w:t>2018 metų programą, pasiekti ypač geri rezultatai – įtrauktos naujos vakcinos bei naujos tikslinės rizikos grupės:</w:t>
      </w:r>
    </w:p>
    <w:p w14:paraId="1E26F3E2" w14:textId="77777777" w:rsidR="00EE0A39" w:rsidRDefault="00381469">
      <w:pPr>
        <w:spacing w:line="276" w:lineRule="auto"/>
        <w:ind w:firstLine="851"/>
        <w:jc w:val="both"/>
        <w:rPr>
          <w:bCs/>
        </w:rPr>
      </w:pPr>
      <w:r w:rsidR="00D5119C">
        <w:rPr>
          <w:bCs/>
        </w:rPr>
        <w:t>12.1</w:t>
      </w:r>
      <w:r w:rsidR="00D5119C">
        <w:rPr>
          <w:bCs/>
        </w:rPr>
        <w:t xml:space="preserve">. nuo 2014 m. spalio mėn. įtraukti skiepijimai nuo pneumokokinės infekcijos; </w:t>
      </w:r>
    </w:p>
    <w:p w14:paraId="5766E550" w14:textId="77777777" w:rsidR="00EE0A39" w:rsidRDefault="00381469">
      <w:pPr>
        <w:spacing w:line="276" w:lineRule="auto"/>
        <w:ind w:firstLine="851"/>
        <w:jc w:val="both"/>
        <w:rPr>
          <w:bCs/>
        </w:rPr>
      </w:pPr>
      <w:r w:rsidR="00D5119C">
        <w:rPr>
          <w:bCs/>
        </w:rPr>
        <w:t>12.2</w:t>
      </w:r>
      <w:r w:rsidR="00D5119C">
        <w:rPr>
          <w:bCs/>
        </w:rPr>
        <w:t>. nuo 2015 m. spalio mėn. nuo kokliušo skiepijami ir paaugliai;</w:t>
      </w:r>
    </w:p>
    <w:p w14:paraId="21782174" w14:textId="77777777" w:rsidR="00EE0A39" w:rsidRDefault="00381469">
      <w:pPr>
        <w:spacing w:line="276" w:lineRule="auto"/>
        <w:ind w:firstLine="851"/>
        <w:jc w:val="both"/>
        <w:rPr>
          <w:bCs/>
        </w:rPr>
      </w:pPr>
      <w:r w:rsidR="00D5119C">
        <w:t>12.3</w:t>
      </w:r>
      <w:r w:rsidR="00D5119C">
        <w:t xml:space="preserve">. nuo 2015 m. gruodžio mėn. skiepijami pneumokokinės infekcijos rizikos grupių asmenys; </w:t>
      </w:r>
    </w:p>
    <w:p w14:paraId="18A82E7E" w14:textId="77777777" w:rsidR="00EE0A39" w:rsidRDefault="00381469">
      <w:pPr>
        <w:spacing w:line="276" w:lineRule="auto"/>
        <w:ind w:firstLine="851"/>
        <w:jc w:val="both"/>
        <w:rPr>
          <w:bCs/>
        </w:rPr>
      </w:pPr>
      <w:r w:rsidR="00D5119C">
        <w:rPr>
          <w:bCs/>
        </w:rPr>
        <w:t>12.4</w:t>
      </w:r>
      <w:r w:rsidR="00D5119C">
        <w:rPr>
          <w:bCs/>
        </w:rPr>
        <w:t>. nuo 2016 m. rugsėjo mėn. 11 metų amžiaus mergaitės pradėtos skiepyti nuo žmogaus papilomos viruso infekcijos;</w:t>
      </w:r>
    </w:p>
    <w:p w14:paraId="070C58F7" w14:textId="77777777" w:rsidR="00EE0A39" w:rsidRDefault="00381469">
      <w:pPr>
        <w:spacing w:line="276" w:lineRule="auto"/>
        <w:ind w:firstLine="851"/>
        <w:jc w:val="both"/>
      </w:pPr>
      <w:r w:rsidR="00D5119C">
        <w:t>12.5</w:t>
      </w:r>
      <w:r w:rsidR="00D5119C">
        <w:t>. nuo 2018 m. liepos mėn. į skiepijimų kalendorių įtraukti kūdikių skiepijimai nuo B tipo meningokokinės infekcijos;</w:t>
      </w:r>
    </w:p>
    <w:p w14:paraId="7FBDB040" w14:textId="77777777" w:rsidR="00EE0A39" w:rsidRDefault="00381469">
      <w:pPr>
        <w:spacing w:line="276" w:lineRule="auto"/>
        <w:ind w:firstLine="851"/>
        <w:jc w:val="both"/>
      </w:pPr>
      <w:r w:rsidR="00D5119C">
        <w:t>12.6</w:t>
      </w:r>
      <w:r w:rsidR="00D5119C">
        <w:t xml:space="preserve">. nuo 2018 m. rugsėjo mėn. kūdikiai skiepijami nuo </w:t>
      </w:r>
      <w:proofErr w:type="spellStart"/>
      <w:r w:rsidR="00D5119C">
        <w:t>rotavirusinės</w:t>
      </w:r>
      <w:proofErr w:type="spellEnd"/>
      <w:r w:rsidR="00D5119C">
        <w:t xml:space="preserve"> infekcijos.</w:t>
      </w:r>
    </w:p>
    <w:p w14:paraId="2B1F941E" w14:textId="77777777" w:rsidR="00EE0A39" w:rsidRDefault="00381469">
      <w:pPr>
        <w:suppressAutoHyphens/>
        <w:spacing w:line="276" w:lineRule="auto"/>
        <w:ind w:firstLine="851"/>
        <w:jc w:val="both"/>
        <w:rPr>
          <w:color w:val="000000"/>
          <w:szCs w:val="24"/>
        </w:rPr>
      </w:pPr>
      <w:r w:rsidR="00D5119C">
        <w:rPr>
          <w:color w:val="000000"/>
          <w:szCs w:val="24"/>
        </w:rPr>
        <w:t>13</w:t>
      </w:r>
      <w:r w:rsidR="00D5119C">
        <w:rPr>
          <w:color w:val="000000"/>
          <w:szCs w:val="24"/>
        </w:rPr>
        <w:t xml:space="preserve">. Pagal Lietuvos Respublikos vaikų profilaktinių skiepijimų kalendorių, patvirtintą Lietuvos Respublikos sveikatos apsaugos ministro 2018 m. rugpjūčio 29 d. įsakymu Nr. V-955 „Dėl Lietuvos Respublikos vaikų profilaktinių skiepijimų kalendoriaus patvirtinimo“, naujagimiai, kūdikiai ir vaikai skiepijami valstybės lėšomis nuo tuberkuliozės, hepatito B, kokliušo, difterijos, stabligės, poliomielito, tymų, epideminio parotito, raudonukės, B tipo </w:t>
      </w:r>
      <w:proofErr w:type="spellStart"/>
      <w:r w:rsidR="00D5119C">
        <w:rPr>
          <w:i/>
          <w:color w:val="000000"/>
          <w:szCs w:val="24"/>
        </w:rPr>
        <w:t>Haemophilus</w:t>
      </w:r>
      <w:proofErr w:type="spellEnd"/>
      <w:r w:rsidR="00D5119C">
        <w:rPr>
          <w:i/>
          <w:color w:val="000000"/>
          <w:szCs w:val="24"/>
        </w:rPr>
        <w:t xml:space="preserve"> </w:t>
      </w:r>
      <w:proofErr w:type="spellStart"/>
      <w:r w:rsidR="00D5119C">
        <w:rPr>
          <w:i/>
          <w:color w:val="000000"/>
          <w:szCs w:val="24"/>
        </w:rPr>
        <w:t>influenzae</w:t>
      </w:r>
      <w:proofErr w:type="spellEnd"/>
      <w:r w:rsidR="00D5119C">
        <w:rPr>
          <w:color w:val="000000"/>
          <w:szCs w:val="24"/>
        </w:rPr>
        <w:t xml:space="preserve">, pneumokokinės, žmogaus papilomos viruso (tik mergaitės), </w:t>
      </w:r>
      <w:proofErr w:type="spellStart"/>
      <w:r w:rsidR="00D5119C">
        <w:rPr>
          <w:color w:val="000000"/>
          <w:szCs w:val="24"/>
        </w:rPr>
        <w:t>rotavirusinės</w:t>
      </w:r>
      <w:proofErr w:type="spellEnd"/>
      <w:r w:rsidR="00D5119C">
        <w:rPr>
          <w:color w:val="000000"/>
          <w:szCs w:val="24"/>
        </w:rPr>
        <w:t>, B tipo meningokokinės infekcijų. Traumas patyrę asmenys valstybės lėšomis vakcinuojami nuo stabligės (aktyvi imunizacija), nuo pasiutligės skiepijami asmenys, nukentėję nuo pasiutusių ar įtariamai pasiutusių gyvūnų. Nuo 2007 metų nuo gripo valstybės lėšomis skiepijami gripo rizikos grupėms priklausantys asmenys. Nuo 2009 metų</w:t>
      </w:r>
      <w:r w:rsidR="00D5119C">
        <w:rPr>
          <w:color w:val="000000"/>
          <w:sz w:val="20"/>
        </w:rPr>
        <w:t xml:space="preserve"> </w:t>
      </w:r>
      <w:r w:rsidR="00D5119C">
        <w:rPr>
          <w:color w:val="000000"/>
          <w:szCs w:val="24"/>
        </w:rPr>
        <w:t xml:space="preserve">vykdomi planiniai suaugusiųjų skiepijimai nuo </w:t>
      </w:r>
      <w:r w:rsidR="00D5119C">
        <w:rPr>
          <w:color w:val="000000"/>
          <w:spacing w:val="-4"/>
          <w:szCs w:val="24"/>
        </w:rPr>
        <w:t>difterijos ir stabligės. 2007</w:t>
      </w:r>
      <w:r w:rsidR="00D5119C">
        <w:rPr>
          <w:color w:val="000000"/>
          <w:spacing w:val="-4"/>
          <w:sz w:val="20"/>
          <w:bdr w:val="none" w:sz="0" w:space="0" w:color="auto" w:frame="1"/>
        </w:rPr>
        <w:t>–</w:t>
      </w:r>
      <w:r w:rsidR="00D5119C">
        <w:rPr>
          <w:color w:val="000000"/>
          <w:spacing w:val="-4"/>
          <w:szCs w:val="24"/>
        </w:rPr>
        <w:t xml:space="preserve">2011 metais įgyvendintas </w:t>
      </w:r>
      <w:proofErr w:type="spellStart"/>
      <w:r w:rsidR="00D5119C">
        <w:rPr>
          <w:color w:val="000000"/>
          <w:spacing w:val="-4"/>
          <w:szCs w:val="24"/>
        </w:rPr>
        <w:t>hemodializuojamų</w:t>
      </w:r>
      <w:proofErr w:type="spellEnd"/>
      <w:r w:rsidR="00D5119C">
        <w:rPr>
          <w:color w:val="000000"/>
          <w:spacing w:val="-4"/>
          <w:szCs w:val="24"/>
        </w:rPr>
        <w:t xml:space="preserve"> ligonių skiepijimas nuo hepatito</w:t>
      </w:r>
      <w:r w:rsidR="00D5119C">
        <w:rPr>
          <w:color w:val="000000"/>
          <w:szCs w:val="24"/>
        </w:rPr>
        <w:t xml:space="preserve"> B. </w:t>
      </w:r>
    </w:p>
    <w:p w14:paraId="758208F4" w14:textId="77777777" w:rsidR="00EE0A39" w:rsidRDefault="00381469">
      <w:pPr>
        <w:tabs>
          <w:tab w:val="left" w:pos="426"/>
        </w:tabs>
        <w:spacing w:line="276" w:lineRule="auto"/>
        <w:ind w:firstLine="851"/>
        <w:jc w:val="both"/>
        <w:rPr>
          <w:szCs w:val="24"/>
        </w:rPr>
      </w:pPr>
      <w:r w:rsidR="00D5119C">
        <w:t>14</w:t>
      </w:r>
      <w:r w:rsidR="00D5119C">
        <w:t xml:space="preserve">. Skiepijant pagal skiepijimų kalendorių iki 2009 metų buvo pasiektos pakankamai didelės skiepijimų aprėptys (94–99 proc. paskiepytų įvairiose amžiaus grupėse) (1 priedas), leidžiančios suvaldyti užkrečiamąsias ligas, nuo kurių skiepijama. Vėliau pastebėtas nežymus skiepijimo aprėpčių mažėjimas. Daugeliui užkrečiamųjų ligų dėl vakcinacijos tapus retomis, kyla abejonės tėvams, o kartais ir sveikatos priežiūros specialistams dėl skiepijimų reikalingumo ir skiepų naudos. Tai iš dalies lemia </w:t>
      </w:r>
      <w:proofErr w:type="spellStart"/>
      <w:r w:rsidR="00D5119C">
        <w:t>antivakcininių</w:t>
      </w:r>
      <w:proofErr w:type="spellEnd"/>
      <w:r w:rsidR="00D5119C">
        <w:t xml:space="preserve"> judėjimo grupių ar interneto svetainių, skatinančių visuomenės nepasitikėjimą vakcinacija, atsiradimą.</w:t>
      </w:r>
    </w:p>
    <w:p w14:paraId="189E727A" w14:textId="77777777" w:rsidR="00EE0A39" w:rsidRDefault="00381469">
      <w:pPr>
        <w:suppressAutoHyphens/>
        <w:spacing w:line="276" w:lineRule="auto"/>
        <w:ind w:firstLine="851"/>
        <w:jc w:val="both"/>
        <w:rPr>
          <w:color w:val="000000"/>
          <w:szCs w:val="24"/>
        </w:rPr>
      </w:pPr>
      <w:r w:rsidR="00D5119C">
        <w:rPr>
          <w:color w:val="000000"/>
          <w:szCs w:val="24"/>
        </w:rPr>
        <w:t>15</w:t>
      </w:r>
      <w:r w:rsidR="00D5119C">
        <w:rPr>
          <w:color w:val="000000"/>
          <w:szCs w:val="24"/>
        </w:rPr>
        <w:t xml:space="preserve">. Įgyvendinant ankstesnes imunoprofilaktikos programas pasiekta gerų rezultatų kontroliuojant skiepijimais valdomų užkrečiamųjų ligų sergamumą (2 priedas). </w:t>
      </w:r>
    </w:p>
    <w:p w14:paraId="119A7323" w14:textId="77777777" w:rsidR="00EE0A39" w:rsidRDefault="00381469">
      <w:pPr>
        <w:suppressAutoHyphens/>
        <w:spacing w:line="276" w:lineRule="auto"/>
        <w:ind w:firstLine="851"/>
        <w:jc w:val="both"/>
        <w:rPr>
          <w:color w:val="000000"/>
          <w:szCs w:val="24"/>
        </w:rPr>
      </w:pPr>
      <w:r w:rsidR="00D5119C">
        <w:rPr>
          <w:color w:val="000000"/>
          <w:szCs w:val="24"/>
        </w:rPr>
        <w:t>16</w:t>
      </w:r>
      <w:r w:rsidR="00D5119C">
        <w:rPr>
          <w:color w:val="000000"/>
          <w:szCs w:val="24"/>
        </w:rPr>
        <w:t xml:space="preserve">. Remiantis ES ir Lietuvoje galiojančiais teisės aktais, Europoje, o kartu ir Lietuvoje, funkcionuoja farmakologinio budrumo sistema. Farmakologinis budrumas </w:t>
      </w:r>
      <w:r w:rsidR="00D5119C">
        <w:rPr>
          <w:color w:val="000000"/>
          <w:sz w:val="20"/>
          <w:bdr w:val="none" w:sz="0" w:space="0" w:color="auto" w:frame="1"/>
        </w:rPr>
        <w:t>–</w:t>
      </w:r>
      <w:r w:rsidR="00D5119C">
        <w:rPr>
          <w:color w:val="000000"/>
          <w:szCs w:val="24"/>
        </w:rPr>
        <w:t xml:space="preserve"> tai veikla, skirta nepageidaujamoms reakcijoms į vaistą nustatyti, įvertinti ir stebėti bei perspėti apie galimą nepageidaujamą vaisto poveikį. Sveikatos priežiūros ar farmacijos specialistai apie įtariamą nepageidaujamą reakciją į imuninį vaistinį preparatą turi pranešti Valstybinei vaistų kontrolės tarnybai prie Lietuvos Respublikos sveikatos apsaugos ministerijos (toliau </w:t>
      </w:r>
      <w:r w:rsidR="00D5119C">
        <w:rPr>
          <w:color w:val="000000"/>
          <w:sz w:val="20"/>
          <w:bdr w:val="none" w:sz="0" w:space="0" w:color="auto" w:frame="1"/>
        </w:rPr>
        <w:t xml:space="preserve">– </w:t>
      </w:r>
      <w:r w:rsidR="00D5119C">
        <w:rPr>
          <w:color w:val="000000"/>
          <w:szCs w:val="24"/>
        </w:rPr>
        <w:t xml:space="preserve">VVKT) ir Užkrečiamųjų ligų ir AIDS centrui (toliau </w:t>
      </w:r>
      <w:r w:rsidR="00D5119C">
        <w:rPr>
          <w:color w:val="000000"/>
          <w:sz w:val="20"/>
          <w:bdr w:val="none" w:sz="0" w:space="0" w:color="auto" w:frame="1"/>
        </w:rPr>
        <w:t xml:space="preserve">– </w:t>
      </w:r>
      <w:r w:rsidR="00D5119C">
        <w:rPr>
          <w:color w:val="000000"/>
          <w:szCs w:val="24"/>
          <w:bdr w:val="none" w:sz="0" w:space="0" w:color="auto" w:frame="1"/>
        </w:rPr>
        <w:t>ULAC</w:t>
      </w:r>
      <w:r w:rsidR="00D5119C">
        <w:rPr>
          <w:color w:val="000000"/>
          <w:sz w:val="20"/>
          <w:bdr w:val="none" w:sz="0" w:space="0" w:color="auto" w:frame="1"/>
        </w:rPr>
        <w:t>)</w:t>
      </w:r>
      <w:r w:rsidR="00D5119C">
        <w:rPr>
          <w:color w:val="000000"/>
          <w:szCs w:val="24"/>
        </w:rPr>
        <w:t xml:space="preserve">. Registruojami ir pranešimai dėl nepageidaujamų reakcijų, pasireiškusių dėl netinkamo vaistinių preparatų vartojimo: per klaidą vartotas ne tas vaistinis preparatas, neteisingas vaistinio preparato paruošimas, klaidingas vartojimo būdas, klaidinga dozė. Nuo 2013 metų pacientai ar pacientų organizacijos taip pat gali VVKT pranešti apie nepageidaujamą reakciją į imuninį vaistinį preparatą. Kasmet ULAC registruojama 50–80 nepageidaujamų reakcijų į imuninius vaistinius preparatus. </w:t>
      </w:r>
    </w:p>
    <w:p w14:paraId="6D3FBDC2" w14:textId="77777777" w:rsidR="00EE0A39" w:rsidRDefault="00381469">
      <w:pPr>
        <w:suppressAutoHyphens/>
        <w:spacing w:line="276" w:lineRule="auto"/>
        <w:ind w:firstLine="851"/>
        <w:jc w:val="both"/>
        <w:rPr>
          <w:color w:val="000000"/>
          <w:szCs w:val="24"/>
        </w:rPr>
      </w:pPr>
      <w:r w:rsidR="00D5119C">
        <w:rPr>
          <w:color w:val="000000"/>
          <w:szCs w:val="24"/>
        </w:rPr>
        <w:t>17</w:t>
      </w:r>
      <w:r w:rsidR="00D5119C">
        <w:rPr>
          <w:color w:val="000000"/>
          <w:szCs w:val="24"/>
        </w:rPr>
        <w:t xml:space="preserve">. 2017 metais registruotas vienas mažiausių sergamumas kokliušu per pastaruosius dešimt metų (0,74 atvejai 100 tūkst. gyventojų). Didžiausi sergamumo kokliušu rodikliai 2017 metais registruoti tarp vaikų iki 4 metų amžiaus, dauguma susirgusiųjų – neskiepyti ar paskiepyti ne visomis vakcinos dozėmis (sergamumo rodiklis 4,7 atvejai 100 tūkst. gyventojų). Literatūros duomenimis, iki 80 proc. kūdikių kokliušu užsikrečia nuo šeimos narių. Kai kurios Europos šalys, siekdamos apsaugoti kūdikius nuo kokliušo, papildomą </w:t>
      </w:r>
      <w:proofErr w:type="spellStart"/>
      <w:r w:rsidR="00D5119C">
        <w:rPr>
          <w:color w:val="000000"/>
          <w:szCs w:val="24"/>
        </w:rPr>
        <w:t>revakcinaciją</w:t>
      </w:r>
      <w:proofErr w:type="spellEnd"/>
      <w:r w:rsidR="00D5119C">
        <w:rPr>
          <w:color w:val="000000"/>
          <w:szCs w:val="24"/>
        </w:rPr>
        <w:t xml:space="preserve"> kokliušo, difterijos ir stabligės vakcina rekomenduoja nėščiosioms ar jau susilaukusiems naujagimio šeimos nariams ir gimdyvei. </w:t>
      </w:r>
    </w:p>
    <w:p w14:paraId="415FB696" w14:textId="014A9ECB" w:rsidR="00EE0A39" w:rsidRDefault="00381469">
      <w:pPr>
        <w:tabs>
          <w:tab w:val="left" w:pos="284"/>
        </w:tabs>
        <w:spacing w:line="276" w:lineRule="auto"/>
        <w:ind w:firstLine="851"/>
        <w:jc w:val="both"/>
        <w:rPr>
          <w:color w:val="FF0000"/>
          <w:szCs w:val="24"/>
        </w:rPr>
      </w:pPr>
      <w:r w:rsidR="00D5119C">
        <w:t>18</w:t>
      </w:r>
      <w:r w:rsidR="00D5119C">
        <w:t xml:space="preserve">. 2017 metais Lietuvoje registruoti 2 tymų atvejai (sergamumo rodiklis – 0,07 atvejo 100 tūkst. gyventojų). 2017 metais pasaulyje užregistruota 137 860 tymų atvejų, o ES šalyse </w:t>
      </w:r>
      <w:r w:rsidR="00D5119C">
        <w:rPr>
          <w:color w:val="000000"/>
          <w:bdr w:val="none" w:sz="0" w:space="0" w:color="auto" w:frame="1"/>
        </w:rPr>
        <w:t>–</w:t>
      </w:r>
      <w:r w:rsidR="00D5119C">
        <w:t xml:space="preserve"> 14 451 tymų atvejis. </w:t>
      </w:r>
      <w:r w:rsidR="00D5119C">
        <w:rPr>
          <w:shd w:val="clear" w:color="auto" w:fill="FFFFFF"/>
        </w:rPr>
        <w:t xml:space="preserve">Europos regione didžiausi tymų protrūkiai užregistruoti Rumunijoje (5 560 atvejų), </w:t>
      </w:r>
      <w:r w:rsidR="00D5119C">
        <w:rPr>
          <w:shd w:val="clear" w:color="auto" w:fill="FFFFFF"/>
        </w:rPr>
        <w:lastRenderedPageBreak/>
        <w:t>Italijoje (5 004 atvejai), Graikijoje (967 atvejai) ir Vokietijoje (929 atvejai).</w:t>
      </w:r>
      <w:r w:rsidR="00D5119C">
        <w:rPr>
          <w:color w:val="303030"/>
          <w:shd w:val="clear" w:color="auto" w:fill="FFFFFF"/>
        </w:rPr>
        <w:t xml:space="preserve"> </w:t>
      </w:r>
      <w:r w:rsidR="00D5119C">
        <w:t>Didžiausias sergamumas tymais užregistruotas iki 1 metų amžiaus (367,2 atvejų 1000 tūkst. gyventojų) ir 1–4 metų amžiaus (161,7 atvejų 1000 tūkst. gyventojų)</w:t>
      </w:r>
      <w:r w:rsidR="00D5119C">
        <w:rPr>
          <w:color w:val="FF0000"/>
        </w:rPr>
        <w:t xml:space="preserve"> </w:t>
      </w:r>
      <w:r w:rsidR="00D5119C">
        <w:t xml:space="preserve">grupėse. Europos regione dauguma susirgusių tymais buvo neskiepyti (87 proc.). 8 proc. susirgusių tymais buvo skiepyti viena vakcinos doze, 3 proc. skiepyti 2 vakcinos dozėmis ir 1 proc. asmenų nežinojo savo skiepijimo būklės. </w:t>
      </w:r>
      <w:r w:rsidR="00D5119C">
        <w:rPr>
          <w:shd w:val="clear" w:color="auto" w:fill="FFFFFF"/>
        </w:rPr>
        <w:t>2016 metais pasaulyje nuo tymų mirė 89 780 asmenų,</w:t>
      </w:r>
      <w:r w:rsidR="00D5119C">
        <w:t xml:space="preserve"> daugiausia vaikai iki penkerių metų amžiaus.</w:t>
      </w:r>
      <w:r w:rsidR="00D5119C">
        <w:rPr>
          <w:color w:val="FF0000"/>
        </w:rPr>
        <w:t xml:space="preserve"> </w:t>
      </w:r>
      <w:r w:rsidR="00D5119C">
        <w:rPr>
          <w:shd w:val="clear" w:color="auto" w:fill="FFFFFF"/>
        </w:rPr>
        <w:t>ELPKC duomenimis, 2016</w:t>
      </w:r>
      <w:r w:rsidR="00D5119C">
        <w:t>–</w:t>
      </w:r>
      <w:r w:rsidR="00D5119C">
        <w:rPr>
          <w:shd w:val="clear" w:color="auto" w:fill="FFFFFF"/>
        </w:rPr>
        <w:t>2017 metais nuo tymų infekcijos Europos regione užregistruoti 49 mirties atvejai: 37 Rumunijoje, 4 Italijoje, 2 Graikijoje, po vieną – Jungtinėje Karalystėje, Bulgarijoje, Vokietijoje, Portugalijoje, Prancūzijoje ir Ispanijoje.</w:t>
      </w:r>
    </w:p>
    <w:p w14:paraId="0FEC5CC1" w14:textId="77777777" w:rsidR="00EE0A39" w:rsidRDefault="00D5119C">
      <w:pPr>
        <w:suppressAutoHyphens/>
        <w:spacing w:line="276" w:lineRule="auto"/>
        <w:ind w:firstLine="851"/>
        <w:jc w:val="both"/>
        <w:rPr>
          <w:szCs w:val="24"/>
          <w:shd w:val="clear" w:color="auto" w:fill="FFFFFF"/>
        </w:rPr>
      </w:pPr>
      <w:r>
        <w:rPr>
          <w:szCs w:val="24"/>
          <w:shd w:val="clear" w:color="auto" w:fill="FFFFFF"/>
        </w:rPr>
        <w:t xml:space="preserve">PSO Europos regioninės tymų ir raudonukės pašalinimo patvirtinimo komisija nustatė, kad  2017 metais tymus ir raudonukę pašalino 37 Europos regiono šalys, tarp jų ir Lietuva. Pagal PSO nustatytus kriterijus, Lietuva nutraukė endeminį tymų ir raudonukės plitimą ir pasiekė tymų ir raudonukės pašalinimo būklę, nes per paskutinius 36 mėn. Lietuvoje nebuvo užregistruotas nė vienas endeminis tymų ar raudonukės atvejis. </w:t>
      </w:r>
    </w:p>
    <w:p w14:paraId="79AF1DCB" w14:textId="77777777" w:rsidR="00EE0A39" w:rsidRDefault="00381469">
      <w:pPr>
        <w:tabs>
          <w:tab w:val="left" w:pos="284"/>
        </w:tabs>
        <w:suppressAutoHyphens/>
        <w:spacing w:line="276" w:lineRule="auto"/>
        <w:ind w:firstLine="851"/>
        <w:jc w:val="both"/>
        <w:rPr>
          <w:color w:val="000000"/>
          <w:szCs w:val="24"/>
        </w:rPr>
      </w:pPr>
      <w:r w:rsidR="00D5119C">
        <w:rPr>
          <w:color w:val="000000"/>
          <w:szCs w:val="24"/>
        </w:rPr>
        <w:t>19</w:t>
      </w:r>
      <w:r w:rsidR="00D5119C">
        <w:rPr>
          <w:color w:val="000000"/>
          <w:szCs w:val="24"/>
        </w:rPr>
        <w:t xml:space="preserve">. Pasaulyje vykdant ilgalaikį skiepijimą nuo poliomielito siekiama pašalinti susirgimus poliomielitu ir visiškai sustabdyti poliomielito viruso cirkuliaciją. Per pastaruosius 10 metų nuo Europos regiono, tarp jų ir Lietuvos, paskelbimo laisvu nuo poliomielito, Europos regione neužregistruota šio poliomielito viruso perdavimo atvejų. Tačiau kol viruso cirkuliacija pasaulyje nėra sustabdyta, dėl vakcinacijos apimčių mažėjimo regione ir šalyje išlieka įvežtinių poliomielito atvejų ir viruso plitimo rizika. </w:t>
      </w:r>
    </w:p>
    <w:p w14:paraId="4E16F21A" w14:textId="77777777" w:rsidR="00EE0A39" w:rsidRDefault="00D5119C">
      <w:pPr>
        <w:spacing w:line="276" w:lineRule="auto"/>
        <w:ind w:firstLine="851"/>
        <w:jc w:val="both"/>
        <w:rPr>
          <w:szCs w:val="24"/>
          <w:shd w:val="clear" w:color="auto" w:fill="FFFFFF"/>
        </w:rPr>
      </w:pPr>
      <w:r>
        <w:rPr>
          <w:shd w:val="clear" w:color="auto" w:fill="FFFFFF"/>
        </w:rPr>
        <w:t xml:space="preserve">PSO ir ELPKC duomenimis, 2017 metais pasaulyje užregistruoti 22 susirgimai (2016 metais </w:t>
      </w:r>
      <w:r>
        <w:rPr>
          <w:color w:val="000000"/>
          <w:bdr w:val="none" w:sz="0" w:space="0" w:color="auto" w:frame="1"/>
        </w:rPr>
        <w:t>–</w:t>
      </w:r>
      <w:r>
        <w:rPr>
          <w:shd w:val="clear" w:color="auto" w:fill="FFFFFF"/>
        </w:rPr>
        <w:t xml:space="preserve">  37), sukelti 1 tipo poliomielito viruso. Poliomielito atvejų užregistruota Afganistane (14 atvejų) ir Pakistane (8 atvejai).</w:t>
      </w:r>
    </w:p>
    <w:p w14:paraId="6152A4F0" w14:textId="77777777" w:rsidR="00EE0A39" w:rsidRDefault="00D5119C">
      <w:pPr>
        <w:spacing w:line="276" w:lineRule="auto"/>
        <w:ind w:firstLine="851"/>
        <w:jc w:val="both"/>
        <w:rPr>
          <w:shd w:val="clear" w:color="auto" w:fill="FFFFFF"/>
        </w:rPr>
      </w:pPr>
      <w:r>
        <w:rPr>
          <w:shd w:val="clear" w:color="auto" w:fill="FFFFFF"/>
        </w:rPr>
        <w:t>Europos 2015</w:t>
      </w:r>
      <w:r>
        <w:t>–</w:t>
      </w:r>
      <w:r>
        <w:rPr>
          <w:shd w:val="clear" w:color="auto" w:fill="FFFFFF"/>
        </w:rPr>
        <w:t xml:space="preserve">2020 metų vakcinacijos veiksmų plane valstybėms narėms nurodoma, kad norint išsaugoti laisvos nuo poliomielito šalies būklę, svarbu išlaikyti dideles </w:t>
      </w:r>
      <w:r>
        <w:t>skiepijimo aprėptis</w:t>
      </w:r>
      <w:r>
        <w:rPr>
          <w:shd w:val="clear" w:color="auto" w:fill="FFFFFF"/>
        </w:rPr>
        <w:t xml:space="preserve"> bei užtikrinti imigrantų bei keliautojų iš endeminių šalių bei vietinių gyventojų, vykstančių į endemines teritorijas, skiepijimus.</w:t>
      </w:r>
    </w:p>
    <w:p w14:paraId="3A8E6EB1" w14:textId="77777777" w:rsidR="00EE0A39" w:rsidRDefault="00381469">
      <w:pPr>
        <w:suppressAutoHyphens/>
        <w:spacing w:line="276" w:lineRule="auto"/>
        <w:ind w:firstLine="851"/>
        <w:jc w:val="both"/>
        <w:rPr>
          <w:color w:val="000000"/>
          <w:szCs w:val="24"/>
        </w:rPr>
      </w:pPr>
      <w:r w:rsidR="00D5119C">
        <w:rPr>
          <w:color w:val="000000"/>
          <w:szCs w:val="24"/>
        </w:rPr>
        <w:t>20</w:t>
      </w:r>
      <w:r w:rsidR="00D5119C">
        <w:rPr>
          <w:color w:val="000000"/>
          <w:szCs w:val="24"/>
        </w:rPr>
        <w:t>. PSO duomenimis, žmonių</w:t>
      </w:r>
      <w:r w:rsidR="00D5119C">
        <w:rPr>
          <w:b/>
          <w:color w:val="000000"/>
          <w:szCs w:val="24"/>
        </w:rPr>
        <w:t xml:space="preserve"> </w:t>
      </w:r>
      <w:r w:rsidR="00D5119C">
        <w:rPr>
          <w:color w:val="000000"/>
          <w:szCs w:val="24"/>
        </w:rPr>
        <w:t>pasiutligė vis dar aktuali problema pasaulyje, ypač Afrikos, Azijos ir Pietų Amerikos žemynuose. Europos regione žmonių</w:t>
      </w:r>
      <w:r w:rsidR="00D5119C">
        <w:rPr>
          <w:b/>
          <w:color w:val="000000"/>
          <w:szCs w:val="24"/>
        </w:rPr>
        <w:t xml:space="preserve"> </w:t>
      </w:r>
      <w:r w:rsidR="00D5119C">
        <w:rPr>
          <w:color w:val="000000"/>
          <w:szCs w:val="24"/>
        </w:rPr>
        <w:t xml:space="preserve">pasiutligės atvejų neužregistruojama. Didžiausi sergamumo rodikliai tarp suaugusiųjų ir vaikų registruojami Indijoje. Kasmet dėl pasiutligės visame pasaulyje miršta apie 59 tūkst. žmonių. </w:t>
      </w:r>
      <w:r w:rsidR="00D5119C">
        <w:rPr>
          <w:color w:val="000000"/>
        </w:rPr>
        <w:t xml:space="preserve">Lietuvoje kasmet užregistruojama apie 6 000 nukentėjusių nuo gyvūnų asmenų, kurie kreipiasi į asmens sveikatos priežiūros įstaigas, tačiau kasmet jų skaičius mažėja. </w:t>
      </w:r>
      <w:r w:rsidR="00D5119C">
        <w:rPr>
          <w:color w:val="000000"/>
          <w:szCs w:val="24"/>
        </w:rPr>
        <w:t xml:space="preserve">Valstybinė maisto ir veterinarijos tarnyba nuo 2006 metų sistemingai vykdė laukinių gyvūnų vakcinaciją nuo pasiutligės, todėl pastaraisiais metais Lietuvoje pasiutligės atvejų tarp gyvūnų nustatoma vis mažiau. 2014 metais pasiutligės atvejų tarp gyvūnų neužregistruota, 2015 metais nustatyti 2 atvejai Ignalinos rajone, 2016 ir 2017 metais pasiutligės atvejų tarp gyvūnų neužregistruota. </w:t>
      </w:r>
    </w:p>
    <w:p w14:paraId="05395E89" w14:textId="77777777" w:rsidR="00EE0A39" w:rsidRDefault="00381469">
      <w:pPr>
        <w:tabs>
          <w:tab w:val="left" w:pos="284"/>
        </w:tabs>
        <w:suppressAutoHyphens/>
        <w:spacing w:line="276" w:lineRule="auto"/>
        <w:ind w:firstLine="851"/>
        <w:jc w:val="both"/>
        <w:rPr>
          <w:color w:val="000000"/>
          <w:szCs w:val="24"/>
        </w:rPr>
      </w:pPr>
      <w:r w:rsidR="00D5119C">
        <w:rPr>
          <w:color w:val="000000"/>
          <w:szCs w:val="24"/>
        </w:rPr>
        <w:t>21</w:t>
      </w:r>
      <w:r w:rsidR="00D5119C">
        <w:rPr>
          <w:color w:val="000000"/>
          <w:szCs w:val="24"/>
        </w:rPr>
        <w:t>. Lietuvoje planiniai skiepijimai nuo difterijos pradėti nuo 1956 metų. Skiepijimų dėka labai sumažėjo sergamumas ir mirtingumas nuo difterijos. Difterijos vakcina sukuria antitoksinį, o ne antibakterinį specifinį imunitetą, todėl visuomenėje difterijos sukėlėjas ir toliau cirkuliuoja. Paskutiniai difterijos atvejai Lietuvoje registruoti 2008 metais (2 atvejai, iš jų 1 baigėsi mirtimi) ir 2011 metais (1 atvejis). Suaugusieji kas 10 metų valstybės lėšomis gali skiepytis nuo difterijos ir stabligės, tačiau suaugusiųjų skiepijimo aprėptys nėra pakankamos.</w:t>
      </w:r>
    </w:p>
    <w:p w14:paraId="04EC6645" w14:textId="26BA7411" w:rsidR="00EE0A39" w:rsidRDefault="00381469">
      <w:pPr>
        <w:suppressAutoHyphens/>
        <w:spacing w:line="276" w:lineRule="auto"/>
        <w:ind w:firstLine="851"/>
        <w:jc w:val="both"/>
        <w:rPr>
          <w:color w:val="000000"/>
          <w:szCs w:val="24"/>
        </w:rPr>
      </w:pPr>
      <w:r w:rsidR="00D5119C">
        <w:rPr>
          <w:color w:val="000000"/>
          <w:szCs w:val="24"/>
        </w:rPr>
        <w:t>22</w:t>
      </w:r>
      <w:r w:rsidR="00D5119C">
        <w:rPr>
          <w:color w:val="000000"/>
          <w:szCs w:val="24"/>
        </w:rPr>
        <w:t xml:space="preserve">. Per pastaruosius dešimt metų vidutiniškai užregistruojama po 2 stabligės atvejus per metus. Per pastaruosius 10 metų iš 17 užregistruotų ligos atvejų 7 baigėsi mirtimi (mirštamumas siekia iki 30 proc.). Sirgusių asmenų amžius svyravo nuo 37 iki 90 metų, tačiau daugumą susirgusių sudarė vyresni nei 60 metų neskiepyti asmenys. Lietuvoje suaugusieji nuo stabligės skiepijasi gana vangiai, dažniausiai atliekama </w:t>
      </w:r>
      <w:proofErr w:type="spellStart"/>
      <w:r w:rsidR="00D5119C">
        <w:rPr>
          <w:color w:val="000000"/>
          <w:szCs w:val="24"/>
        </w:rPr>
        <w:t>poekspozicinė</w:t>
      </w:r>
      <w:proofErr w:type="spellEnd"/>
      <w:r w:rsidR="00D5119C">
        <w:rPr>
          <w:color w:val="000000"/>
          <w:szCs w:val="24"/>
        </w:rPr>
        <w:t xml:space="preserve"> profilaktika po sužeidimo.</w:t>
      </w:r>
    </w:p>
    <w:p w14:paraId="7C1C16E4" w14:textId="5A036AFF" w:rsidR="00EE0A39" w:rsidRDefault="00381469">
      <w:pPr>
        <w:tabs>
          <w:tab w:val="left" w:pos="284"/>
        </w:tabs>
        <w:spacing w:line="276" w:lineRule="auto"/>
        <w:ind w:firstLine="851"/>
        <w:jc w:val="both"/>
        <w:rPr>
          <w:szCs w:val="24"/>
        </w:rPr>
      </w:pPr>
      <w:r w:rsidR="00D5119C">
        <w:t>23</w:t>
      </w:r>
      <w:r w:rsidR="00D5119C">
        <w:t xml:space="preserve">. PSO duomenimis, 250 milijonų žmonių serga lėtiniu hepatitu B, apie 780 tūkst. kasmet miršta nuo šios infekcijos ar jos komplikacijų. Europos regionas priklauso vidutinio </w:t>
      </w:r>
      <w:proofErr w:type="spellStart"/>
      <w:r w:rsidR="00D5119C">
        <w:t>endemiškumo</w:t>
      </w:r>
      <w:proofErr w:type="spellEnd"/>
      <w:r w:rsidR="00D5119C">
        <w:t xml:space="preserve"> zonai – hepatitu B yra užsikrėtę 1,6</w:t>
      </w:r>
      <w:r w:rsidR="00D5119C">
        <w:rPr>
          <w:color w:val="000000"/>
          <w:bdr w:val="none" w:sz="0" w:space="0" w:color="auto" w:frame="1"/>
        </w:rPr>
        <w:t>–</w:t>
      </w:r>
      <w:r w:rsidR="00D5119C">
        <w:t>3,3 proc. gyventojų. PSO ekspertų nuomone, oficialioji statistika neatspindi realios situacijos. Atliktų serologinių tyrimų duomenimis, faktinis susirgimų skaičius yra 6 kartus didesnis nei registruojama, nes 50</w:t>
      </w:r>
      <w:r w:rsidR="00D5119C">
        <w:rPr>
          <w:color w:val="000000"/>
          <w:bdr w:val="none" w:sz="0" w:space="0" w:color="auto" w:frame="1"/>
        </w:rPr>
        <w:t>–</w:t>
      </w:r>
      <w:r w:rsidR="00D5119C">
        <w:t xml:space="preserve">70 proc. atvejų infekcija pasireiškia </w:t>
      </w:r>
      <w:proofErr w:type="spellStart"/>
      <w:r w:rsidR="00D5119C">
        <w:t>besimptome</w:t>
      </w:r>
      <w:proofErr w:type="spellEnd"/>
      <w:r w:rsidR="00D5119C">
        <w:t xml:space="preserve"> forma.</w:t>
      </w:r>
    </w:p>
    <w:p w14:paraId="5CA72103" w14:textId="77777777" w:rsidR="00EE0A39" w:rsidRDefault="00D5119C">
      <w:pPr>
        <w:tabs>
          <w:tab w:val="left" w:pos="284"/>
        </w:tabs>
        <w:spacing w:line="276" w:lineRule="auto"/>
        <w:ind w:firstLine="851"/>
        <w:jc w:val="both"/>
      </w:pPr>
      <w:r>
        <w:t>Pasaulio sveikatos asamblėja jau 1992 metais rekomendavo šalims į nacionalines imunoprofilaktikos programas įtraukti skiepijimus nuo hepatito B, o 2016 metais patvirtino Pasaulio sveikatos sektoriaus 2016</w:t>
      </w:r>
      <w:r>
        <w:rPr>
          <w:color w:val="000000"/>
          <w:bdr w:val="none" w:sz="0" w:space="0" w:color="auto" w:frame="1"/>
        </w:rPr>
        <w:t>–</w:t>
      </w:r>
      <w:r>
        <w:t>2021 metų virusinio hepatito strategiją, kurios tikslas – iki 2030 metų eliminuoti virusinį hepatitą, kaip vieną didžiausių grėsmių visuomenės sveikatai. PSO rekomenduoja išlaikyti ne žemesnes kaip 90 proc. skiepijimo aprėptis trimis hepatito B vakcinos dozėmis. ELPKC atlikto tyrimo apie hepatito B prevenciją tarp ES šalių analizė parodė, jog padidėjus skiepijimo apimtims vienu proc., ūmaus virusinio hepatito B sergamumo rodiklis sumažėjo 10 proc.</w:t>
      </w:r>
    </w:p>
    <w:p w14:paraId="12AA576B" w14:textId="77777777" w:rsidR="00EE0A39" w:rsidRDefault="00D5119C">
      <w:pPr>
        <w:tabs>
          <w:tab w:val="left" w:pos="284"/>
        </w:tabs>
        <w:spacing w:line="276" w:lineRule="auto"/>
        <w:ind w:firstLine="851"/>
        <w:jc w:val="both"/>
      </w:pPr>
      <w:r>
        <w:t>Naujagimiai ir kūdikiai Lietuvoje pradėti skiepyti nuo hepatito B infekcijos 1998 metais, o  2002–2010 metais vykdyti išlyginamieji 12 metų amžiaus vaikų skiepijimai. 1998 metais Lietuvos gyventojų sergamumo hepatitu B rodiklis buvo 12,6 atvejų 100 tūkst. gyventojų, o 2017 metais – 0,5 atvejo 100 tūkst. gyventojų. 2017 metais didžiausias sergamumas ūminiu virusiniu hepatitu B buvo tarp 25–44 metų amžiaus grupės asmenų (sergamumo rodiklis – 0,97 atvejo 100 tūkst. gyventojų), šios amžiaus grupės sergantys asmenys sudarė 50 proc. visų sergančiųjų. Lietuvoje kasmet pasiekiamos aukštos naujagimių ir kūdikių skiepijimo nuo hepatito B aprėptys, tai ir yra viena iš pagrindinių sergamumo hepatitu B mažėjimo priežasčių Lietuvoje.</w:t>
      </w:r>
    </w:p>
    <w:p w14:paraId="2BE869DB" w14:textId="77777777" w:rsidR="00EE0A39" w:rsidRDefault="00D5119C">
      <w:pPr>
        <w:tabs>
          <w:tab w:val="left" w:pos="284"/>
          <w:tab w:val="left" w:pos="2552"/>
        </w:tabs>
        <w:spacing w:line="276" w:lineRule="auto"/>
        <w:ind w:firstLine="851"/>
        <w:jc w:val="both"/>
      </w:pPr>
      <w:r>
        <w:rPr>
          <w:rFonts w:eastAsia="SimSun"/>
          <w:lang w:eastAsia="zh-CN"/>
        </w:rPr>
        <w:t xml:space="preserve">Vadovaujantis 2010 m. gegužės 10 d. Tarybos Direktyva 2010/32/ES, kuria įgyvendinamas Europos ligoninių ir sveikatos priežiūros įstaigų asociacijos ir Europos viešųjų paslaugų profesinių sąjungų federacijos bendrasis susitarimas dėl </w:t>
      </w:r>
      <w:proofErr w:type="spellStart"/>
      <w:r>
        <w:rPr>
          <w:rFonts w:eastAsia="SimSun"/>
          <w:lang w:eastAsia="zh-CN"/>
        </w:rPr>
        <w:t>su(si)žeidimų</w:t>
      </w:r>
      <w:proofErr w:type="spellEnd"/>
      <w:r>
        <w:rPr>
          <w:rFonts w:eastAsia="SimSun"/>
          <w:lang w:eastAsia="zh-CN"/>
        </w:rPr>
        <w:t xml:space="preserve"> aštriais instrumentais prevencijos ligoninių ir sveikatos priežiūros sektoriuje </w:t>
      </w:r>
      <w:r>
        <w:t>(OL 2010 L 134, p. 66)</w:t>
      </w:r>
      <w:r>
        <w:rPr>
          <w:rFonts w:eastAsia="SimSun"/>
          <w:lang w:eastAsia="zh-CN"/>
        </w:rPr>
        <w:t xml:space="preserve">, </w:t>
      </w:r>
      <w:r>
        <w:t>2014 metais nuo hepatito B buvo skiepijami medicinos studentai, kurie anksčiau nebuvo skiepyti nuo šios ligos.</w:t>
      </w:r>
    </w:p>
    <w:p w14:paraId="0E31C310" w14:textId="77777777" w:rsidR="00EE0A39" w:rsidRDefault="00381469">
      <w:pPr>
        <w:tabs>
          <w:tab w:val="left" w:pos="426"/>
        </w:tabs>
        <w:spacing w:line="276" w:lineRule="auto"/>
        <w:ind w:firstLine="851"/>
        <w:jc w:val="both"/>
      </w:pPr>
      <w:r w:rsidR="00D5119C">
        <w:t>24</w:t>
      </w:r>
      <w:r w:rsidR="00D5119C">
        <w:t xml:space="preserve">. </w:t>
      </w:r>
      <w:proofErr w:type="spellStart"/>
      <w:r w:rsidR="00D5119C">
        <w:t>Rotavirusinis</w:t>
      </w:r>
      <w:proofErr w:type="spellEnd"/>
      <w:r w:rsidR="00D5119C">
        <w:t xml:space="preserve"> enteritas – itin užkrečiama </w:t>
      </w:r>
      <w:proofErr w:type="spellStart"/>
      <w:r w:rsidR="00D5119C">
        <w:t>rotavirusų</w:t>
      </w:r>
      <w:proofErr w:type="spellEnd"/>
      <w:r w:rsidR="00D5119C">
        <w:t xml:space="preserve"> sukelta žarnyno infekcija, pasireiškianti vėmimu, karščiavimu, gausiu vandeningu viduriavimu, bendra organizmo intoksikacija. </w:t>
      </w:r>
      <w:proofErr w:type="spellStart"/>
      <w:r w:rsidR="00D5119C">
        <w:t>Rotavirusinė</w:t>
      </w:r>
      <w:proofErr w:type="spellEnd"/>
      <w:r w:rsidR="00D5119C">
        <w:t xml:space="preserve"> infekcija yra viena iš dažniausių kūdikių ir mažų vaikų viduriavimo bei hospitalizavimo priežasčių. Dažniausiai </w:t>
      </w:r>
      <w:proofErr w:type="spellStart"/>
      <w:r w:rsidR="00D5119C">
        <w:t>rotavirusų</w:t>
      </w:r>
      <w:proofErr w:type="spellEnd"/>
      <w:r w:rsidR="00D5119C">
        <w:t xml:space="preserve"> sukelta infekcija serga jaunesni nei 5 metų amžiaus vaikai. Sunkiausiomis ligos formomis pirmą kartą serga 3–35 mėnesių kūdikiai ir vaikai. Vyresni vaikai ir suaugę asmenys gali sirgti ir pakartotinai, tačiau lengvesnėmis formomis arba be klinikinių ligos požymių. </w:t>
      </w:r>
      <w:proofErr w:type="spellStart"/>
      <w:r w:rsidR="00D5119C">
        <w:t>Rotavirusinė</w:t>
      </w:r>
      <w:proofErr w:type="spellEnd"/>
      <w:r w:rsidR="00D5119C">
        <w:t xml:space="preserve"> infekcija yra lengvai plintanti užkrečiamoji liga, todėl dažni šeiminiai ligos protrūkiai. Lietuvoje didžiausi sergamumo </w:t>
      </w:r>
      <w:proofErr w:type="spellStart"/>
      <w:r w:rsidR="00D5119C">
        <w:t>rotavirusine</w:t>
      </w:r>
      <w:proofErr w:type="spellEnd"/>
      <w:r w:rsidR="00D5119C">
        <w:t xml:space="preserve"> infekcija rodikliai yra vaikų iki 3 metų amžiaus grupėje (2017 metais sergamumo rodiklis buvo 2263,7 atvejo 100 tūkst. gyventojų), vyresni vaikai ir suaugusieji serga rečiau arba yra </w:t>
      </w:r>
      <w:proofErr w:type="spellStart"/>
      <w:r w:rsidR="00D5119C">
        <w:t>besimptomiai</w:t>
      </w:r>
      <w:proofErr w:type="spellEnd"/>
      <w:r w:rsidR="00D5119C">
        <w:t xml:space="preserve"> infekcijos nešiotojai. </w:t>
      </w:r>
      <w:proofErr w:type="spellStart"/>
      <w:r w:rsidR="00D5119C">
        <w:lastRenderedPageBreak/>
        <w:t>Rotavirusinės</w:t>
      </w:r>
      <w:proofErr w:type="spellEnd"/>
      <w:r w:rsidR="00D5119C">
        <w:t xml:space="preserve"> infekcijos diagnostika Lietuvoje pradėta 1996 metais, o privaloma šios ligos epidemiologinė priežiūra – 1998 metais. Lietuvoje 1998–2017 metais stebima sergamumo </w:t>
      </w:r>
      <w:proofErr w:type="spellStart"/>
      <w:r w:rsidR="00D5119C">
        <w:t>rotavirusiniu</w:t>
      </w:r>
      <w:proofErr w:type="spellEnd"/>
      <w:r w:rsidR="00D5119C">
        <w:t xml:space="preserve"> enteritu didėjimo tendencija, atitinkamai nuo 9,5 atvejo 100 tūkst. gyventojų iki 137,9 atvejo 100 tūkst. gyventojų. Kasmet vidutiniškai registruojama 3500 </w:t>
      </w:r>
      <w:proofErr w:type="spellStart"/>
      <w:r w:rsidR="00D5119C">
        <w:t>rotavirusinio</w:t>
      </w:r>
      <w:proofErr w:type="spellEnd"/>
      <w:r w:rsidR="00D5119C">
        <w:t xml:space="preserve"> enterito atvejų, iš jų apie 97 proc. hospitalizuojami. 2010 ir 2015 metais buvo registruota po vieną  mirties nuo </w:t>
      </w:r>
      <w:proofErr w:type="spellStart"/>
      <w:r w:rsidR="00D5119C">
        <w:t>rotavirusinės</w:t>
      </w:r>
      <w:proofErr w:type="spellEnd"/>
      <w:r w:rsidR="00D5119C">
        <w:t xml:space="preserve"> infekcijos atvejį.</w:t>
      </w:r>
    </w:p>
    <w:p w14:paraId="261501C0" w14:textId="77777777" w:rsidR="00EE0A39" w:rsidRDefault="00D5119C">
      <w:pPr>
        <w:tabs>
          <w:tab w:val="left" w:pos="426"/>
        </w:tabs>
        <w:spacing w:line="276" w:lineRule="auto"/>
        <w:ind w:firstLine="851"/>
        <w:jc w:val="both"/>
      </w:pPr>
      <w:r>
        <w:t xml:space="preserve">2009 metais PSO rekomendavo į nacionalines skiepijimo programas įsitraukti skiepijimus nuo </w:t>
      </w:r>
      <w:proofErr w:type="spellStart"/>
      <w:r>
        <w:t>rotavirusinės</w:t>
      </w:r>
      <w:proofErr w:type="spellEnd"/>
      <w:r>
        <w:t xml:space="preserve"> infekcijos. </w:t>
      </w:r>
      <w:proofErr w:type="spellStart"/>
      <w:r>
        <w:t>Rotavirusinės</w:t>
      </w:r>
      <w:proofErr w:type="spellEnd"/>
      <w:r>
        <w:t xml:space="preserve"> infekcijos vakcinos suteikia 95 proc. apsaugą nuo sunkių </w:t>
      </w:r>
      <w:proofErr w:type="spellStart"/>
      <w:r>
        <w:t>rotavirusinės</w:t>
      </w:r>
      <w:proofErr w:type="spellEnd"/>
      <w:r>
        <w:t xml:space="preserve"> infekcijos ligos formų. Nors skiepijimų įtaka sergamumui gali skirtis dėl cirkuliuojančių virusų </w:t>
      </w:r>
      <w:proofErr w:type="spellStart"/>
      <w:r>
        <w:t>serotipų</w:t>
      </w:r>
      <w:proofErr w:type="spellEnd"/>
      <w:r>
        <w:t>, atliktų tyrimų rezultatų duomenimis, vakcinacija efektyviai apsaugo nuo sunkių infekcijos formų pirmuosius dvejus gyvenimo metus iki 85 proc.</w:t>
      </w:r>
    </w:p>
    <w:p w14:paraId="0EF0DA6D" w14:textId="77777777" w:rsidR="00EE0A39" w:rsidRDefault="00D5119C">
      <w:pPr>
        <w:tabs>
          <w:tab w:val="left" w:pos="567"/>
        </w:tabs>
        <w:spacing w:line="276" w:lineRule="auto"/>
        <w:ind w:firstLine="851"/>
        <w:jc w:val="both"/>
      </w:pPr>
      <w:proofErr w:type="spellStart"/>
      <w:r>
        <w:t>Rotavirusinė</w:t>
      </w:r>
      <w:proofErr w:type="spellEnd"/>
      <w:r>
        <w:t xml:space="preserve"> infekcija yra aktuali problema ne tik sveikatos priežiūros, bet ir socialiniu požiūriu, dėl didelio sergamumo bei ekonominių nuostolių, kuriuos lemia dažni apsilankymai pas gydytojus, </w:t>
      </w:r>
      <w:proofErr w:type="spellStart"/>
      <w:r>
        <w:t>hospitalizacija</w:t>
      </w:r>
      <w:proofErr w:type="spellEnd"/>
      <w:r>
        <w:t xml:space="preserve"> ir sergančių vaikų tėvų (globėjų) laikinas nedarbingumas. Be to, ši infekcija yra viena iš dažniausių hospitalinių infekcijų sveikatos priežiūros įstaigose. </w:t>
      </w:r>
    </w:p>
    <w:p w14:paraId="48F83980" w14:textId="77777777" w:rsidR="00EE0A39" w:rsidRDefault="00381469">
      <w:pPr>
        <w:suppressAutoHyphens/>
        <w:spacing w:line="276" w:lineRule="auto"/>
        <w:ind w:firstLine="851"/>
        <w:jc w:val="both"/>
        <w:rPr>
          <w:color w:val="000000"/>
          <w:szCs w:val="24"/>
        </w:rPr>
      </w:pPr>
      <w:r w:rsidR="00D5119C">
        <w:rPr>
          <w:color w:val="000000"/>
          <w:szCs w:val="24"/>
        </w:rPr>
        <w:t>25</w:t>
      </w:r>
      <w:r w:rsidR="00D5119C">
        <w:rPr>
          <w:color w:val="000000"/>
          <w:szCs w:val="24"/>
        </w:rPr>
        <w:t>. Pagal socialinius ir ekonominius nuostolius gripas ir kitos ūminės viršutinių kvėpavimo takų infekcijos pirmauja tarp visų užkrečiamųjų ligų. Kasmet pasaulyje gripu suserga apie 5</w:t>
      </w:r>
      <w:r w:rsidR="00D5119C">
        <w:rPr>
          <w:color w:val="000000"/>
          <w:sz w:val="20"/>
        </w:rPr>
        <w:t>–</w:t>
      </w:r>
      <w:r w:rsidR="00D5119C">
        <w:rPr>
          <w:color w:val="000000"/>
          <w:szCs w:val="24"/>
        </w:rPr>
        <w:t xml:space="preserve">10 </w:t>
      </w:r>
      <w:r w:rsidR="00D5119C">
        <w:rPr>
          <w:color w:val="000000"/>
          <w:szCs w:val="24"/>
          <w:lang w:val="en-US"/>
        </w:rPr>
        <w:t xml:space="preserve">proc. </w:t>
      </w:r>
      <w:proofErr w:type="spellStart"/>
      <w:r w:rsidR="00D5119C">
        <w:rPr>
          <w:color w:val="000000"/>
          <w:szCs w:val="24"/>
          <w:lang w:val="en-US"/>
        </w:rPr>
        <w:t>suaugusiųjų</w:t>
      </w:r>
      <w:proofErr w:type="spellEnd"/>
      <w:r w:rsidR="00D5119C">
        <w:rPr>
          <w:color w:val="000000"/>
          <w:szCs w:val="24"/>
          <w:lang w:val="en-US"/>
        </w:rPr>
        <w:t xml:space="preserve"> </w:t>
      </w:r>
      <w:proofErr w:type="spellStart"/>
      <w:r w:rsidR="00D5119C">
        <w:rPr>
          <w:color w:val="000000"/>
          <w:szCs w:val="24"/>
          <w:lang w:val="en-US"/>
        </w:rPr>
        <w:t>ir</w:t>
      </w:r>
      <w:proofErr w:type="spellEnd"/>
      <w:r w:rsidR="00D5119C">
        <w:rPr>
          <w:color w:val="000000"/>
          <w:szCs w:val="24"/>
        </w:rPr>
        <w:t xml:space="preserve"> 20</w:t>
      </w:r>
      <w:r w:rsidR="00D5119C">
        <w:rPr>
          <w:color w:val="000000"/>
          <w:sz w:val="20"/>
        </w:rPr>
        <w:t>–</w:t>
      </w:r>
      <w:r w:rsidR="00D5119C">
        <w:rPr>
          <w:color w:val="000000"/>
          <w:szCs w:val="24"/>
        </w:rPr>
        <w:t xml:space="preserve">30 </w:t>
      </w:r>
      <w:r w:rsidR="00D5119C">
        <w:rPr>
          <w:color w:val="000000"/>
          <w:szCs w:val="24"/>
          <w:lang w:val="en-US"/>
        </w:rPr>
        <w:t xml:space="preserve">proc. </w:t>
      </w:r>
      <w:proofErr w:type="spellStart"/>
      <w:r w:rsidR="00D5119C">
        <w:rPr>
          <w:color w:val="000000"/>
          <w:szCs w:val="24"/>
          <w:lang w:val="en-US"/>
        </w:rPr>
        <w:t>vaik</w:t>
      </w:r>
      <w:proofErr w:type="spellEnd"/>
      <w:r w:rsidR="00D5119C">
        <w:rPr>
          <w:color w:val="000000"/>
          <w:szCs w:val="24"/>
        </w:rPr>
        <w:t>ų. PSO, Europos Komisija, ELPKC akcentuoja, kad ypač svarbu didinti rizikos grupių skiepijimo nuo gripo aprėptis. Nuo 2007 metų pradėjus valstybės lėšomis skiepyti rizikos grupių asmenis, 65 metų ir vyresnių asmenų skiepijimo nuo gripo aprėptys Lietuvoje padidėjo nuo 12,5 proc. (2007</w:t>
      </w:r>
      <w:r w:rsidR="00D5119C">
        <w:rPr>
          <w:color w:val="000000"/>
          <w:sz w:val="20"/>
        </w:rPr>
        <w:t>–</w:t>
      </w:r>
      <w:r w:rsidR="00D5119C">
        <w:rPr>
          <w:color w:val="000000"/>
          <w:szCs w:val="24"/>
        </w:rPr>
        <w:t>2008 metų gripo sezonas) iki 24,1 proc. (2016</w:t>
      </w:r>
      <w:r w:rsidR="00D5119C">
        <w:rPr>
          <w:color w:val="000000"/>
          <w:sz w:val="20"/>
        </w:rPr>
        <w:t>–</w:t>
      </w:r>
      <w:r w:rsidR="00D5119C">
        <w:rPr>
          <w:color w:val="000000"/>
          <w:szCs w:val="24"/>
        </w:rPr>
        <w:t xml:space="preserve">2017 metų gripo sezonas). Tuo tarpu PSO rekomenduoja, kad kiekvieno gripo sezono metu būtų paskiepijama ne mažiau kaip 75 proc. 65 metų ir vyresnio amžiaus žmonių, taip pat ir tų, kurie serga lėtinėmis ligomis, nepaisant jų amžiaus. </w:t>
      </w:r>
    </w:p>
    <w:p w14:paraId="75C2BC49" w14:textId="77777777" w:rsidR="00EE0A39" w:rsidRDefault="00D5119C">
      <w:pPr>
        <w:tabs>
          <w:tab w:val="left" w:pos="567"/>
        </w:tabs>
        <w:suppressAutoHyphens/>
        <w:spacing w:line="276" w:lineRule="auto"/>
        <w:ind w:firstLine="851"/>
        <w:jc w:val="both"/>
        <w:rPr>
          <w:color w:val="000000"/>
          <w:szCs w:val="24"/>
        </w:rPr>
      </w:pPr>
      <w:r>
        <w:rPr>
          <w:color w:val="000000"/>
          <w:szCs w:val="24"/>
        </w:rPr>
        <w:t>PSO nėščiąsias išskiria kaip prioritetinę rizikos grupę, nors šios grupės skiepijimo aprėptys yra mažiausios. Nuo 2011 metų Lietuvoje pradėjus valstybės lėšomis skiepyti nėščiąsias, besiskiepijančių padaugėjo nuo 0,05 proc. (2011</w:t>
      </w:r>
      <w:r>
        <w:rPr>
          <w:color w:val="000000"/>
          <w:sz w:val="20"/>
        </w:rPr>
        <w:t>–</w:t>
      </w:r>
      <w:r>
        <w:rPr>
          <w:color w:val="000000"/>
          <w:szCs w:val="24"/>
        </w:rPr>
        <w:t>2012 metų gripo sezonas) iki 2,2 proc. (2017</w:t>
      </w:r>
      <w:r>
        <w:rPr>
          <w:color w:val="000000"/>
          <w:sz w:val="20"/>
        </w:rPr>
        <w:t>–</w:t>
      </w:r>
      <w:r>
        <w:rPr>
          <w:color w:val="000000"/>
          <w:szCs w:val="24"/>
        </w:rPr>
        <w:t xml:space="preserve">2018 metų gripo sezonas). Nėščiųjų skiepijimo aprėpčių didėjimui įtakos turėjo PSO inicijuota šviečiamoji programa tarp nėščiųjų ir sveikatos priežiūros specialistų. </w:t>
      </w:r>
    </w:p>
    <w:p w14:paraId="4ABE4616" w14:textId="77777777" w:rsidR="00EE0A39" w:rsidRDefault="00D5119C">
      <w:pPr>
        <w:tabs>
          <w:tab w:val="left" w:pos="567"/>
        </w:tabs>
        <w:suppressAutoHyphens/>
        <w:spacing w:line="276" w:lineRule="auto"/>
        <w:ind w:firstLine="851"/>
        <w:jc w:val="both"/>
        <w:rPr>
          <w:color w:val="000000"/>
          <w:szCs w:val="24"/>
        </w:rPr>
      </w:pPr>
      <w:r>
        <w:rPr>
          <w:color w:val="000000"/>
          <w:szCs w:val="24"/>
        </w:rPr>
        <w:t>Visos Lietuvos gyventojų populiacijos skiepijimo aprėptys siekia 7</w:t>
      </w:r>
      <w:r>
        <w:rPr>
          <w:color w:val="000000"/>
          <w:sz w:val="20"/>
        </w:rPr>
        <w:t>–</w:t>
      </w:r>
      <w:r>
        <w:rPr>
          <w:color w:val="000000"/>
          <w:szCs w:val="24"/>
        </w:rPr>
        <w:t xml:space="preserve">8 proc. </w:t>
      </w:r>
      <w:r>
        <w:rPr>
          <w:color w:val="000000"/>
          <w:szCs w:val="24"/>
          <w:lang w:eastAsia="ja-JP"/>
        </w:rPr>
        <w:t>Viena iš nepakankamų skiepijimo nuo gripo aprėpčių priežasčių – klaidingas ir neigiamas sveikatos priežiūros darbuotojų požiūris į skiepus.</w:t>
      </w:r>
      <w:r>
        <w:rPr>
          <w:color w:val="000000"/>
          <w:szCs w:val="24"/>
        </w:rPr>
        <w:t xml:space="preserve"> </w:t>
      </w:r>
    </w:p>
    <w:p w14:paraId="0093A6B8" w14:textId="77777777" w:rsidR="00EE0A39" w:rsidRDefault="00381469">
      <w:pPr>
        <w:suppressAutoHyphens/>
        <w:spacing w:line="276" w:lineRule="auto"/>
        <w:ind w:firstLine="851"/>
        <w:jc w:val="both"/>
        <w:rPr>
          <w:color w:val="000000"/>
          <w:szCs w:val="24"/>
        </w:rPr>
      </w:pPr>
      <w:r w:rsidR="00D5119C">
        <w:rPr>
          <w:color w:val="000000"/>
          <w:szCs w:val="24"/>
        </w:rPr>
        <w:t>26</w:t>
      </w:r>
      <w:r w:rsidR="00D5119C">
        <w:rPr>
          <w:color w:val="000000"/>
          <w:szCs w:val="24"/>
        </w:rPr>
        <w:t xml:space="preserve">. ELPKC duomenimis, invazine meningokokine infekcija dažniausiai serga kūdikiai ir vaikai iki 5 metų amžiaus. ES sergamumo invazine meningokokine infekcija rodiklis svyruoja nuo 0,1 iki 2,4 atvejų 100 tūkst. gyventojų. ES, kaip ir Lietuvoje, vyraujantis yra </w:t>
      </w:r>
      <w:proofErr w:type="spellStart"/>
      <w:r w:rsidR="00D5119C">
        <w:rPr>
          <w:color w:val="000000"/>
          <w:szCs w:val="24"/>
        </w:rPr>
        <w:t>meningokokų</w:t>
      </w:r>
      <w:proofErr w:type="spellEnd"/>
      <w:r w:rsidR="00D5119C">
        <w:rPr>
          <w:color w:val="000000"/>
          <w:szCs w:val="24"/>
        </w:rPr>
        <w:t xml:space="preserve"> B tipas. </w:t>
      </w:r>
    </w:p>
    <w:p w14:paraId="3B6F8376" w14:textId="77777777" w:rsidR="00EE0A39" w:rsidRDefault="00D5119C">
      <w:pPr>
        <w:suppressAutoHyphens/>
        <w:spacing w:line="276" w:lineRule="auto"/>
        <w:ind w:firstLine="851"/>
        <w:jc w:val="both"/>
        <w:rPr>
          <w:color w:val="000000"/>
          <w:szCs w:val="24"/>
        </w:rPr>
      </w:pPr>
      <w:r>
        <w:rPr>
          <w:color w:val="000000"/>
          <w:szCs w:val="24"/>
        </w:rPr>
        <w:t xml:space="preserve">Lietuvoje sergamumas invazine meningokokine infekcija yra didesnis nei vidutinis ES sergamumo rodiklis bei daugelio kitų šalių sergamumo rodiklius. Lietuvoje 2017 metais buvo užregistruotas 81 invazinės meningokokinės infekcijos atvejis (sergamumo rodiklis – 2,9 atvejų 100 tūkst. gyventojų), iš jų </w:t>
      </w:r>
      <w:r>
        <w:rPr>
          <w:color w:val="000000"/>
          <w:sz w:val="20"/>
        </w:rPr>
        <w:t>–</w:t>
      </w:r>
      <w:r>
        <w:rPr>
          <w:color w:val="000000"/>
          <w:szCs w:val="24"/>
        </w:rPr>
        <w:t xml:space="preserve"> 11 mirties atvejų (13,6 proc.). </w:t>
      </w:r>
    </w:p>
    <w:p w14:paraId="40131C90" w14:textId="77777777" w:rsidR="00EE0A39" w:rsidRDefault="00D5119C">
      <w:pPr>
        <w:suppressAutoHyphens/>
        <w:spacing w:line="276" w:lineRule="auto"/>
        <w:ind w:firstLine="851"/>
        <w:jc w:val="both"/>
        <w:rPr>
          <w:szCs w:val="24"/>
          <w:shd w:val="clear" w:color="auto" w:fill="FFFFFF"/>
        </w:rPr>
      </w:pPr>
      <w:r>
        <w:rPr>
          <w:szCs w:val="24"/>
          <w:shd w:val="clear" w:color="auto" w:fill="FFFFFF"/>
        </w:rPr>
        <w:t>Pirmoji vakcina nuo dažniausiai pasitaikančios B tipo meningokokinės infekcijos Europos vaistų agentūroje užregistruota 2013 metais.</w:t>
      </w:r>
    </w:p>
    <w:p w14:paraId="383B8552" w14:textId="77777777" w:rsidR="00EE0A39" w:rsidRDefault="00381469">
      <w:pPr>
        <w:tabs>
          <w:tab w:val="left" w:pos="284"/>
        </w:tabs>
        <w:spacing w:line="276" w:lineRule="auto"/>
        <w:ind w:firstLine="851"/>
        <w:jc w:val="both"/>
        <w:rPr>
          <w:szCs w:val="24"/>
          <w:shd w:val="clear" w:color="auto" w:fill="FFFFFF"/>
        </w:rPr>
      </w:pPr>
      <w:r w:rsidR="00D5119C">
        <w:t>27</w:t>
      </w:r>
      <w:r w:rsidR="00D5119C">
        <w:t xml:space="preserve">. Pneumokokinė infekcija yra viena pagrindinių sergamumo ir mirtingumo priežasčių pasaulyje, kurių galima išvengti skiepijant kūdikius ir vaikus. </w:t>
      </w:r>
    </w:p>
    <w:p w14:paraId="5E767FCA" w14:textId="77777777" w:rsidR="00EE0A39" w:rsidRDefault="00D5119C">
      <w:pPr>
        <w:spacing w:line="276" w:lineRule="auto"/>
        <w:ind w:firstLine="851"/>
        <w:jc w:val="both"/>
        <w:rPr>
          <w:shd w:val="clear" w:color="auto" w:fill="FFFFFF"/>
        </w:rPr>
      </w:pPr>
      <w:r>
        <w:lastRenderedPageBreak/>
        <w:t xml:space="preserve">Didžiausias sergamumas pneumokokine infekcija registruojamas vaikų iki 2 metų ir vyresnių nei 65 metų amžiaus žmonių grupėse. 2016 metais vaikų iki 1 metų amžiaus sergamumas ES siekė 11,9 atvejų 100 tūkst. gyventojų, o 65 metų ir vyresnių asmenų – 15,8 atvejų 100 tūkst. gyventojų.  Sergamumas pneumokokine infekcija ES šalyse 2016 metais svyravo nuo 0,2 iki 14,9 atvejo 100 tūkst. gyventojų. </w:t>
      </w:r>
    </w:p>
    <w:p w14:paraId="031162E5" w14:textId="77777777" w:rsidR="00EE0A39" w:rsidRDefault="00D5119C">
      <w:pPr>
        <w:suppressAutoHyphens/>
        <w:spacing w:line="276" w:lineRule="auto"/>
        <w:ind w:firstLine="851"/>
        <w:jc w:val="both"/>
        <w:rPr>
          <w:color w:val="000000"/>
          <w:szCs w:val="24"/>
        </w:rPr>
      </w:pPr>
      <w:r>
        <w:rPr>
          <w:color w:val="000000"/>
          <w:szCs w:val="24"/>
        </w:rPr>
        <w:t xml:space="preserve">2017 metais Lietuvoje užregistruoti 76 pneumokokinės infekcijos atvejai (2,7 atvejų 100 tūkst. gyventojų), 2016 metais – 56 atvejai (2,0 atvejų 100 tūkst. gyventojų). </w:t>
      </w:r>
    </w:p>
    <w:p w14:paraId="4D0B9DFE" w14:textId="77777777" w:rsidR="00EE0A39" w:rsidRDefault="00D5119C">
      <w:pPr>
        <w:suppressAutoHyphens/>
        <w:spacing w:line="276" w:lineRule="auto"/>
        <w:ind w:firstLine="851"/>
        <w:jc w:val="both"/>
        <w:rPr>
          <w:bCs/>
          <w:color w:val="000000"/>
          <w:szCs w:val="24"/>
        </w:rPr>
      </w:pPr>
      <w:r>
        <w:rPr>
          <w:bCs/>
          <w:color w:val="000000"/>
          <w:szCs w:val="24"/>
        </w:rPr>
        <w:t>Nuo 2014 metų spalio mėnesio į skiepijimų kalendorių buvo įtraukti kūdikių ir vaikų skiepijimai nuo pneumokokinės infekcijos. Per keletą metų pasiektos gana didelės skiepijimų aprėptys (trimis pneumokokinės infekcijos dozėmis) – 82,5 ir 81,6 proc. atitinkamai 2017 ir 2016 metais.</w:t>
      </w:r>
    </w:p>
    <w:p w14:paraId="51B8F8F5" w14:textId="77777777" w:rsidR="00EE0A39" w:rsidRDefault="00D5119C">
      <w:pPr>
        <w:suppressAutoHyphens/>
        <w:spacing w:line="276" w:lineRule="auto"/>
        <w:ind w:firstLine="851"/>
        <w:jc w:val="both"/>
        <w:rPr>
          <w:color w:val="000000"/>
          <w:szCs w:val="24"/>
        </w:rPr>
      </w:pPr>
      <w:r>
        <w:rPr>
          <w:color w:val="000000"/>
          <w:szCs w:val="24"/>
        </w:rPr>
        <w:t>Be to, 2017 metais šalyje nuo pneumokokinės infekcijos paskiepyti 3155 suaugusieji ir 1732 vaikai, priklausantys rizikos grupei (atitinkamai 2016 metais – 5507 ir 5818).</w:t>
      </w:r>
    </w:p>
    <w:p w14:paraId="4033BE1F" w14:textId="77777777" w:rsidR="00EE0A39" w:rsidRDefault="00381469">
      <w:pPr>
        <w:suppressAutoHyphens/>
        <w:spacing w:line="276" w:lineRule="auto"/>
        <w:ind w:firstLine="851"/>
        <w:jc w:val="both"/>
        <w:rPr>
          <w:color w:val="000000"/>
          <w:szCs w:val="24"/>
        </w:rPr>
      </w:pPr>
      <w:r w:rsidR="00D5119C">
        <w:rPr>
          <w:color w:val="000000"/>
          <w:szCs w:val="24"/>
        </w:rPr>
        <w:t>28</w:t>
      </w:r>
      <w:r w:rsidR="00D5119C">
        <w:rPr>
          <w:color w:val="000000"/>
          <w:szCs w:val="24"/>
        </w:rPr>
        <w:t xml:space="preserve">. </w:t>
      </w:r>
      <w:r w:rsidR="00D5119C">
        <w:rPr>
          <w:rFonts w:eastAsia="Calibri"/>
          <w:color w:val="000000"/>
          <w:szCs w:val="24"/>
        </w:rPr>
        <w:t xml:space="preserve">Pasaulyje gimdos kaklelio vėžys užima ketvirtą vietą tarp dažniausiai pasitaikančių vėžio formų ir </w:t>
      </w:r>
      <w:r w:rsidR="00D5119C">
        <w:rPr>
          <w:color w:val="000000"/>
          <w:szCs w:val="24"/>
        </w:rPr>
        <w:t xml:space="preserve">sudaro 12 proc. visų moterų vėžinių susirgimų. </w:t>
      </w:r>
      <w:r w:rsidR="00D5119C">
        <w:rPr>
          <w:rFonts w:eastAsia="Calibri"/>
          <w:color w:val="000000"/>
          <w:szCs w:val="24"/>
        </w:rPr>
        <w:t>PSO duomenimis, kiekvienais metais pasaulyje gimdos kaklelio vėžiu suserga apie 530</w:t>
      </w:r>
      <w:r w:rsidR="00D5119C">
        <w:rPr>
          <w:color w:val="000000"/>
          <w:szCs w:val="24"/>
        </w:rPr>
        <w:t xml:space="preserve"> tūkst. moterų, iš jų apie 266 tūkst. miršta. Lietuvoje sergamumas gimdos kaklelio vėžiu didžiausias iš visų šiaurinėje Europos dalyje esančių šalių, sergamumo rodiklis siekia 30 atvejų 100 tūkst. gyventojų, o mirtingumo – 7 atvejus 100 tūkst. gyventojų. </w:t>
      </w:r>
    </w:p>
    <w:p w14:paraId="1C11936A" w14:textId="77777777" w:rsidR="00EE0A39" w:rsidRDefault="00D5119C">
      <w:pPr>
        <w:suppressAutoHyphens/>
        <w:spacing w:line="276" w:lineRule="auto"/>
        <w:ind w:firstLine="851"/>
        <w:jc w:val="both"/>
        <w:rPr>
          <w:color w:val="000000"/>
          <w:szCs w:val="24"/>
        </w:rPr>
      </w:pPr>
      <w:r>
        <w:rPr>
          <w:color w:val="000000"/>
          <w:szCs w:val="24"/>
        </w:rPr>
        <w:t>Įrodyta, kad 16 ir 18 tipų žmogaus papilomos virusų infekcija sąlygoja apie 70 proc. visų gimdos kaklelio vėžio atvejų. Atsižvelgiant į tai, skiepijant žmogaus papilomos viruso vakcinomis, kurios apsaugo nuo 16 ir 18 tipų žmogaus papilomos viruso, galima išvengti 70 proc. visų gimdos kaklelio vėžio atvejų.</w:t>
      </w:r>
    </w:p>
    <w:p w14:paraId="69510F6A" w14:textId="77777777" w:rsidR="00EE0A39" w:rsidRDefault="00D5119C">
      <w:pPr>
        <w:suppressAutoHyphens/>
        <w:spacing w:line="276" w:lineRule="auto"/>
        <w:ind w:firstLine="851"/>
        <w:jc w:val="both"/>
        <w:rPr>
          <w:color w:val="000000"/>
          <w:szCs w:val="24"/>
        </w:rPr>
      </w:pPr>
      <w:r>
        <w:rPr>
          <w:color w:val="000000"/>
          <w:szCs w:val="24"/>
        </w:rPr>
        <w:t xml:space="preserve">Nuo 2016 m. rugsėjo 1 d. nuo žmogaus papilomos viruso infekcijos skiepijamos 11 metų mergaitės.  Skiepijimų aprėptys 2016 metais buvo 12,5 proc.,  2017 metais – 34,5 proc. </w:t>
      </w:r>
    </w:p>
    <w:p w14:paraId="65C94167" w14:textId="77777777" w:rsidR="00EE0A39" w:rsidRDefault="00381469">
      <w:pPr>
        <w:suppressAutoHyphens/>
        <w:spacing w:line="276" w:lineRule="auto"/>
        <w:ind w:firstLine="851"/>
        <w:jc w:val="both"/>
        <w:rPr>
          <w:color w:val="000000"/>
          <w:szCs w:val="24"/>
        </w:rPr>
      </w:pPr>
    </w:p>
    <w:p w14:paraId="74DEFBD5" w14:textId="77777777" w:rsidR="00EE0A39" w:rsidRDefault="00381469">
      <w:pPr>
        <w:spacing w:line="276" w:lineRule="auto"/>
        <w:jc w:val="center"/>
        <w:rPr>
          <w:b/>
          <w:szCs w:val="24"/>
          <w:lang w:eastAsia="lt-LT"/>
        </w:rPr>
      </w:pPr>
      <w:r w:rsidR="00D5119C">
        <w:rPr>
          <w:b/>
          <w:szCs w:val="24"/>
          <w:lang w:eastAsia="lt-LT"/>
        </w:rPr>
        <w:t>III</w:t>
      </w:r>
      <w:r w:rsidR="00D5119C">
        <w:rPr>
          <w:b/>
          <w:szCs w:val="24"/>
          <w:lang w:eastAsia="lt-LT"/>
        </w:rPr>
        <w:t xml:space="preserve"> SKYRIUS</w:t>
      </w:r>
    </w:p>
    <w:p w14:paraId="29701E67" w14:textId="77777777" w:rsidR="00EE0A39" w:rsidRDefault="00381469">
      <w:pPr>
        <w:spacing w:line="276" w:lineRule="auto"/>
        <w:jc w:val="center"/>
        <w:rPr>
          <w:szCs w:val="24"/>
          <w:lang w:eastAsia="lt-LT"/>
        </w:rPr>
      </w:pPr>
      <w:r w:rsidR="00D5119C">
        <w:rPr>
          <w:b/>
          <w:szCs w:val="24"/>
          <w:lang w:eastAsia="lt-LT"/>
        </w:rPr>
        <w:t>PROGRAMOS TIKSLAI IR UŽDAVINIAI</w:t>
      </w:r>
    </w:p>
    <w:p w14:paraId="4D4B3134" w14:textId="77777777" w:rsidR="00EE0A39" w:rsidRDefault="00EE0A39">
      <w:pPr>
        <w:spacing w:line="276" w:lineRule="auto"/>
        <w:ind w:firstLine="913"/>
        <w:jc w:val="both"/>
        <w:rPr>
          <w:szCs w:val="24"/>
        </w:rPr>
      </w:pPr>
    </w:p>
    <w:p w14:paraId="58AB8549" w14:textId="77777777" w:rsidR="00EE0A39" w:rsidRDefault="00381469">
      <w:pPr>
        <w:spacing w:line="276" w:lineRule="auto"/>
        <w:ind w:firstLine="851"/>
        <w:jc w:val="both"/>
        <w:rPr>
          <w:szCs w:val="24"/>
        </w:rPr>
      </w:pPr>
      <w:r w:rsidR="00D5119C">
        <w:rPr>
          <w:szCs w:val="24"/>
        </w:rPr>
        <w:t>29</w:t>
      </w:r>
      <w:r w:rsidR="00D5119C">
        <w:rPr>
          <w:szCs w:val="24"/>
        </w:rPr>
        <w:t>. Programos tikslai:</w:t>
      </w:r>
    </w:p>
    <w:p w14:paraId="472522DA" w14:textId="77777777" w:rsidR="00EE0A39" w:rsidRDefault="00381469">
      <w:pPr>
        <w:spacing w:line="276" w:lineRule="auto"/>
        <w:ind w:firstLine="851"/>
        <w:jc w:val="both"/>
        <w:rPr>
          <w:szCs w:val="24"/>
        </w:rPr>
      </w:pPr>
      <w:r w:rsidR="00D5119C">
        <w:rPr>
          <w:szCs w:val="24"/>
        </w:rPr>
        <w:t>29.1</w:t>
      </w:r>
      <w:r w:rsidR="00D5119C">
        <w:rPr>
          <w:szCs w:val="24"/>
        </w:rPr>
        <w:t>. valdyti, mažinti sergamumą, protrūkių tikimybę, pašalinti ir išnaikinti vakcinomis valdomas užkrečiamąsias ligas (tymai, raudonukė);</w:t>
      </w:r>
    </w:p>
    <w:p w14:paraId="76B6DD28" w14:textId="77777777" w:rsidR="00EE0A39" w:rsidRDefault="00381469">
      <w:pPr>
        <w:spacing w:line="276" w:lineRule="auto"/>
        <w:ind w:firstLine="851"/>
        <w:jc w:val="both"/>
        <w:rPr>
          <w:szCs w:val="24"/>
        </w:rPr>
      </w:pPr>
      <w:r w:rsidR="00D5119C">
        <w:rPr>
          <w:szCs w:val="24"/>
        </w:rPr>
        <w:t>29.2</w:t>
      </w:r>
      <w:r w:rsidR="00D5119C">
        <w:rPr>
          <w:szCs w:val="24"/>
        </w:rPr>
        <w:t>. užtikrinti skiepijimo saugumą, efektyvumą ir prieinamumą.</w:t>
      </w:r>
    </w:p>
    <w:p w14:paraId="604F512C" w14:textId="77777777" w:rsidR="00EE0A39" w:rsidRDefault="00381469">
      <w:pPr>
        <w:spacing w:line="276" w:lineRule="auto"/>
        <w:ind w:firstLine="851"/>
        <w:jc w:val="both"/>
        <w:rPr>
          <w:szCs w:val="24"/>
        </w:rPr>
      </w:pPr>
      <w:r w:rsidR="00D5119C">
        <w:rPr>
          <w:szCs w:val="24"/>
        </w:rPr>
        <w:t>30</w:t>
      </w:r>
      <w:r w:rsidR="00D5119C">
        <w:rPr>
          <w:szCs w:val="24"/>
        </w:rPr>
        <w:t>. Programos uždaviniai:</w:t>
      </w:r>
    </w:p>
    <w:p w14:paraId="5DE9F8BF" w14:textId="77777777" w:rsidR="00EE0A39" w:rsidRDefault="00381469">
      <w:pPr>
        <w:spacing w:line="276" w:lineRule="auto"/>
        <w:ind w:firstLine="851"/>
        <w:jc w:val="both"/>
        <w:rPr>
          <w:szCs w:val="24"/>
        </w:rPr>
      </w:pPr>
      <w:r w:rsidR="00D5119C">
        <w:rPr>
          <w:szCs w:val="24"/>
        </w:rPr>
        <w:t>30.1</w:t>
      </w:r>
      <w:r w:rsidR="00D5119C">
        <w:rPr>
          <w:szCs w:val="24"/>
        </w:rPr>
        <w:t xml:space="preserve">. vykdant skiepijimus pagal skiepijimų kalendorių bei vaikų ir suaugusiųjų skiepijimą nuo užkrečiamųjų ligų teisės aktų nustatyta tvarka užtikrinti palankią vakcinomis valdomų užkrečiamųjų ligų epideminę situaciją; </w:t>
      </w:r>
    </w:p>
    <w:p w14:paraId="73F8A993" w14:textId="77777777" w:rsidR="00EE0A39" w:rsidRDefault="00381469">
      <w:pPr>
        <w:spacing w:line="276" w:lineRule="auto"/>
        <w:ind w:firstLine="851"/>
        <w:jc w:val="both"/>
        <w:rPr>
          <w:szCs w:val="24"/>
        </w:rPr>
      </w:pPr>
      <w:r w:rsidR="00D5119C">
        <w:rPr>
          <w:szCs w:val="24"/>
        </w:rPr>
        <w:t>30.2</w:t>
      </w:r>
      <w:r w:rsidR="00D5119C">
        <w:rPr>
          <w:szCs w:val="24"/>
        </w:rPr>
        <w:t xml:space="preserve">. sustiprinti vakcinomis valdomų užkrečiamųjų ligų epidemiologinę priežiūrą ir skiepijimo aprėpčių </w:t>
      </w:r>
      <w:proofErr w:type="spellStart"/>
      <w:r w:rsidR="00D5119C">
        <w:rPr>
          <w:szCs w:val="24"/>
        </w:rPr>
        <w:t>stebėseną</w:t>
      </w:r>
      <w:proofErr w:type="spellEnd"/>
      <w:r w:rsidR="00D5119C">
        <w:rPr>
          <w:szCs w:val="24"/>
        </w:rPr>
        <w:t>;</w:t>
      </w:r>
    </w:p>
    <w:p w14:paraId="258E65B7" w14:textId="77777777" w:rsidR="00EE0A39" w:rsidRDefault="00381469">
      <w:pPr>
        <w:spacing w:line="276" w:lineRule="auto"/>
        <w:ind w:firstLine="851"/>
        <w:jc w:val="both"/>
        <w:rPr>
          <w:szCs w:val="24"/>
        </w:rPr>
      </w:pPr>
      <w:r w:rsidR="00D5119C">
        <w:rPr>
          <w:szCs w:val="24"/>
        </w:rPr>
        <w:t>30.3</w:t>
      </w:r>
      <w:r w:rsidR="00D5119C">
        <w:rPr>
          <w:szCs w:val="24"/>
        </w:rPr>
        <w:t>. mažinti užkrečiamųjų ligų ir jų komplikacijų riziką pažeidžiamose gyventojų grupėse.</w:t>
      </w:r>
    </w:p>
    <w:p w14:paraId="66301380" w14:textId="77777777" w:rsidR="00EE0A39" w:rsidRDefault="00D5119C">
      <w:pPr>
        <w:rPr>
          <w:b/>
          <w:lang w:eastAsia="lt-LT"/>
        </w:rPr>
      </w:pPr>
      <w:r>
        <w:rPr>
          <w:b/>
        </w:rPr>
        <w:br w:type="page"/>
      </w:r>
    </w:p>
    <w:p w14:paraId="5D6909DD" w14:textId="77777777" w:rsidR="00EE0A39" w:rsidRDefault="00381469">
      <w:pPr>
        <w:spacing w:line="276" w:lineRule="auto"/>
        <w:jc w:val="center"/>
        <w:rPr>
          <w:b/>
          <w:szCs w:val="24"/>
          <w:lang w:eastAsia="lt-LT"/>
        </w:rPr>
      </w:pPr>
      <w:r w:rsidR="00D5119C">
        <w:rPr>
          <w:b/>
          <w:szCs w:val="24"/>
          <w:lang w:eastAsia="lt-LT"/>
        </w:rPr>
        <w:t>IV</w:t>
      </w:r>
      <w:r w:rsidR="00D5119C">
        <w:rPr>
          <w:b/>
          <w:szCs w:val="24"/>
          <w:lang w:eastAsia="lt-LT"/>
        </w:rPr>
        <w:t xml:space="preserve"> SKYRIUS</w:t>
      </w:r>
    </w:p>
    <w:p w14:paraId="21AC4080" w14:textId="77777777" w:rsidR="00EE0A39" w:rsidRDefault="00381469">
      <w:pPr>
        <w:spacing w:line="276" w:lineRule="auto"/>
        <w:jc w:val="center"/>
        <w:rPr>
          <w:b/>
          <w:szCs w:val="24"/>
          <w:lang w:eastAsia="lt-LT"/>
        </w:rPr>
      </w:pPr>
      <w:r w:rsidR="00D5119C">
        <w:rPr>
          <w:b/>
          <w:szCs w:val="24"/>
          <w:lang w:eastAsia="lt-LT"/>
        </w:rPr>
        <w:t>SIEKIAMI REZULTATAI</w:t>
      </w:r>
    </w:p>
    <w:p w14:paraId="6833207A" w14:textId="77777777" w:rsidR="00EE0A39" w:rsidRDefault="00EE0A39">
      <w:pPr>
        <w:spacing w:line="276" w:lineRule="auto"/>
        <w:ind w:firstLine="913"/>
        <w:jc w:val="both"/>
        <w:rPr>
          <w:szCs w:val="24"/>
        </w:rPr>
      </w:pPr>
    </w:p>
    <w:p w14:paraId="0C71C815" w14:textId="77777777" w:rsidR="00EE0A39" w:rsidRDefault="00381469">
      <w:pPr>
        <w:spacing w:line="276" w:lineRule="auto"/>
        <w:ind w:firstLine="851"/>
        <w:jc w:val="both"/>
        <w:rPr>
          <w:szCs w:val="24"/>
        </w:rPr>
      </w:pPr>
      <w:r w:rsidR="00D5119C">
        <w:rPr>
          <w:caps/>
          <w:szCs w:val="24"/>
        </w:rPr>
        <w:t>31</w:t>
      </w:r>
      <w:r w:rsidR="00D5119C">
        <w:rPr>
          <w:caps/>
          <w:szCs w:val="24"/>
        </w:rPr>
        <w:t>.</w:t>
      </w:r>
      <w:r w:rsidR="00D5119C">
        <w:rPr>
          <w:b/>
          <w:bCs/>
          <w:caps/>
          <w:szCs w:val="24"/>
        </w:rPr>
        <w:t xml:space="preserve"> </w:t>
      </w:r>
      <w:r w:rsidR="00D5119C">
        <w:rPr>
          <w:szCs w:val="24"/>
        </w:rPr>
        <w:t>Įgyvendinus Programą, bus užtikrintas Nacionalinės imunoprofilaktikos programos tęstinumas, siekiant suvaldyti, pašalinti ir išnaikinti vakcinomis valdomas užkrečiamąsias ligas, įgyvendinami ELPKC, PSO tikslai Lietuvoje, ES ir Europos regione.</w:t>
      </w:r>
    </w:p>
    <w:p w14:paraId="0415865B" w14:textId="77777777" w:rsidR="00EE0A39" w:rsidRDefault="00381469">
      <w:pPr>
        <w:spacing w:line="276" w:lineRule="auto"/>
        <w:ind w:firstLine="851"/>
        <w:jc w:val="both"/>
        <w:rPr>
          <w:szCs w:val="24"/>
        </w:rPr>
      </w:pPr>
      <w:r w:rsidR="00D5119C">
        <w:rPr>
          <w:szCs w:val="24"/>
        </w:rPr>
        <w:t>32</w:t>
      </w:r>
      <w:r w:rsidR="00D5119C">
        <w:rPr>
          <w:szCs w:val="24"/>
        </w:rPr>
        <w:t>. Siekiami rezultatai:</w:t>
      </w:r>
    </w:p>
    <w:p w14:paraId="48CFF16D" w14:textId="77777777" w:rsidR="00EE0A39" w:rsidRDefault="00381469">
      <w:pPr>
        <w:spacing w:line="276" w:lineRule="auto"/>
        <w:ind w:firstLine="851"/>
        <w:jc w:val="both"/>
        <w:rPr>
          <w:szCs w:val="24"/>
        </w:rPr>
      </w:pPr>
      <w:r w:rsidR="00D5119C">
        <w:rPr>
          <w:szCs w:val="24"/>
        </w:rPr>
        <w:t>32.1</w:t>
      </w:r>
      <w:r w:rsidR="00D5119C">
        <w:rPr>
          <w:szCs w:val="24"/>
        </w:rPr>
        <w:t xml:space="preserve">. išlaikyti ne mažesnes kaip 90 proc. vaikų skiepijimo aprėptis visoje šalyje ir kiekvienoje savivaldybėje, o nuo tymų ir raudonukės </w:t>
      </w:r>
      <w:r w:rsidR="00D5119C">
        <w:rPr>
          <w:szCs w:val="24"/>
          <w:lang w:val="en-US"/>
        </w:rPr>
        <w:t xml:space="preserve">– </w:t>
      </w:r>
      <w:r w:rsidR="00D5119C">
        <w:rPr>
          <w:szCs w:val="24"/>
        </w:rPr>
        <w:t>ne mažesnes kaip 95 proc.;</w:t>
      </w:r>
    </w:p>
    <w:p w14:paraId="6C6DCE6B" w14:textId="77777777" w:rsidR="00EE0A39" w:rsidRDefault="00381469">
      <w:pPr>
        <w:spacing w:line="276" w:lineRule="auto"/>
        <w:ind w:firstLine="851"/>
        <w:jc w:val="both"/>
        <w:rPr>
          <w:szCs w:val="24"/>
        </w:rPr>
      </w:pPr>
      <w:r w:rsidR="00D5119C">
        <w:rPr>
          <w:szCs w:val="24"/>
        </w:rPr>
        <w:t>32.2</w:t>
      </w:r>
      <w:r w:rsidR="00D5119C">
        <w:rPr>
          <w:szCs w:val="24"/>
        </w:rPr>
        <w:t xml:space="preserve">. mažinti kokliušo, difterijos, stabligės, B tipo </w:t>
      </w:r>
      <w:proofErr w:type="spellStart"/>
      <w:r w:rsidR="00D5119C">
        <w:rPr>
          <w:i/>
          <w:szCs w:val="24"/>
        </w:rPr>
        <w:t>Haemophilus</w:t>
      </w:r>
      <w:proofErr w:type="spellEnd"/>
      <w:r w:rsidR="00D5119C">
        <w:rPr>
          <w:i/>
          <w:szCs w:val="24"/>
        </w:rPr>
        <w:t xml:space="preserve"> </w:t>
      </w:r>
      <w:proofErr w:type="spellStart"/>
      <w:r w:rsidR="00D5119C">
        <w:rPr>
          <w:i/>
          <w:szCs w:val="24"/>
        </w:rPr>
        <w:t>influenzae</w:t>
      </w:r>
      <w:proofErr w:type="spellEnd"/>
      <w:r w:rsidR="00D5119C">
        <w:rPr>
          <w:szCs w:val="24"/>
        </w:rPr>
        <w:t xml:space="preserve">, pneumokokinės infekcijos, žmogaus papilomos viruso infekcijos, </w:t>
      </w:r>
      <w:proofErr w:type="spellStart"/>
      <w:r w:rsidR="00D5119C">
        <w:rPr>
          <w:szCs w:val="24"/>
        </w:rPr>
        <w:t>rotavirusinės</w:t>
      </w:r>
      <w:proofErr w:type="spellEnd"/>
      <w:r w:rsidR="00D5119C">
        <w:rPr>
          <w:szCs w:val="24"/>
        </w:rPr>
        <w:t xml:space="preserve"> infekcijos, B tipo meningokokinės infekcijos, gripo naštą gyventojų sveikatai (sergamumą, mirtingumą, komplikacijų dažnį, </w:t>
      </w:r>
      <w:proofErr w:type="spellStart"/>
      <w:r w:rsidR="00D5119C">
        <w:rPr>
          <w:szCs w:val="24"/>
        </w:rPr>
        <w:t>hospitalizacijos</w:t>
      </w:r>
      <w:proofErr w:type="spellEnd"/>
      <w:r w:rsidR="00D5119C">
        <w:rPr>
          <w:szCs w:val="24"/>
        </w:rPr>
        <w:t xml:space="preserve"> apimtis ir </w:t>
      </w:r>
      <w:proofErr w:type="spellStart"/>
      <w:r w:rsidR="00D5119C">
        <w:rPr>
          <w:szCs w:val="24"/>
        </w:rPr>
        <w:t>kt</w:t>
      </w:r>
      <w:proofErr w:type="spellEnd"/>
      <w:r w:rsidR="00D5119C">
        <w:rPr>
          <w:szCs w:val="24"/>
        </w:rPr>
        <w:t xml:space="preserve">.); </w:t>
      </w:r>
    </w:p>
    <w:p w14:paraId="4B94C752" w14:textId="77777777" w:rsidR="00EE0A39" w:rsidRDefault="00381469">
      <w:pPr>
        <w:spacing w:line="276" w:lineRule="auto"/>
        <w:ind w:firstLine="851"/>
        <w:jc w:val="both"/>
        <w:rPr>
          <w:szCs w:val="24"/>
        </w:rPr>
      </w:pPr>
      <w:r w:rsidR="00D5119C">
        <w:rPr>
          <w:szCs w:val="24"/>
        </w:rPr>
        <w:t>32.3</w:t>
      </w:r>
      <w:r w:rsidR="00D5119C">
        <w:rPr>
          <w:szCs w:val="24"/>
        </w:rPr>
        <w:t xml:space="preserve">. išlaikyti Lietuvos, kaip laisvos nuo poliomielito sukėlėjo šalies, statusą ir išnaikinti tymus ir raudonukę – pasiekti, kad šalyje nebūtų vietinių poliomielito, tymų, raudonukės atvejų ir sukėlėjai negalėtų plisti; </w:t>
      </w:r>
    </w:p>
    <w:p w14:paraId="25AF7693" w14:textId="77777777" w:rsidR="00EE0A39" w:rsidRDefault="00381469">
      <w:pPr>
        <w:spacing w:line="276" w:lineRule="auto"/>
        <w:ind w:firstLine="851"/>
        <w:jc w:val="both"/>
        <w:rPr>
          <w:szCs w:val="24"/>
        </w:rPr>
      </w:pPr>
      <w:r w:rsidR="00D5119C">
        <w:rPr>
          <w:szCs w:val="24"/>
        </w:rPr>
        <w:t>32.4</w:t>
      </w:r>
      <w:r w:rsidR="00D5119C">
        <w:rPr>
          <w:szCs w:val="24"/>
        </w:rPr>
        <w:t>. tobulinti skiepijimų kalendorių, įtraukiant vakcinas, kuriomis iki šiol nebuvo skiepijama (vėjaraupių vakciną), didinti suaugusiųjų skiepijimo aprėptis.</w:t>
      </w:r>
    </w:p>
    <w:p w14:paraId="57649A73" w14:textId="77777777" w:rsidR="00EE0A39" w:rsidRDefault="00381469">
      <w:pPr>
        <w:spacing w:line="276" w:lineRule="auto"/>
        <w:ind w:firstLine="851"/>
        <w:jc w:val="both"/>
        <w:rPr>
          <w:szCs w:val="24"/>
        </w:rPr>
      </w:pPr>
    </w:p>
    <w:p w14:paraId="49861EB2" w14:textId="77777777" w:rsidR="00EE0A39" w:rsidRDefault="00381469">
      <w:pPr>
        <w:spacing w:line="276" w:lineRule="auto"/>
        <w:jc w:val="center"/>
        <w:rPr>
          <w:b/>
          <w:szCs w:val="24"/>
          <w:lang w:eastAsia="lt-LT"/>
        </w:rPr>
      </w:pPr>
      <w:r w:rsidR="00D5119C">
        <w:rPr>
          <w:b/>
          <w:szCs w:val="24"/>
          <w:lang w:eastAsia="lt-LT"/>
        </w:rPr>
        <w:t>V</w:t>
      </w:r>
      <w:r w:rsidR="00D5119C">
        <w:rPr>
          <w:b/>
          <w:szCs w:val="24"/>
          <w:lang w:eastAsia="lt-LT"/>
        </w:rPr>
        <w:t xml:space="preserve"> SKYRIUS</w:t>
      </w:r>
    </w:p>
    <w:p w14:paraId="3954623D" w14:textId="77777777" w:rsidR="00EE0A39" w:rsidRDefault="00381469">
      <w:pPr>
        <w:spacing w:line="276" w:lineRule="auto"/>
        <w:jc w:val="center"/>
        <w:rPr>
          <w:b/>
          <w:szCs w:val="24"/>
          <w:lang w:eastAsia="lt-LT"/>
        </w:rPr>
      </w:pPr>
      <w:r w:rsidR="00D5119C">
        <w:rPr>
          <w:b/>
          <w:szCs w:val="24"/>
          <w:lang w:eastAsia="lt-LT"/>
        </w:rPr>
        <w:t>PROGRAMOS VERTINIMO KRITERIJAI</w:t>
      </w:r>
    </w:p>
    <w:p w14:paraId="75499440" w14:textId="77777777" w:rsidR="00EE0A39" w:rsidRDefault="00EE0A39">
      <w:pPr>
        <w:spacing w:line="276" w:lineRule="auto"/>
        <w:ind w:firstLine="913"/>
        <w:jc w:val="both"/>
        <w:rPr>
          <w:szCs w:val="24"/>
        </w:rPr>
      </w:pPr>
    </w:p>
    <w:p w14:paraId="22C95024" w14:textId="77777777" w:rsidR="00EE0A39" w:rsidRDefault="00381469">
      <w:pPr>
        <w:spacing w:line="276" w:lineRule="auto"/>
        <w:ind w:firstLine="851"/>
        <w:jc w:val="both"/>
        <w:rPr>
          <w:szCs w:val="24"/>
        </w:rPr>
      </w:pPr>
      <w:r w:rsidR="00D5119C">
        <w:rPr>
          <w:szCs w:val="24"/>
        </w:rPr>
        <w:t>33</w:t>
      </w:r>
      <w:r w:rsidR="00D5119C">
        <w:rPr>
          <w:szCs w:val="24"/>
        </w:rPr>
        <w:t>. Programos įgyvendinimo vertinimo kriterijai:</w:t>
      </w:r>
    </w:p>
    <w:p w14:paraId="20143658" w14:textId="77777777" w:rsidR="00EE0A39" w:rsidRDefault="00381469">
      <w:pPr>
        <w:spacing w:line="276" w:lineRule="auto"/>
        <w:ind w:firstLine="851"/>
        <w:jc w:val="both"/>
        <w:rPr>
          <w:szCs w:val="24"/>
        </w:rPr>
      </w:pPr>
      <w:r w:rsidR="00D5119C">
        <w:rPr>
          <w:szCs w:val="24"/>
        </w:rPr>
        <w:t>33.1</w:t>
      </w:r>
      <w:r w:rsidR="00D5119C">
        <w:rPr>
          <w:szCs w:val="24"/>
        </w:rPr>
        <w:t>. sergamumo vakcinomis valdomomis užkrečiamosiomis ligomis rodikliai šalyje ir kiekvienoje savivaldybėje;</w:t>
      </w:r>
    </w:p>
    <w:p w14:paraId="42758976" w14:textId="77777777" w:rsidR="00EE0A39" w:rsidRDefault="00381469">
      <w:pPr>
        <w:spacing w:line="276" w:lineRule="auto"/>
        <w:ind w:firstLine="851"/>
        <w:jc w:val="both"/>
        <w:rPr>
          <w:szCs w:val="24"/>
        </w:rPr>
      </w:pPr>
      <w:r w:rsidR="00D5119C">
        <w:rPr>
          <w:szCs w:val="24"/>
        </w:rPr>
        <w:t>33.2</w:t>
      </w:r>
      <w:r w:rsidR="00D5119C">
        <w:rPr>
          <w:szCs w:val="24"/>
        </w:rPr>
        <w:t>. atitinkamų vaikų amžiaus grupių skiepijimo aprėptys pagal skiepijimų kalendorių šalyje ir kiekvienoje savivaldybėje;</w:t>
      </w:r>
    </w:p>
    <w:p w14:paraId="32275640" w14:textId="77777777" w:rsidR="00EE0A39" w:rsidRDefault="00381469">
      <w:pPr>
        <w:spacing w:line="276" w:lineRule="auto"/>
        <w:ind w:firstLine="851"/>
        <w:jc w:val="both"/>
        <w:rPr>
          <w:szCs w:val="24"/>
        </w:rPr>
      </w:pPr>
      <w:r w:rsidR="00D5119C">
        <w:rPr>
          <w:szCs w:val="24"/>
        </w:rPr>
        <w:t>33.3</w:t>
      </w:r>
      <w:r w:rsidR="00D5119C">
        <w:rPr>
          <w:szCs w:val="24"/>
        </w:rPr>
        <w:t>. rizikos grupių skiepijimo aprėptys šalyje ir kiekvienoje savivaldybėje;</w:t>
      </w:r>
    </w:p>
    <w:p w14:paraId="2A249BAF" w14:textId="77777777" w:rsidR="00EE0A39" w:rsidRDefault="00381469">
      <w:pPr>
        <w:spacing w:line="276" w:lineRule="auto"/>
        <w:ind w:firstLine="851"/>
        <w:jc w:val="both"/>
        <w:rPr>
          <w:szCs w:val="24"/>
        </w:rPr>
      </w:pPr>
      <w:r w:rsidR="00D5119C">
        <w:rPr>
          <w:szCs w:val="24"/>
        </w:rPr>
        <w:t>33.4</w:t>
      </w:r>
      <w:r w:rsidR="00D5119C">
        <w:rPr>
          <w:szCs w:val="24"/>
        </w:rPr>
        <w:t>. į skiepijimų kalendorių įtrauktas skiepijimas naujomis vakcinomis.</w:t>
      </w:r>
    </w:p>
    <w:p w14:paraId="59755885" w14:textId="77777777" w:rsidR="00EE0A39" w:rsidRDefault="00381469">
      <w:pPr>
        <w:spacing w:line="276" w:lineRule="auto"/>
        <w:ind w:firstLine="913"/>
        <w:jc w:val="both"/>
        <w:rPr>
          <w:szCs w:val="24"/>
        </w:rPr>
      </w:pPr>
    </w:p>
    <w:p w14:paraId="05D1DF41" w14:textId="302F15DB" w:rsidR="00EE0A39" w:rsidRDefault="00381469">
      <w:pPr>
        <w:spacing w:line="276" w:lineRule="auto"/>
        <w:jc w:val="center"/>
        <w:rPr>
          <w:b/>
          <w:szCs w:val="24"/>
          <w:lang w:eastAsia="lt-LT"/>
        </w:rPr>
      </w:pPr>
      <w:r w:rsidR="00D5119C">
        <w:rPr>
          <w:b/>
          <w:szCs w:val="24"/>
          <w:lang w:eastAsia="lt-LT"/>
        </w:rPr>
        <w:t>VI</w:t>
      </w:r>
      <w:r w:rsidR="00D5119C">
        <w:rPr>
          <w:b/>
          <w:szCs w:val="24"/>
          <w:lang w:eastAsia="lt-LT"/>
        </w:rPr>
        <w:t xml:space="preserve"> SKYRIUS</w:t>
      </w:r>
    </w:p>
    <w:p w14:paraId="5F6E7A88" w14:textId="77777777" w:rsidR="00EE0A39" w:rsidRDefault="00381469">
      <w:pPr>
        <w:spacing w:line="276" w:lineRule="auto"/>
        <w:jc w:val="center"/>
        <w:rPr>
          <w:b/>
          <w:szCs w:val="24"/>
          <w:lang w:eastAsia="lt-LT"/>
        </w:rPr>
      </w:pPr>
      <w:r w:rsidR="00D5119C">
        <w:rPr>
          <w:b/>
          <w:szCs w:val="24"/>
          <w:lang w:eastAsia="lt-LT"/>
        </w:rPr>
        <w:t>PROGRAMOS ĮGYVENDINIMAS IR KOORDINAVIMAS</w:t>
      </w:r>
    </w:p>
    <w:p w14:paraId="2C5F9CE8" w14:textId="77777777" w:rsidR="00EE0A39" w:rsidRDefault="00EE0A39">
      <w:pPr>
        <w:spacing w:line="276" w:lineRule="auto"/>
        <w:ind w:firstLine="913"/>
        <w:jc w:val="both"/>
        <w:rPr>
          <w:szCs w:val="24"/>
        </w:rPr>
      </w:pPr>
    </w:p>
    <w:p w14:paraId="6B134087" w14:textId="77777777" w:rsidR="00EE0A39" w:rsidRDefault="00381469">
      <w:pPr>
        <w:spacing w:line="276" w:lineRule="auto"/>
        <w:ind w:firstLine="851"/>
        <w:jc w:val="both"/>
        <w:rPr>
          <w:szCs w:val="24"/>
        </w:rPr>
      </w:pPr>
      <w:r w:rsidR="00D5119C">
        <w:rPr>
          <w:szCs w:val="24"/>
        </w:rPr>
        <w:t>34</w:t>
      </w:r>
      <w:r w:rsidR="00D5119C">
        <w:rPr>
          <w:szCs w:val="24"/>
        </w:rPr>
        <w:t>. Programos įgyvendinimo priemonės ir preliminarus lėšų poreikis pateiktas 3 priede.</w:t>
      </w:r>
    </w:p>
    <w:p w14:paraId="5C9F697C" w14:textId="77777777" w:rsidR="00EE0A39" w:rsidRDefault="00381469">
      <w:pPr>
        <w:spacing w:line="276" w:lineRule="auto"/>
        <w:ind w:firstLine="851"/>
        <w:jc w:val="both"/>
        <w:rPr>
          <w:szCs w:val="24"/>
        </w:rPr>
      </w:pPr>
      <w:r w:rsidR="00D5119C">
        <w:rPr>
          <w:szCs w:val="24"/>
        </w:rPr>
        <w:t>35</w:t>
      </w:r>
      <w:r w:rsidR="00D5119C">
        <w:rPr>
          <w:szCs w:val="24"/>
        </w:rPr>
        <w:t>. Programa finansuojama iš jai skirtų Lietuvos Respublikos valstybės biudžeto lėšų.</w:t>
      </w:r>
    </w:p>
    <w:p w14:paraId="6A9EB035" w14:textId="77777777" w:rsidR="00EE0A39" w:rsidRDefault="00381469">
      <w:pPr>
        <w:spacing w:line="276" w:lineRule="auto"/>
        <w:ind w:firstLine="851"/>
        <w:jc w:val="both"/>
        <w:rPr>
          <w:szCs w:val="24"/>
        </w:rPr>
      </w:pPr>
      <w:r w:rsidR="00D5119C">
        <w:rPr>
          <w:szCs w:val="24"/>
        </w:rPr>
        <w:t>36</w:t>
      </w:r>
      <w:r w:rsidR="00D5119C">
        <w:rPr>
          <w:szCs w:val="24"/>
        </w:rPr>
        <w:t>. Programą įgyvendina:</w:t>
      </w:r>
    </w:p>
    <w:p w14:paraId="64DACC40" w14:textId="77777777" w:rsidR="00EE0A39" w:rsidRDefault="00381469">
      <w:pPr>
        <w:spacing w:line="276" w:lineRule="auto"/>
        <w:ind w:firstLine="851"/>
        <w:jc w:val="both"/>
        <w:rPr>
          <w:szCs w:val="24"/>
        </w:rPr>
      </w:pPr>
      <w:r w:rsidR="00D5119C">
        <w:rPr>
          <w:szCs w:val="24"/>
        </w:rPr>
        <w:t>36.1</w:t>
      </w:r>
      <w:r w:rsidR="00D5119C">
        <w:rPr>
          <w:szCs w:val="24"/>
        </w:rPr>
        <w:t>. Lietuvos Respublikos sveikatos apsaugos ministerija;</w:t>
      </w:r>
    </w:p>
    <w:p w14:paraId="38DA9BC7" w14:textId="77777777" w:rsidR="00EE0A39" w:rsidRDefault="00381469">
      <w:pPr>
        <w:spacing w:line="276" w:lineRule="auto"/>
        <w:ind w:firstLine="851"/>
        <w:jc w:val="both"/>
        <w:rPr>
          <w:szCs w:val="24"/>
        </w:rPr>
      </w:pPr>
      <w:r w:rsidR="00D5119C">
        <w:rPr>
          <w:szCs w:val="24"/>
        </w:rPr>
        <w:t>36.2</w:t>
      </w:r>
      <w:r w:rsidR="00D5119C">
        <w:rPr>
          <w:szCs w:val="24"/>
        </w:rPr>
        <w:t>. Nacionalinis visuomenės sveikatos centras prie Sveikatos apsaugos ministerijos, Programos nepriklausomų ekspertų (patarėjų, konsultantų) grupė;</w:t>
      </w:r>
    </w:p>
    <w:p w14:paraId="3596E3AE" w14:textId="77777777" w:rsidR="00EE0A39" w:rsidRDefault="00381469">
      <w:pPr>
        <w:spacing w:line="276" w:lineRule="auto"/>
        <w:ind w:firstLine="851"/>
        <w:jc w:val="both"/>
        <w:rPr>
          <w:szCs w:val="24"/>
        </w:rPr>
      </w:pPr>
      <w:r w:rsidR="00D5119C">
        <w:rPr>
          <w:szCs w:val="24"/>
        </w:rPr>
        <w:t>36.3</w:t>
      </w:r>
      <w:r w:rsidR="00D5119C">
        <w:rPr>
          <w:szCs w:val="24"/>
        </w:rPr>
        <w:t>. Valstybinė ligonių kasa prie Sveikatos apsaugos ministerijos;</w:t>
      </w:r>
    </w:p>
    <w:p w14:paraId="78A96180" w14:textId="77777777" w:rsidR="00EE0A39" w:rsidRDefault="00381469">
      <w:pPr>
        <w:spacing w:line="276" w:lineRule="auto"/>
        <w:ind w:firstLine="851"/>
        <w:jc w:val="both"/>
        <w:rPr>
          <w:szCs w:val="24"/>
        </w:rPr>
      </w:pPr>
      <w:r w:rsidR="00D5119C">
        <w:rPr>
          <w:szCs w:val="24"/>
        </w:rPr>
        <w:t>36.4</w:t>
      </w:r>
      <w:r w:rsidR="00D5119C">
        <w:rPr>
          <w:szCs w:val="24"/>
        </w:rPr>
        <w:t>. VVKT;</w:t>
      </w:r>
    </w:p>
    <w:p w14:paraId="150E5CCB" w14:textId="502C8E2B" w:rsidR="00EE0A39" w:rsidRDefault="00381469">
      <w:pPr>
        <w:spacing w:line="276" w:lineRule="auto"/>
        <w:ind w:firstLine="851"/>
        <w:jc w:val="both"/>
        <w:rPr>
          <w:szCs w:val="24"/>
        </w:rPr>
      </w:pPr>
      <w:r w:rsidR="00D5119C">
        <w:rPr>
          <w:szCs w:val="24"/>
        </w:rPr>
        <w:t>36.5</w:t>
      </w:r>
      <w:r w:rsidR="00D5119C">
        <w:rPr>
          <w:szCs w:val="24"/>
        </w:rPr>
        <w:t>. ULAC;</w:t>
      </w:r>
    </w:p>
    <w:p w14:paraId="630AA3CC" w14:textId="77777777" w:rsidR="00EE0A39" w:rsidRDefault="00381469">
      <w:pPr>
        <w:spacing w:line="276" w:lineRule="auto"/>
        <w:ind w:firstLine="851"/>
        <w:jc w:val="both"/>
        <w:rPr>
          <w:szCs w:val="24"/>
        </w:rPr>
      </w:pPr>
      <w:r w:rsidR="00D5119C">
        <w:rPr>
          <w:szCs w:val="24"/>
        </w:rPr>
        <w:t>36.6</w:t>
      </w:r>
      <w:r w:rsidR="00D5119C">
        <w:rPr>
          <w:szCs w:val="24"/>
        </w:rPr>
        <w:t>. Nacionalinė visuomenės sveikatos priežiūros laboratorija;</w:t>
      </w:r>
    </w:p>
    <w:p w14:paraId="2A3AB0F6" w14:textId="77777777" w:rsidR="00EE0A39" w:rsidRDefault="00381469">
      <w:pPr>
        <w:spacing w:line="276" w:lineRule="auto"/>
        <w:ind w:firstLine="851"/>
        <w:jc w:val="both"/>
        <w:rPr>
          <w:szCs w:val="24"/>
        </w:rPr>
      </w:pPr>
      <w:r w:rsidR="00D5119C">
        <w:rPr>
          <w:szCs w:val="24"/>
        </w:rPr>
        <w:t>36.7</w:t>
      </w:r>
      <w:r w:rsidR="00D5119C">
        <w:rPr>
          <w:szCs w:val="24"/>
        </w:rPr>
        <w:t>. Higienos institutas;</w:t>
      </w:r>
    </w:p>
    <w:p w14:paraId="28A39DC4" w14:textId="77777777" w:rsidR="00EE0A39" w:rsidRDefault="00381469">
      <w:pPr>
        <w:spacing w:line="276" w:lineRule="auto"/>
        <w:ind w:firstLine="851"/>
        <w:jc w:val="both"/>
        <w:rPr>
          <w:szCs w:val="24"/>
        </w:rPr>
      </w:pPr>
      <w:r w:rsidR="00D5119C">
        <w:rPr>
          <w:szCs w:val="24"/>
        </w:rPr>
        <w:t>36.8</w:t>
      </w:r>
      <w:r w:rsidR="00D5119C">
        <w:rPr>
          <w:szCs w:val="24"/>
        </w:rPr>
        <w:t>. savivaldybių visuomenės sveikatos biurai;</w:t>
      </w:r>
    </w:p>
    <w:p w14:paraId="27E83E39" w14:textId="77777777" w:rsidR="00EE0A39" w:rsidRDefault="00381469">
      <w:pPr>
        <w:spacing w:line="276" w:lineRule="auto"/>
        <w:ind w:firstLine="851"/>
        <w:jc w:val="both"/>
        <w:rPr>
          <w:szCs w:val="24"/>
        </w:rPr>
      </w:pPr>
      <w:r w:rsidR="00D5119C">
        <w:rPr>
          <w:szCs w:val="24"/>
        </w:rPr>
        <w:t>36.9</w:t>
      </w:r>
      <w:r w:rsidR="00D5119C">
        <w:rPr>
          <w:szCs w:val="24"/>
        </w:rPr>
        <w:t>. asmens sveikatos priežiūros įstaigos;</w:t>
      </w:r>
    </w:p>
    <w:p w14:paraId="13A7D844" w14:textId="77777777" w:rsidR="00EE0A39" w:rsidRDefault="00381469">
      <w:pPr>
        <w:spacing w:line="276" w:lineRule="auto"/>
        <w:ind w:firstLine="851"/>
        <w:jc w:val="both"/>
        <w:rPr>
          <w:szCs w:val="24"/>
        </w:rPr>
      </w:pPr>
      <w:r w:rsidR="00D5119C">
        <w:rPr>
          <w:szCs w:val="24"/>
        </w:rPr>
        <w:t>36.10</w:t>
      </w:r>
      <w:r w:rsidR="00D5119C">
        <w:rPr>
          <w:szCs w:val="24"/>
        </w:rPr>
        <w:t>. Vilniaus universiteto Medicinos fakultetas, Lietuvos sveikatos mokslų universitetas.</w:t>
      </w:r>
    </w:p>
    <w:p w14:paraId="29206E17" w14:textId="634919C0" w:rsidR="00EE0A39" w:rsidRDefault="00381469">
      <w:pPr>
        <w:spacing w:line="276" w:lineRule="auto"/>
        <w:ind w:firstLine="851"/>
        <w:jc w:val="both"/>
        <w:rPr>
          <w:szCs w:val="24"/>
        </w:rPr>
      </w:pPr>
      <w:r w:rsidR="00D5119C">
        <w:rPr>
          <w:caps/>
          <w:szCs w:val="24"/>
        </w:rPr>
        <w:t>37</w:t>
      </w:r>
      <w:r w:rsidR="00D5119C">
        <w:rPr>
          <w:caps/>
          <w:szCs w:val="24"/>
        </w:rPr>
        <w:t>.</w:t>
      </w:r>
      <w:r w:rsidR="00D5119C">
        <w:rPr>
          <w:szCs w:val="24"/>
        </w:rPr>
        <w:t xml:space="preserve"> Programos įgyvendinimą koordinuoja Lietuvos Respublikos sveikatos apsaugos ministerija. </w:t>
      </w:r>
    </w:p>
    <w:p w14:paraId="041A863F" w14:textId="30C1C624" w:rsidR="00381469" w:rsidRDefault="00381469" w:rsidP="00381469">
      <w:pPr>
        <w:spacing w:line="276" w:lineRule="auto"/>
        <w:jc w:val="center"/>
        <w:rPr>
          <w:szCs w:val="24"/>
        </w:rPr>
      </w:pPr>
      <w:r>
        <w:rPr>
          <w:szCs w:val="24"/>
        </w:rPr>
        <w:t>________________________</w:t>
      </w:r>
    </w:p>
    <w:p w14:paraId="0B78BB7F" w14:textId="0658759F" w:rsidR="00381469" w:rsidRDefault="00381469">
      <w:pPr>
        <w:spacing w:line="276" w:lineRule="auto"/>
        <w:ind w:firstLine="851"/>
        <w:jc w:val="both"/>
        <w:rPr>
          <w:szCs w:val="24"/>
        </w:rPr>
      </w:pPr>
    </w:p>
    <w:p w14:paraId="6CC372F2" w14:textId="77777777" w:rsidR="00381469" w:rsidRDefault="00381469">
      <w:pPr>
        <w:spacing w:line="276" w:lineRule="auto"/>
        <w:ind w:firstLine="851"/>
        <w:jc w:val="both"/>
        <w:rPr>
          <w:szCs w:val="24"/>
        </w:rPr>
        <w:sectPr w:rsidR="00381469" w:rsidSect="00D5119C">
          <w:pgSz w:w="11906" w:h="16838" w:code="9"/>
          <w:pgMar w:top="1134" w:right="567" w:bottom="1134" w:left="1701" w:header="1134" w:footer="1134" w:gutter="0"/>
          <w:pgNumType w:start="1"/>
          <w:cols w:space="1296"/>
          <w:titlePg/>
          <w:docGrid w:linePitch="326"/>
        </w:sectPr>
      </w:pPr>
    </w:p>
    <w:p w14:paraId="7E9224E5" w14:textId="77777777" w:rsidR="00381469" w:rsidRDefault="00381469" w:rsidP="00381469">
      <w:pPr>
        <w:tabs>
          <w:tab w:val="left" w:pos="540"/>
          <w:tab w:val="left" w:pos="11340"/>
          <w:tab w:val="left" w:pos="11766"/>
        </w:tabs>
        <w:ind w:firstLine="11199"/>
        <w:rPr>
          <w:szCs w:val="24"/>
        </w:rPr>
      </w:pPr>
      <w:r>
        <w:rPr>
          <w:szCs w:val="24"/>
        </w:rPr>
        <w:lastRenderedPageBreak/>
        <w:t>Nacionalinės imunoprofilaktikos</w:t>
      </w:r>
    </w:p>
    <w:p w14:paraId="479E531C" w14:textId="77777777" w:rsidR="00381469" w:rsidRDefault="00381469" w:rsidP="00381469">
      <w:pPr>
        <w:tabs>
          <w:tab w:val="left" w:pos="540"/>
          <w:tab w:val="left" w:pos="11340"/>
          <w:tab w:val="left" w:pos="11766"/>
        </w:tabs>
        <w:ind w:firstLine="11199"/>
        <w:rPr>
          <w:szCs w:val="24"/>
        </w:rPr>
      </w:pPr>
      <w:r>
        <w:rPr>
          <w:szCs w:val="24"/>
        </w:rPr>
        <w:t xml:space="preserve">2019–2023 metų programos </w:t>
      </w:r>
    </w:p>
    <w:p w14:paraId="1FE744FF" w14:textId="77777777" w:rsidR="00381469" w:rsidRDefault="00381469" w:rsidP="00381469">
      <w:pPr>
        <w:spacing w:line="276" w:lineRule="auto"/>
        <w:ind w:right="-881" w:firstLine="11199"/>
        <w:rPr>
          <w:szCs w:val="24"/>
        </w:rPr>
      </w:pPr>
      <w:r>
        <w:rPr>
          <w:szCs w:val="24"/>
        </w:rPr>
        <w:t>1 priedas</w:t>
      </w:r>
    </w:p>
    <w:p w14:paraId="267058A4" w14:textId="77777777" w:rsidR="00381469" w:rsidRDefault="00381469" w:rsidP="00381469">
      <w:pPr>
        <w:ind w:right="-881"/>
        <w:rPr>
          <w:szCs w:val="24"/>
        </w:rPr>
      </w:pPr>
    </w:p>
    <w:p w14:paraId="3F05626C" w14:textId="77777777" w:rsidR="00381469" w:rsidRDefault="00381469" w:rsidP="00381469">
      <w:pPr>
        <w:ind w:right="-31"/>
        <w:jc w:val="center"/>
        <w:rPr>
          <w:b/>
          <w:szCs w:val="24"/>
        </w:rPr>
      </w:pPr>
      <w:r>
        <w:rPr>
          <w:b/>
          <w:szCs w:val="24"/>
        </w:rPr>
        <w:t>LIETUVOS RESPUBLIKOS VAIKŲ PROFILAKTINIŲ SKIEPIJIMŲ KALENDORIAUS VAKCINŲ SKIEPIJIMŲ APRĖPTYS LIETUVOJE 2003–2017 METAIS*</w:t>
      </w:r>
    </w:p>
    <w:p w14:paraId="4C9D90B7" w14:textId="77777777" w:rsidR="00381469" w:rsidRDefault="00381469" w:rsidP="00381469">
      <w:pPr>
        <w:jc w:val="center"/>
        <w:rPr>
          <w:szCs w:val="24"/>
        </w:rPr>
      </w:pPr>
    </w:p>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856"/>
        <w:gridCol w:w="855"/>
        <w:gridCol w:w="713"/>
        <w:gridCol w:w="735"/>
        <w:gridCol w:w="734"/>
        <w:gridCol w:w="734"/>
        <w:gridCol w:w="734"/>
        <w:gridCol w:w="734"/>
        <w:gridCol w:w="734"/>
        <w:gridCol w:w="734"/>
        <w:gridCol w:w="734"/>
        <w:gridCol w:w="734"/>
        <w:gridCol w:w="809"/>
        <w:gridCol w:w="809"/>
        <w:gridCol w:w="744"/>
      </w:tblGrid>
      <w:tr w:rsidR="00381469" w14:paraId="7594F8CD" w14:textId="77777777" w:rsidTr="00381469">
        <w:trPr>
          <w:trHeight w:val="628"/>
        </w:trPr>
        <w:tc>
          <w:tcPr>
            <w:tcW w:w="3531"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53C5A142" w14:textId="77777777" w:rsidR="00381469" w:rsidRDefault="00381469">
            <w:pPr>
              <w:jc w:val="center"/>
              <w:rPr>
                <w:bCs/>
                <w:szCs w:val="24"/>
              </w:rPr>
            </w:pPr>
            <w:r>
              <w:rPr>
                <w:bCs/>
                <w:szCs w:val="24"/>
              </w:rPr>
              <w:t xml:space="preserve">Užkrečiamoji liga </w:t>
            </w:r>
          </w:p>
          <w:p w14:paraId="5FC84694" w14:textId="77777777" w:rsidR="00381469" w:rsidRDefault="00381469">
            <w:pPr>
              <w:jc w:val="center"/>
              <w:rPr>
                <w:bCs/>
                <w:szCs w:val="24"/>
              </w:rPr>
            </w:pPr>
            <w:r>
              <w:rPr>
                <w:bCs/>
                <w:szCs w:val="24"/>
              </w:rPr>
              <w:t>(amžiaus grupė)</w:t>
            </w:r>
          </w:p>
        </w:tc>
        <w:tc>
          <w:tcPr>
            <w:tcW w:w="11393" w:type="dxa"/>
            <w:gridSpan w:val="15"/>
            <w:tcBorders>
              <w:top w:val="single" w:sz="4" w:space="0" w:color="000000"/>
              <w:left w:val="single" w:sz="4" w:space="0" w:color="000000"/>
              <w:bottom w:val="single" w:sz="4" w:space="0" w:color="000000"/>
              <w:right w:val="single" w:sz="4" w:space="0" w:color="000000"/>
            </w:tcBorders>
            <w:noWrap/>
            <w:vAlign w:val="center"/>
            <w:hideMark/>
          </w:tcPr>
          <w:p w14:paraId="2148814C" w14:textId="77777777" w:rsidR="00381469" w:rsidRDefault="00381469">
            <w:pPr>
              <w:jc w:val="center"/>
              <w:rPr>
                <w:bCs/>
                <w:szCs w:val="24"/>
              </w:rPr>
            </w:pPr>
            <w:r>
              <w:rPr>
                <w:bCs/>
                <w:szCs w:val="24"/>
              </w:rPr>
              <w:t>Skiepijimų aprėptys (procentais)</w:t>
            </w:r>
          </w:p>
        </w:tc>
      </w:tr>
      <w:tr w:rsidR="00381469" w14:paraId="701F56F1" w14:textId="77777777" w:rsidTr="00381469">
        <w:trPr>
          <w:trHeight w:val="6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9D984" w14:textId="77777777" w:rsidR="00381469" w:rsidRDefault="00381469">
            <w:pPr>
              <w:rPr>
                <w:bCs/>
                <w:szCs w:val="24"/>
              </w:rPr>
            </w:pP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4DBA7F55" w14:textId="77777777" w:rsidR="00381469" w:rsidRDefault="00381469">
            <w:pPr>
              <w:jc w:val="center"/>
              <w:rPr>
                <w:bCs/>
                <w:szCs w:val="24"/>
              </w:rPr>
            </w:pPr>
            <w:r>
              <w:rPr>
                <w:bCs/>
                <w:szCs w:val="24"/>
              </w:rPr>
              <w:t>2003</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06B3CCC1" w14:textId="77777777" w:rsidR="00381469" w:rsidRDefault="00381469">
            <w:pPr>
              <w:jc w:val="center"/>
              <w:rPr>
                <w:bCs/>
                <w:szCs w:val="24"/>
              </w:rPr>
            </w:pPr>
            <w:r>
              <w:rPr>
                <w:bCs/>
                <w:szCs w:val="24"/>
              </w:rPr>
              <w:t>2004</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3AC2B8AB" w14:textId="77777777" w:rsidR="00381469" w:rsidRDefault="00381469">
            <w:pPr>
              <w:jc w:val="center"/>
              <w:rPr>
                <w:bCs/>
                <w:szCs w:val="24"/>
              </w:rPr>
            </w:pPr>
            <w:r>
              <w:rPr>
                <w:bCs/>
                <w:szCs w:val="24"/>
              </w:rPr>
              <w:t>2005</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5B334692" w14:textId="77777777" w:rsidR="00381469" w:rsidRDefault="00381469">
            <w:pPr>
              <w:jc w:val="center"/>
              <w:rPr>
                <w:bCs/>
                <w:szCs w:val="24"/>
              </w:rPr>
            </w:pPr>
            <w:r>
              <w:rPr>
                <w:bCs/>
                <w:szCs w:val="24"/>
              </w:rPr>
              <w:t>2006</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59272FB2" w14:textId="77777777" w:rsidR="00381469" w:rsidRDefault="00381469">
            <w:pPr>
              <w:jc w:val="center"/>
              <w:rPr>
                <w:bCs/>
                <w:szCs w:val="24"/>
              </w:rPr>
            </w:pPr>
            <w:r>
              <w:rPr>
                <w:bCs/>
                <w:szCs w:val="24"/>
              </w:rPr>
              <w:t>2007</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F5DA5A4" w14:textId="77777777" w:rsidR="00381469" w:rsidRDefault="00381469">
            <w:pPr>
              <w:jc w:val="center"/>
              <w:rPr>
                <w:bCs/>
                <w:szCs w:val="24"/>
              </w:rPr>
            </w:pPr>
            <w:r>
              <w:rPr>
                <w:bCs/>
                <w:szCs w:val="24"/>
              </w:rPr>
              <w:t>2008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56A86695" w14:textId="77777777" w:rsidR="00381469" w:rsidRDefault="00381469">
            <w:pPr>
              <w:jc w:val="center"/>
              <w:rPr>
                <w:bCs/>
                <w:szCs w:val="24"/>
              </w:rPr>
            </w:pPr>
            <w:r>
              <w:rPr>
                <w:bCs/>
                <w:szCs w:val="24"/>
              </w:rPr>
              <w:t>2009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5745273" w14:textId="77777777" w:rsidR="00381469" w:rsidRDefault="00381469">
            <w:pPr>
              <w:jc w:val="center"/>
              <w:rPr>
                <w:bCs/>
                <w:szCs w:val="24"/>
              </w:rPr>
            </w:pPr>
            <w:r>
              <w:rPr>
                <w:bCs/>
                <w:szCs w:val="24"/>
              </w:rPr>
              <w:t>2010</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A8BC3F8" w14:textId="77777777" w:rsidR="00381469" w:rsidRDefault="00381469">
            <w:pPr>
              <w:jc w:val="center"/>
              <w:rPr>
                <w:bCs/>
                <w:szCs w:val="24"/>
              </w:rPr>
            </w:pPr>
            <w:r>
              <w:rPr>
                <w:bCs/>
                <w:szCs w:val="24"/>
              </w:rPr>
              <w:t>2011</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EE9D1CA" w14:textId="77777777" w:rsidR="00381469" w:rsidRDefault="00381469">
            <w:pPr>
              <w:jc w:val="center"/>
              <w:rPr>
                <w:bCs/>
                <w:szCs w:val="24"/>
              </w:rPr>
            </w:pPr>
            <w:r>
              <w:rPr>
                <w:bCs/>
                <w:szCs w:val="24"/>
              </w:rPr>
              <w:t>2012</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B222445" w14:textId="77777777" w:rsidR="00381469" w:rsidRDefault="00381469">
            <w:pPr>
              <w:jc w:val="center"/>
              <w:rPr>
                <w:bCs/>
                <w:szCs w:val="24"/>
              </w:rPr>
            </w:pPr>
            <w:r>
              <w:rPr>
                <w:bCs/>
                <w:szCs w:val="24"/>
              </w:rPr>
              <w:t>2013</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7D66EDD" w14:textId="77777777" w:rsidR="00381469" w:rsidRDefault="00381469">
            <w:pPr>
              <w:jc w:val="center"/>
              <w:rPr>
                <w:bCs/>
                <w:szCs w:val="24"/>
              </w:rPr>
            </w:pPr>
            <w:r>
              <w:rPr>
                <w:bCs/>
                <w:szCs w:val="24"/>
              </w:rPr>
              <w:t>2014</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2868019B" w14:textId="77777777" w:rsidR="00381469" w:rsidRDefault="00381469">
            <w:pPr>
              <w:jc w:val="center"/>
              <w:rPr>
                <w:bCs/>
                <w:szCs w:val="24"/>
              </w:rPr>
            </w:pPr>
            <w:r>
              <w:rPr>
                <w:bCs/>
                <w:szCs w:val="24"/>
              </w:rPr>
              <w:t>2015</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391271AC" w14:textId="77777777" w:rsidR="00381469" w:rsidRDefault="00381469">
            <w:pPr>
              <w:jc w:val="center"/>
              <w:rPr>
                <w:bCs/>
                <w:szCs w:val="24"/>
              </w:rPr>
            </w:pPr>
            <w:r>
              <w:rPr>
                <w:bCs/>
                <w:szCs w:val="24"/>
              </w:rPr>
              <w:t>2016</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139FAF93" w14:textId="77777777" w:rsidR="00381469" w:rsidRDefault="00381469">
            <w:pPr>
              <w:jc w:val="center"/>
              <w:rPr>
                <w:bCs/>
                <w:szCs w:val="24"/>
              </w:rPr>
            </w:pPr>
            <w:r>
              <w:rPr>
                <w:bCs/>
                <w:szCs w:val="24"/>
              </w:rPr>
              <w:t>2017</w:t>
            </w:r>
          </w:p>
        </w:tc>
      </w:tr>
      <w:tr w:rsidR="00381469" w14:paraId="17A94422" w14:textId="77777777" w:rsidTr="00381469">
        <w:trPr>
          <w:trHeight w:val="628"/>
        </w:trPr>
        <w:tc>
          <w:tcPr>
            <w:tcW w:w="3531" w:type="dxa"/>
            <w:tcBorders>
              <w:top w:val="single" w:sz="4" w:space="0" w:color="000000"/>
              <w:left w:val="single" w:sz="4" w:space="0" w:color="000000"/>
              <w:bottom w:val="single" w:sz="4" w:space="0" w:color="000000"/>
              <w:right w:val="single" w:sz="4" w:space="0" w:color="000000"/>
            </w:tcBorders>
            <w:noWrap/>
            <w:vAlign w:val="center"/>
            <w:hideMark/>
          </w:tcPr>
          <w:p w14:paraId="7D5752C2" w14:textId="77777777" w:rsidR="00381469" w:rsidRDefault="00381469">
            <w:pPr>
              <w:rPr>
                <w:szCs w:val="24"/>
              </w:rPr>
            </w:pPr>
            <w:r>
              <w:rPr>
                <w:szCs w:val="24"/>
              </w:rPr>
              <w:t>BCG (naujagimiai)</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1A0EDC62" w14:textId="77777777" w:rsidR="00381469" w:rsidRDefault="00381469">
            <w:pPr>
              <w:jc w:val="center"/>
              <w:rPr>
                <w:szCs w:val="24"/>
              </w:rPr>
            </w:pPr>
            <w:r>
              <w:rPr>
                <w:szCs w:val="24"/>
              </w:rPr>
              <w:t>99,4</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4729517A" w14:textId="77777777" w:rsidR="00381469" w:rsidRDefault="00381469">
            <w:pPr>
              <w:jc w:val="center"/>
              <w:rPr>
                <w:szCs w:val="24"/>
              </w:rPr>
            </w:pPr>
            <w:r>
              <w:rPr>
                <w:szCs w:val="24"/>
              </w:rPr>
              <w:t>98,9</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17277FCD" w14:textId="77777777" w:rsidR="00381469" w:rsidRDefault="00381469">
            <w:pPr>
              <w:jc w:val="center"/>
              <w:rPr>
                <w:szCs w:val="24"/>
              </w:rPr>
            </w:pPr>
            <w:r>
              <w:rPr>
                <w:szCs w:val="24"/>
              </w:rPr>
              <w:t>99,4</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615EA414" w14:textId="77777777" w:rsidR="00381469" w:rsidRDefault="00381469">
            <w:pPr>
              <w:jc w:val="center"/>
              <w:rPr>
                <w:szCs w:val="24"/>
              </w:rPr>
            </w:pPr>
            <w:r>
              <w:rPr>
                <w:szCs w:val="24"/>
              </w:rPr>
              <w:t>99,4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06C96D7C" w14:textId="77777777" w:rsidR="00381469" w:rsidRDefault="00381469">
            <w:pPr>
              <w:jc w:val="center"/>
              <w:rPr>
                <w:szCs w:val="24"/>
              </w:rPr>
            </w:pPr>
            <w:r>
              <w:rPr>
                <w:szCs w:val="24"/>
              </w:rPr>
              <w:t>99,3</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879D5D5" w14:textId="77777777" w:rsidR="00381469" w:rsidRDefault="00381469">
            <w:pPr>
              <w:jc w:val="center"/>
              <w:rPr>
                <w:szCs w:val="24"/>
              </w:rPr>
            </w:pPr>
            <w:r>
              <w:rPr>
                <w:szCs w:val="24"/>
              </w:rPr>
              <w:t>99,3</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50D3786" w14:textId="77777777" w:rsidR="00381469" w:rsidRDefault="00381469">
            <w:pPr>
              <w:jc w:val="center"/>
              <w:rPr>
                <w:szCs w:val="24"/>
              </w:rPr>
            </w:pPr>
            <w:r>
              <w:rPr>
                <w:szCs w:val="24"/>
              </w:rPr>
              <w:t>99,5</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7180625" w14:textId="77777777" w:rsidR="00381469" w:rsidRDefault="00381469">
            <w:pPr>
              <w:jc w:val="center"/>
              <w:rPr>
                <w:szCs w:val="24"/>
              </w:rPr>
            </w:pPr>
            <w:r>
              <w:rPr>
                <w:szCs w:val="24"/>
              </w:rPr>
              <w:t>98,9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0FB073AA" w14:textId="77777777" w:rsidR="00381469" w:rsidRDefault="00381469">
            <w:pPr>
              <w:jc w:val="center"/>
              <w:rPr>
                <w:szCs w:val="24"/>
              </w:rPr>
            </w:pPr>
            <w:r>
              <w:rPr>
                <w:szCs w:val="24"/>
              </w:rPr>
              <w:t>97,8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F51F966" w14:textId="77777777" w:rsidR="00381469" w:rsidRDefault="00381469">
            <w:pPr>
              <w:jc w:val="center"/>
              <w:rPr>
                <w:szCs w:val="24"/>
              </w:rPr>
            </w:pPr>
            <w:r>
              <w:rPr>
                <w:szCs w:val="24"/>
              </w:rPr>
              <w:t>97,9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06D9CA8D" w14:textId="77777777" w:rsidR="00381469" w:rsidRDefault="00381469">
            <w:pPr>
              <w:jc w:val="center"/>
              <w:rPr>
                <w:szCs w:val="24"/>
              </w:rPr>
            </w:pPr>
            <w:r>
              <w:rPr>
                <w:szCs w:val="24"/>
              </w:rPr>
              <w:t>98,2</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C3C2683" w14:textId="77777777" w:rsidR="00381469" w:rsidRDefault="00381469">
            <w:pPr>
              <w:jc w:val="center"/>
              <w:rPr>
                <w:szCs w:val="24"/>
              </w:rPr>
            </w:pPr>
            <w:r>
              <w:rPr>
                <w:szCs w:val="24"/>
              </w:rPr>
              <w:t>97,7</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5A9E5EA2" w14:textId="77777777" w:rsidR="00381469" w:rsidRDefault="00381469">
            <w:pPr>
              <w:jc w:val="center"/>
              <w:rPr>
                <w:szCs w:val="24"/>
              </w:rPr>
            </w:pPr>
            <w:r>
              <w:rPr>
                <w:szCs w:val="24"/>
              </w:rPr>
              <w:t>97,2</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08A14E0A" w14:textId="77777777" w:rsidR="00381469" w:rsidRDefault="00381469">
            <w:pPr>
              <w:jc w:val="center"/>
              <w:rPr>
                <w:szCs w:val="24"/>
              </w:rPr>
            </w:pPr>
            <w:r>
              <w:rPr>
                <w:szCs w:val="24"/>
              </w:rPr>
              <w:t>97,7</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2F3B794D" w14:textId="77777777" w:rsidR="00381469" w:rsidRDefault="00381469">
            <w:pPr>
              <w:jc w:val="center"/>
              <w:rPr>
                <w:szCs w:val="24"/>
              </w:rPr>
            </w:pPr>
            <w:r>
              <w:rPr>
                <w:szCs w:val="24"/>
              </w:rPr>
              <w:t>97,3</w:t>
            </w:r>
          </w:p>
        </w:tc>
      </w:tr>
      <w:tr w:rsidR="00381469" w14:paraId="111E2830" w14:textId="77777777" w:rsidTr="00381469">
        <w:trPr>
          <w:trHeight w:val="628"/>
        </w:trPr>
        <w:tc>
          <w:tcPr>
            <w:tcW w:w="3531" w:type="dxa"/>
            <w:tcBorders>
              <w:top w:val="single" w:sz="4" w:space="0" w:color="000000"/>
              <w:left w:val="single" w:sz="4" w:space="0" w:color="000000"/>
              <w:bottom w:val="single" w:sz="4" w:space="0" w:color="000000"/>
              <w:right w:val="single" w:sz="4" w:space="0" w:color="000000"/>
            </w:tcBorders>
            <w:noWrap/>
            <w:vAlign w:val="center"/>
            <w:hideMark/>
          </w:tcPr>
          <w:p w14:paraId="53A798ED" w14:textId="77777777" w:rsidR="00381469" w:rsidRDefault="00381469">
            <w:pPr>
              <w:rPr>
                <w:szCs w:val="24"/>
              </w:rPr>
            </w:pPr>
            <w:r>
              <w:rPr>
                <w:szCs w:val="24"/>
              </w:rPr>
              <w:t>Hepatitas B (naujagimiai)</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5FA2AE5D" w14:textId="77777777" w:rsidR="00381469" w:rsidRDefault="00381469">
            <w:pPr>
              <w:jc w:val="center"/>
              <w:rPr>
                <w:szCs w:val="24"/>
              </w:rPr>
            </w:pPr>
            <w:r>
              <w:rPr>
                <w:szCs w:val="24"/>
              </w:rPr>
              <w:t>99,4</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7F07FFB2" w14:textId="77777777" w:rsidR="00381469" w:rsidRDefault="00381469">
            <w:pPr>
              <w:jc w:val="center"/>
              <w:rPr>
                <w:szCs w:val="24"/>
              </w:rPr>
            </w:pPr>
            <w:r>
              <w:rPr>
                <w:szCs w:val="24"/>
              </w:rPr>
              <w:t>98,5</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70E94EAA" w14:textId="77777777" w:rsidR="00381469" w:rsidRDefault="00381469">
            <w:pPr>
              <w:jc w:val="center"/>
              <w:rPr>
                <w:szCs w:val="24"/>
              </w:rPr>
            </w:pPr>
            <w:r>
              <w:rPr>
                <w:szCs w:val="24"/>
              </w:rPr>
              <w:t>99</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417BCB77" w14:textId="77777777" w:rsidR="00381469" w:rsidRDefault="00381469">
            <w:pPr>
              <w:jc w:val="center"/>
              <w:rPr>
                <w:szCs w:val="24"/>
              </w:rPr>
            </w:pPr>
            <w:r>
              <w:rPr>
                <w:szCs w:val="24"/>
              </w:rPr>
              <w:t>99,4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53969E0" w14:textId="77777777" w:rsidR="00381469" w:rsidRDefault="00381469">
            <w:pPr>
              <w:jc w:val="center"/>
              <w:rPr>
                <w:szCs w:val="24"/>
              </w:rPr>
            </w:pPr>
            <w:r>
              <w:rPr>
                <w:szCs w:val="24"/>
              </w:rPr>
              <w:t>99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69F8174" w14:textId="77777777" w:rsidR="00381469" w:rsidRDefault="00381469">
            <w:pPr>
              <w:jc w:val="center"/>
              <w:rPr>
                <w:szCs w:val="24"/>
              </w:rPr>
            </w:pPr>
            <w:r>
              <w:rPr>
                <w:szCs w:val="24"/>
              </w:rPr>
              <w:t>99,1</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0361920" w14:textId="77777777" w:rsidR="00381469" w:rsidRDefault="00381469">
            <w:pPr>
              <w:jc w:val="center"/>
              <w:rPr>
                <w:szCs w:val="24"/>
              </w:rPr>
            </w:pPr>
            <w:r>
              <w:rPr>
                <w:szCs w:val="24"/>
              </w:rPr>
              <w:t>99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66EE698" w14:textId="77777777" w:rsidR="00381469" w:rsidRDefault="00381469">
            <w:pPr>
              <w:jc w:val="center"/>
              <w:rPr>
                <w:szCs w:val="24"/>
              </w:rPr>
            </w:pPr>
            <w:r>
              <w:rPr>
                <w:szCs w:val="24"/>
              </w:rPr>
              <w:t>98,3</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7914CBB" w14:textId="77777777" w:rsidR="00381469" w:rsidRDefault="00381469">
            <w:pPr>
              <w:jc w:val="center"/>
              <w:rPr>
                <w:szCs w:val="24"/>
              </w:rPr>
            </w:pPr>
            <w:r>
              <w:rPr>
                <w:szCs w:val="24"/>
              </w:rPr>
              <w:t>95,7</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C3970E9" w14:textId="77777777" w:rsidR="00381469" w:rsidRDefault="00381469">
            <w:pPr>
              <w:jc w:val="center"/>
              <w:rPr>
                <w:szCs w:val="24"/>
              </w:rPr>
            </w:pPr>
            <w:r>
              <w:rPr>
                <w:szCs w:val="24"/>
              </w:rPr>
              <w:t>93,2</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32AD5F5B" w14:textId="77777777" w:rsidR="00381469" w:rsidRDefault="00381469">
            <w:pPr>
              <w:jc w:val="center"/>
              <w:rPr>
                <w:szCs w:val="24"/>
              </w:rPr>
            </w:pPr>
            <w:r>
              <w:rPr>
                <w:szCs w:val="24"/>
              </w:rPr>
              <w:t>97,7</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02FEF30" w14:textId="77777777" w:rsidR="00381469" w:rsidRDefault="00381469">
            <w:pPr>
              <w:jc w:val="center"/>
              <w:rPr>
                <w:szCs w:val="24"/>
              </w:rPr>
            </w:pPr>
            <w:r>
              <w:rPr>
                <w:szCs w:val="24"/>
              </w:rPr>
              <w:t>97,4</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09F7E912" w14:textId="77777777" w:rsidR="00381469" w:rsidRDefault="00381469">
            <w:pPr>
              <w:jc w:val="center"/>
              <w:rPr>
                <w:szCs w:val="24"/>
              </w:rPr>
            </w:pPr>
            <w:r>
              <w:rPr>
                <w:szCs w:val="24"/>
              </w:rPr>
              <w:t>97,3</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06B508D9" w14:textId="77777777" w:rsidR="00381469" w:rsidRDefault="00381469">
            <w:pPr>
              <w:jc w:val="center"/>
              <w:rPr>
                <w:szCs w:val="24"/>
              </w:rPr>
            </w:pPr>
            <w:r>
              <w:rPr>
                <w:szCs w:val="24"/>
              </w:rPr>
              <w:t>97,1</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6A210DE0" w14:textId="77777777" w:rsidR="00381469" w:rsidRDefault="00381469">
            <w:pPr>
              <w:jc w:val="center"/>
              <w:rPr>
                <w:szCs w:val="24"/>
              </w:rPr>
            </w:pPr>
            <w:r>
              <w:rPr>
                <w:szCs w:val="24"/>
              </w:rPr>
              <w:t>96,4</w:t>
            </w:r>
          </w:p>
        </w:tc>
      </w:tr>
      <w:tr w:rsidR="00381469" w14:paraId="6BC36158" w14:textId="77777777" w:rsidTr="00381469">
        <w:trPr>
          <w:trHeight w:val="628"/>
        </w:trPr>
        <w:tc>
          <w:tcPr>
            <w:tcW w:w="3531" w:type="dxa"/>
            <w:tcBorders>
              <w:top w:val="single" w:sz="4" w:space="0" w:color="000000"/>
              <w:left w:val="single" w:sz="4" w:space="0" w:color="000000"/>
              <w:bottom w:val="single" w:sz="4" w:space="0" w:color="000000"/>
              <w:right w:val="single" w:sz="4" w:space="0" w:color="000000"/>
            </w:tcBorders>
            <w:noWrap/>
            <w:vAlign w:val="center"/>
            <w:hideMark/>
          </w:tcPr>
          <w:p w14:paraId="4CF87CCC" w14:textId="77777777" w:rsidR="00381469" w:rsidRDefault="00381469">
            <w:pPr>
              <w:rPr>
                <w:szCs w:val="24"/>
              </w:rPr>
            </w:pPr>
            <w:r>
              <w:rPr>
                <w:szCs w:val="24"/>
              </w:rPr>
              <w:t xml:space="preserve">Kokliušas, difterija, stabligė </w:t>
            </w:r>
          </w:p>
          <w:p w14:paraId="73D88342" w14:textId="77777777" w:rsidR="00381469" w:rsidRDefault="00381469">
            <w:pPr>
              <w:rPr>
                <w:szCs w:val="24"/>
              </w:rPr>
            </w:pPr>
            <w:r>
              <w:rPr>
                <w:szCs w:val="24"/>
              </w:rPr>
              <w:t>(1 metai)</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5430836C" w14:textId="77777777" w:rsidR="00381469" w:rsidRDefault="00381469">
            <w:pPr>
              <w:jc w:val="center"/>
              <w:rPr>
                <w:szCs w:val="24"/>
              </w:rPr>
            </w:pPr>
            <w:r>
              <w:rPr>
                <w:szCs w:val="24"/>
              </w:rPr>
              <w:t>94,2</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642E973B" w14:textId="77777777" w:rsidR="00381469" w:rsidRDefault="00381469">
            <w:pPr>
              <w:jc w:val="center"/>
              <w:rPr>
                <w:szCs w:val="24"/>
              </w:rPr>
            </w:pPr>
            <w:r>
              <w:rPr>
                <w:szCs w:val="24"/>
              </w:rPr>
              <w:t>93,9</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6A6C99D5" w14:textId="77777777" w:rsidR="00381469" w:rsidRDefault="00381469">
            <w:pPr>
              <w:jc w:val="center"/>
              <w:rPr>
                <w:szCs w:val="24"/>
              </w:rPr>
            </w:pPr>
            <w:r>
              <w:rPr>
                <w:szCs w:val="24"/>
              </w:rPr>
              <w:t>94</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635673B1" w14:textId="77777777" w:rsidR="00381469" w:rsidRDefault="00381469">
            <w:pPr>
              <w:jc w:val="center"/>
              <w:rPr>
                <w:szCs w:val="24"/>
              </w:rPr>
            </w:pPr>
            <w:r>
              <w:rPr>
                <w:szCs w:val="24"/>
              </w:rPr>
              <w:t>94,1</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06A13C0C" w14:textId="77777777" w:rsidR="00381469" w:rsidRDefault="00381469">
            <w:pPr>
              <w:jc w:val="center"/>
              <w:rPr>
                <w:szCs w:val="24"/>
              </w:rPr>
            </w:pPr>
            <w:r>
              <w:rPr>
                <w:szCs w:val="24"/>
              </w:rPr>
              <w:t>94,9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2895DAA" w14:textId="77777777" w:rsidR="00381469" w:rsidRDefault="00381469">
            <w:pPr>
              <w:jc w:val="center"/>
              <w:rPr>
                <w:szCs w:val="24"/>
              </w:rPr>
            </w:pPr>
            <w:r>
              <w:rPr>
                <w:szCs w:val="24"/>
              </w:rPr>
              <w:t>95,8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ADB43A3" w14:textId="77777777" w:rsidR="00381469" w:rsidRDefault="00381469">
            <w:pPr>
              <w:jc w:val="center"/>
              <w:rPr>
                <w:szCs w:val="24"/>
              </w:rPr>
            </w:pPr>
            <w:r>
              <w:rPr>
                <w:szCs w:val="24"/>
              </w:rPr>
              <w:t>97,4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8BE87DF" w14:textId="77777777" w:rsidR="00381469" w:rsidRDefault="00381469">
            <w:pPr>
              <w:jc w:val="center"/>
              <w:rPr>
                <w:szCs w:val="24"/>
              </w:rPr>
            </w:pPr>
            <w:r>
              <w:rPr>
                <w:szCs w:val="24"/>
              </w:rPr>
              <w:t>94,8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06F7709" w14:textId="77777777" w:rsidR="00381469" w:rsidRDefault="00381469">
            <w:pPr>
              <w:jc w:val="center"/>
              <w:rPr>
                <w:szCs w:val="24"/>
              </w:rPr>
            </w:pPr>
            <w:r>
              <w:rPr>
                <w:szCs w:val="24"/>
              </w:rPr>
              <w:t>92,4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F368C3A" w14:textId="77777777" w:rsidR="00381469" w:rsidRDefault="00381469">
            <w:pPr>
              <w:jc w:val="center"/>
              <w:rPr>
                <w:szCs w:val="24"/>
              </w:rPr>
            </w:pPr>
            <w:r>
              <w:rPr>
                <w:szCs w:val="24"/>
              </w:rPr>
              <w:t>92,8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AAE85ED" w14:textId="77777777" w:rsidR="00381469" w:rsidRDefault="00381469">
            <w:pPr>
              <w:jc w:val="center"/>
              <w:rPr>
                <w:szCs w:val="24"/>
              </w:rPr>
            </w:pPr>
            <w:r>
              <w:rPr>
                <w:szCs w:val="24"/>
              </w:rPr>
              <w:t>93,2</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454D4DA" w14:textId="77777777" w:rsidR="00381469" w:rsidRDefault="00381469">
            <w:pPr>
              <w:jc w:val="center"/>
              <w:rPr>
                <w:szCs w:val="24"/>
              </w:rPr>
            </w:pPr>
            <w:r>
              <w:rPr>
                <w:szCs w:val="24"/>
              </w:rPr>
              <w:t>92,9</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05767D6D" w14:textId="77777777" w:rsidR="00381469" w:rsidRDefault="00381469">
            <w:pPr>
              <w:jc w:val="center"/>
              <w:rPr>
                <w:szCs w:val="24"/>
              </w:rPr>
            </w:pPr>
            <w:r>
              <w:rPr>
                <w:szCs w:val="24"/>
              </w:rPr>
              <w:t>93,5</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2DB663FD" w14:textId="77777777" w:rsidR="00381469" w:rsidRDefault="00381469">
            <w:pPr>
              <w:jc w:val="center"/>
              <w:rPr>
                <w:szCs w:val="24"/>
              </w:rPr>
            </w:pPr>
            <w:r>
              <w:rPr>
                <w:szCs w:val="24"/>
              </w:rPr>
              <w:t>94,1</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4926ACE3" w14:textId="77777777" w:rsidR="00381469" w:rsidRDefault="00381469">
            <w:pPr>
              <w:jc w:val="center"/>
              <w:rPr>
                <w:szCs w:val="24"/>
              </w:rPr>
            </w:pPr>
            <w:r>
              <w:rPr>
                <w:szCs w:val="24"/>
              </w:rPr>
              <w:t>93,7</w:t>
            </w:r>
          </w:p>
        </w:tc>
      </w:tr>
      <w:tr w:rsidR="00381469" w14:paraId="72432B72" w14:textId="77777777" w:rsidTr="00381469">
        <w:trPr>
          <w:trHeight w:val="628"/>
        </w:trPr>
        <w:tc>
          <w:tcPr>
            <w:tcW w:w="3531" w:type="dxa"/>
            <w:tcBorders>
              <w:top w:val="single" w:sz="4" w:space="0" w:color="000000"/>
              <w:left w:val="single" w:sz="4" w:space="0" w:color="000000"/>
              <w:bottom w:val="single" w:sz="4" w:space="0" w:color="000000"/>
              <w:right w:val="single" w:sz="4" w:space="0" w:color="000000"/>
            </w:tcBorders>
            <w:noWrap/>
            <w:vAlign w:val="center"/>
            <w:hideMark/>
          </w:tcPr>
          <w:p w14:paraId="417A67DA" w14:textId="77777777" w:rsidR="00381469" w:rsidRDefault="00381469">
            <w:pPr>
              <w:rPr>
                <w:szCs w:val="24"/>
              </w:rPr>
            </w:pPr>
            <w:r>
              <w:rPr>
                <w:szCs w:val="24"/>
              </w:rPr>
              <w:t>Poliomielitas (1 metai)</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0FEEEBD7" w14:textId="77777777" w:rsidR="00381469" w:rsidRDefault="00381469">
            <w:pPr>
              <w:jc w:val="center"/>
              <w:rPr>
                <w:szCs w:val="24"/>
              </w:rPr>
            </w:pPr>
            <w:r>
              <w:rPr>
                <w:szCs w:val="24"/>
              </w:rPr>
              <w:t>97,0</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5BDA622F" w14:textId="77777777" w:rsidR="00381469" w:rsidRDefault="00381469">
            <w:pPr>
              <w:jc w:val="center"/>
              <w:rPr>
                <w:szCs w:val="24"/>
              </w:rPr>
            </w:pPr>
            <w:r>
              <w:rPr>
                <w:szCs w:val="24"/>
              </w:rPr>
              <w:t>96,4</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63F57F10" w14:textId="77777777" w:rsidR="00381469" w:rsidRDefault="00381469">
            <w:pPr>
              <w:jc w:val="center"/>
              <w:rPr>
                <w:szCs w:val="24"/>
              </w:rPr>
            </w:pPr>
            <w:r>
              <w:rPr>
                <w:szCs w:val="24"/>
              </w:rPr>
              <w:t>97,3</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5C18686B" w14:textId="77777777" w:rsidR="00381469" w:rsidRDefault="00381469">
            <w:pPr>
              <w:jc w:val="center"/>
              <w:rPr>
                <w:szCs w:val="24"/>
              </w:rPr>
            </w:pPr>
            <w:r>
              <w:rPr>
                <w:szCs w:val="24"/>
              </w:rPr>
              <w:t>97,3</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F6AC862" w14:textId="77777777" w:rsidR="00381469" w:rsidRDefault="00381469">
            <w:pPr>
              <w:jc w:val="center"/>
              <w:rPr>
                <w:szCs w:val="24"/>
              </w:rPr>
            </w:pPr>
            <w:r>
              <w:rPr>
                <w:szCs w:val="24"/>
              </w:rPr>
              <w:t>97,8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E962694" w14:textId="77777777" w:rsidR="00381469" w:rsidRDefault="00381469">
            <w:pPr>
              <w:jc w:val="center"/>
              <w:rPr>
                <w:szCs w:val="24"/>
              </w:rPr>
            </w:pPr>
            <w:r>
              <w:rPr>
                <w:szCs w:val="24"/>
              </w:rPr>
              <w:t>95,8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5152C079" w14:textId="77777777" w:rsidR="00381469" w:rsidRDefault="00381469">
            <w:pPr>
              <w:jc w:val="center"/>
              <w:rPr>
                <w:szCs w:val="24"/>
              </w:rPr>
            </w:pPr>
            <w:r>
              <w:rPr>
                <w:szCs w:val="24"/>
              </w:rPr>
              <w:t>97,4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EAED173" w14:textId="77777777" w:rsidR="00381469" w:rsidRDefault="00381469">
            <w:pPr>
              <w:jc w:val="center"/>
              <w:rPr>
                <w:szCs w:val="24"/>
              </w:rPr>
            </w:pPr>
            <w:r>
              <w:rPr>
                <w:szCs w:val="24"/>
              </w:rPr>
              <w:t>94,8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3A60D68" w14:textId="77777777" w:rsidR="00381469" w:rsidRDefault="00381469">
            <w:pPr>
              <w:jc w:val="center"/>
              <w:rPr>
                <w:szCs w:val="24"/>
              </w:rPr>
            </w:pPr>
            <w:r>
              <w:rPr>
                <w:szCs w:val="24"/>
              </w:rPr>
              <w:t>92,4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545D2685" w14:textId="77777777" w:rsidR="00381469" w:rsidRDefault="00381469">
            <w:pPr>
              <w:jc w:val="center"/>
              <w:rPr>
                <w:szCs w:val="24"/>
              </w:rPr>
            </w:pPr>
            <w:r>
              <w:rPr>
                <w:szCs w:val="24"/>
              </w:rPr>
              <w:t>92,8</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49BB10F" w14:textId="77777777" w:rsidR="00381469" w:rsidRDefault="00381469">
            <w:pPr>
              <w:jc w:val="center"/>
              <w:rPr>
                <w:szCs w:val="24"/>
              </w:rPr>
            </w:pPr>
            <w:r>
              <w:rPr>
                <w:szCs w:val="24"/>
              </w:rPr>
              <w:t>93,2</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33E43FC7" w14:textId="77777777" w:rsidR="00381469" w:rsidRDefault="00381469">
            <w:pPr>
              <w:jc w:val="center"/>
              <w:rPr>
                <w:szCs w:val="24"/>
              </w:rPr>
            </w:pPr>
            <w:r>
              <w:rPr>
                <w:szCs w:val="24"/>
              </w:rPr>
              <w:t>92,9</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566F7907" w14:textId="77777777" w:rsidR="00381469" w:rsidRDefault="00381469">
            <w:pPr>
              <w:jc w:val="center"/>
              <w:rPr>
                <w:szCs w:val="24"/>
              </w:rPr>
            </w:pPr>
            <w:r>
              <w:rPr>
                <w:szCs w:val="24"/>
              </w:rPr>
              <w:t>93,5</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0D82E32E" w14:textId="77777777" w:rsidR="00381469" w:rsidRDefault="00381469">
            <w:pPr>
              <w:jc w:val="center"/>
              <w:rPr>
                <w:szCs w:val="24"/>
              </w:rPr>
            </w:pPr>
            <w:r>
              <w:rPr>
                <w:szCs w:val="24"/>
              </w:rPr>
              <w:t>94,1</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715202D2" w14:textId="77777777" w:rsidR="00381469" w:rsidRDefault="00381469">
            <w:pPr>
              <w:jc w:val="center"/>
              <w:rPr>
                <w:szCs w:val="24"/>
              </w:rPr>
            </w:pPr>
            <w:r>
              <w:rPr>
                <w:szCs w:val="24"/>
              </w:rPr>
              <w:t>93,7</w:t>
            </w:r>
          </w:p>
        </w:tc>
      </w:tr>
      <w:tr w:rsidR="00381469" w14:paraId="3AC57AEC" w14:textId="77777777" w:rsidTr="00381469">
        <w:trPr>
          <w:trHeight w:val="628"/>
        </w:trPr>
        <w:tc>
          <w:tcPr>
            <w:tcW w:w="3531" w:type="dxa"/>
            <w:tcBorders>
              <w:top w:val="single" w:sz="4" w:space="0" w:color="000000"/>
              <w:left w:val="single" w:sz="4" w:space="0" w:color="000000"/>
              <w:bottom w:val="single" w:sz="4" w:space="0" w:color="000000"/>
              <w:right w:val="single" w:sz="4" w:space="0" w:color="000000"/>
            </w:tcBorders>
            <w:noWrap/>
            <w:vAlign w:val="center"/>
            <w:hideMark/>
          </w:tcPr>
          <w:p w14:paraId="15E6A9AE" w14:textId="77777777" w:rsidR="00381469" w:rsidRDefault="00381469">
            <w:pPr>
              <w:rPr>
                <w:szCs w:val="24"/>
              </w:rPr>
            </w:pPr>
            <w:r>
              <w:rPr>
                <w:szCs w:val="24"/>
              </w:rPr>
              <w:t>Tymai, epideminis parotitas, raudonukė (2 metai)</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4D083607" w14:textId="77777777" w:rsidR="00381469" w:rsidRDefault="00381469">
            <w:pPr>
              <w:jc w:val="center"/>
              <w:rPr>
                <w:szCs w:val="24"/>
              </w:rPr>
            </w:pPr>
            <w:r>
              <w:rPr>
                <w:szCs w:val="24"/>
              </w:rPr>
              <w:t>97,7</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4F0D7EC3" w14:textId="77777777" w:rsidR="00381469" w:rsidRDefault="00381469">
            <w:pPr>
              <w:jc w:val="center"/>
              <w:rPr>
                <w:szCs w:val="24"/>
              </w:rPr>
            </w:pPr>
            <w:r>
              <w:rPr>
                <w:szCs w:val="24"/>
              </w:rPr>
              <w:t>97,7</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53C4DEF9" w14:textId="77777777" w:rsidR="00381469" w:rsidRDefault="00381469">
            <w:pPr>
              <w:jc w:val="center"/>
              <w:rPr>
                <w:szCs w:val="24"/>
              </w:rPr>
            </w:pPr>
            <w:r>
              <w:rPr>
                <w:szCs w:val="24"/>
              </w:rPr>
              <w:t>97,2</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42AAD205" w14:textId="77777777" w:rsidR="00381469" w:rsidRDefault="00381469">
            <w:pPr>
              <w:jc w:val="center"/>
              <w:rPr>
                <w:szCs w:val="24"/>
              </w:rPr>
            </w:pPr>
            <w:r>
              <w:rPr>
                <w:szCs w:val="24"/>
              </w:rPr>
              <w:t>96,6</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E47E24F" w14:textId="77777777" w:rsidR="00381469" w:rsidRDefault="00381469">
            <w:pPr>
              <w:jc w:val="center"/>
              <w:rPr>
                <w:szCs w:val="24"/>
              </w:rPr>
            </w:pPr>
            <w:r>
              <w:rPr>
                <w:szCs w:val="24"/>
              </w:rPr>
              <w:t>96,9</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6C1B809" w14:textId="77777777" w:rsidR="00381469" w:rsidRDefault="00381469">
            <w:pPr>
              <w:jc w:val="center"/>
              <w:rPr>
                <w:szCs w:val="24"/>
              </w:rPr>
            </w:pPr>
            <w:r>
              <w:rPr>
                <w:szCs w:val="24"/>
              </w:rPr>
              <w:t>97,0</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0BDE1C0" w14:textId="77777777" w:rsidR="00381469" w:rsidRDefault="00381469">
            <w:pPr>
              <w:jc w:val="center"/>
              <w:rPr>
                <w:szCs w:val="24"/>
              </w:rPr>
            </w:pPr>
            <w:r>
              <w:rPr>
                <w:szCs w:val="24"/>
              </w:rPr>
              <w:t>97,0</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F8A4A3C" w14:textId="77777777" w:rsidR="00381469" w:rsidRDefault="00381469">
            <w:pPr>
              <w:jc w:val="center"/>
              <w:rPr>
                <w:szCs w:val="24"/>
              </w:rPr>
            </w:pPr>
            <w:r>
              <w:rPr>
                <w:szCs w:val="24"/>
              </w:rPr>
              <w:t>96,1</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74E9E36" w14:textId="77777777" w:rsidR="00381469" w:rsidRDefault="00381469">
            <w:pPr>
              <w:jc w:val="center"/>
              <w:rPr>
                <w:szCs w:val="24"/>
              </w:rPr>
            </w:pPr>
            <w:r>
              <w:rPr>
                <w:szCs w:val="24"/>
              </w:rPr>
              <w:t>93,7</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E186338" w14:textId="77777777" w:rsidR="00381469" w:rsidRDefault="00381469">
            <w:pPr>
              <w:jc w:val="center"/>
              <w:rPr>
                <w:szCs w:val="24"/>
              </w:rPr>
            </w:pPr>
            <w:r>
              <w:rPr>
                <w:szCs w:val="24"/>
              </w:rPr>
              <w:t>93,4</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8A340E0" w14:textId="77777777" w:rsidR="00381469" w:rsidRDefault="00381469">
            <w:pPr>
              <w:jc w:val="center"/>
              <w:rPr>
                <w:szCs w:val="24"/>
              </w:rPr>
            </w:pPr>
            <w:r>
              <w:rPr>
                <w:szCs w:val="24"/>
              </w:rPr>
              <w:t>93,3</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9FC8992" w14:textId="77777777" w:rsidR="00381469" w:rsidRDefault="00381469">
            <w:pPr>
              <w:jc w:val="center"/>
              <w:rPr>
                <w:szCs w:val="24"/>
              </w:rPr>
            </w:pPr>
            <w:r>
              <w:rPr>
                <w:szCs w:val="24"/>
              </w:rPr>
              <w:t>93,4</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783688B7" w14:textId="77777777" w:rsidR="00381469" w:rsidRDefault="00381469">
            <w:pPr>
              <w:jc w:val="center"/>
              <w:rPr>
                <w:szCs w:val="24"/>
              </w:rPr>
            </w:pPr>
            <w:r>
              <w:rPr>
                <w:szCs w:val="24"/>
              </w:rPr>
              <w:t>94,2</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5F27DD26" w14:textId="77777777" w:rsidR="00381469" w:rsidRDefault="00381469">
            <w:pPr>
              <w:jc w:val="center"/>
              <w:rPr>
                <w:szCs w:val="24"/>
              </w:rPr>
            </w:pPr>
            <w:r>
              <w:rPr>
                <w:szCs w:val="24"/>
              </w:rPr>
              <w:t>93,7</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175BE0A3" w14:textId="77777777" w:rsidR="00381469" w:rsidRDefault="00381469">
            <w:pPr>
              <w:jc w:val="center"/>
              <w:rPr>
                <w:szCs w:val="24"/>
              </w:rPr>
            </w:pPr>
            <w:r>
              <w:rPr>
                <w:szCs w:val="24"/>
              </w:rPr>
              <w:t>93,5</w:t>
            </w:r>
          </w:p>
        </w:tc>
      </w:tr>
      <w:tr w:rsidR="00381469" w14:paraId="37CB7317" w14:textId="77777777" w:rsidTr="00381469">
        <w:trPr>
          <w:trHeight w:val="628"/>
        </w:trPr>
        <w:tc>
          <w:tcPr>
            <w:tcW w:w="3531" w:type="dxa"/>
            <w:tcBorders>
              <w:top w:val="single" w:sz="4" w:space="0" w:color="000000"/>
              <w:left w:val="single" w:sz="4" w:space="0" w:color="000000"/>
              <w:bottom w:val="single" w:sz="4" w:space="0" w:color="000000"/>
              <w:right w:val="single" w:sz="4" w:space="0" w:color="000000"/>
            </w:tcBorders>
            <w:noWrap/>
            <w:vAlign w:val="center"/>
            <w:hideMark/>
          </w:tcPr>
          <w:p w14:paraId="450981EE" w14:textId="77777777" w:rsidR="00381469" w:rsidRDefault="00381469">
            <w:pPr>
              <w:rPr>
                <w:szCs w:val="24"/>
              </w:rPr>
            </w:pPr>
            <w:r>
              <w:rPr>
                <w:szCs w:val="24"/>
              </w:rPr>
              <w:t>Pneumokokinė infekcija (1 metai)</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18CA6B45" w14:textId="77777777" w:rsidR="00381469" w:rsidRDefault="00381469">
            <w:pPr>
              <w:jc w:val="center"/>
              <w:rPr>
                <w:szCs w:val="24"/>
              </w:rPr>
            </w:pPr>
            <w:r>
              <w:rPr>
                <w:szCs w:val="24"/>
              </w:rPr>
              <w:t>-</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2881E772" w14:textId="77777777" w:rsidR="00381469" w:rsidRDefault="00381469">
            <w:pPr>
              <w:jc w:val="center"/>
              <w:rPr>
                <w:szCs w:val="24"/>
              </w:rPr>
            </w:pPr>
            <w:r>
              <w:rPr>
                <w:szCs w:val="24"/>
              </w:rPr>
              <w:t>-</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1A98CECB" w14:textId="77777777" w:rsidR="00381469" w:rsidRDefault="00381469">
            <w:pPr>
              <w:jc w:val="center"/>
              <w:rPr>
                <w:szCs w:val="24"/>
              </w:rPr>
            </w:pPr>
            <w:r>
              <w:rPr>
                <w:szCs w:val="24"/>
              </w:rPr>
              <w:t>-</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7341F512"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44639DA3"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3CA357D9"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16DED4E"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5135C27F"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167350F7"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60F5CA80"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5066883C"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088549AE" w14:textId="77777777" w:rsidR="00381469" w:rsidRDefault="00381469">
            <w:pPr>
              <w:jc w:val="center"/>
              <w:rPr>
                <w:szCs w:val="24"/>
              </w:rPr>
            </w:pPr>
            <w:r>
              <w:rPr>
                <w:szCs w:val="24"/>
              </w:rPr>
              <w:t>-</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7C68508E" w14:textId="77777777" w:rsidR="00381469" w:rsidRDefault="00381469">
            <w:pPr>
              <w:jc w:val="center"/>
              <w:rPr>
                <w:szCs w:val="24"/>
              </w:rPr>
            </w:pPr>
            <w:r>
              <w:rPr>
                <w:szCs w:val="24"/>
              </w:rPr>
              <w:t>30,1</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48E74834" w14:textId="77777777" w:rsidR="00381469" w:rsidRDefault="00381469">
            <w:pPr>
              <w:jc w:val="center"/>
              <w:rPr>
                <w:szCs w:val="24"/>
              </w:rPr>
            </w:pPr>
            <w:r>
              <w:rPr>
                <w:szCs w:val="24"/>
              </w:rPr>
              <w:t>81,6</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6BC9CD07" w14:textId="77777777" w:rsidR="00381469" w:rsidRDefault="00381469">
            <w:pPr>
              <w:jc w:val="center"/>
              <w:rPr>
                <w:szCs w:val="24"/>
              </w:rPr>
            </w:pPr>
            <w:r>
              <w:rPr>
                <w:szCs w:val="24"/>
              </w:rPr>
              <w:t>82,5</w:t>
            </w:r>
          </w:p>
        </w:tc>
      </w:tr>
      <w:tr w:rsidR="00381469" w14:paraId="64EB174D" w14:textId="77777777" w:rsidTr="00381469">
        <w:trPr>
          <w:trHeight w:val="730"/>
        </w:trPr>
        <w:tc>
          <w:tcPr>
            <w:tcW w:w="3531" w:type="dxa"/>
            <w:tcBorders>
              <w:top w:val="single" w:sz="4" w:space="0" w:color="000000"/>
              <w:left w:val="single" w:sz="4" w:space="0" w:color="000000"/>
              <w:bottom w:val="single" w:sz="4" w:space="0" w:color="000000"/>
              <w:right w:val="single" w:sz="4" w:space="0" w:color="000000"/>
            </w:tcBorders>
            <w:vAlign w:val="center"/>
            <w:hideMark/>
          </w:tcPr>
          <w:p w14:paraId="130B0244" w14:textId="77777777" w:rsidR="00381469" w:rsidRDefault="00381469">
            <w:pPr>
              <w:rPr>
                <w:szCs w:val="24"/>
              </w:rPr>
            </w:pPr>
            <w:r>
              <w:rPr>
                <w:szCs w:val="24"/>
              </w:rPr>
              <w:t>Žmogaus papilomos  infekcija (11 metų)</w:t>
            </w:r>
          </w:p>
        </w:tc>
        <w:tc>
          <w:tcPr>
            <w:tcW w:w="856" w:type="dxa"/>
            <w:tcBorders>
              <w:top w:val="single" w:sz="4" w:space="0" w:color="000000"/>
              <w:left w:val="single" w:sz="4" w:space="0" w:color="000000"/>
              <w:bottom w:val="single" w:sz="4" w:space="0" w:color="000000"/>
              <w:right w:val="single" w:sz="4" w:space="0" w:color="000000"/>
            </w:tcBorders>
            <w:noWrap/>
            <w:vAlign w:val="center"/>
            <w:hideMark/>
          </w:tcPr>
          <w:p w14:paraId="28629411" w14:textId="77777777" w:rsidR="00381469" w:rsidRDefault="00381469">
            <w:pPr>
              <w:jc w:val="center"/>
              <w:rPr>
                <w:szCs w:val="24"/>
              </w:rPr>
            </w:pPr>
            <w:r>
              <w:rPr>
                <w:szCs w:val="24"/>
              </w:rPr>
              <w:t>-</w:t>
            </w:r>
          </w:p>
        </w:tc>
        <w:tc>
          <w:tcPr>
            <w:tcW w:w="855" w:type="dxa"/>
            <w:tcBorders>
              <w:top w:val="single" w:sz="4" w:space="0" w:color="000000"/>
              <w:left w:val="single" w:sz="4" w:space="0" w:color="000000"/>
              <w:bottom w:val="single" w:sz="4" w:space="0" w:color="000000"/>
              <w:right w:val="single" w:sz="4" w:space="0" w:color="000000"/>
            </w:tcBorders>
            <w:noWrap/>
            <w:vAlign w:val="center"/>
            <w:hideMark/>
          </w:tcPr>
          <w:p w14:paraId="68D70DD7" w14:textId="77777777" w:rsidR="00381469" w:rsidRDefault="00381469">
            <w:pPr>
              <w:jc w:val="center"/>
              <w:rPr>
                <w:szCs w:val="24"/>
              </w:rPr>
            </w:pPr>
            <w:r>
              <w:rPr>
                <w:szCs w:val="24"/>
              </w:rPr>
              <w:t>-</w:t>
            </w:r>
          </w:p>
        </w:tc>
        <w:tc>
          <w:tcPr>
            <w:tcW w:w="713" w:type="dxa"/>
            <w:tcBorders>
              <w:top w:val="single" w:sz="4" w:space="0" w:color="000000"/>
              <w:left w:val="single" w:sz="4" w:space="0" w:color="000000"/>
              <w:bottom w:val="single" w:sz="4" w:space="0" w:color="000000"/>
              <w:right w:val="single" w:sz="4" w:space="0" w:color="000000"/>
            </w:tcBorders>
            <w:noWrap/>
            <w:vAlign w:val="center"/>
            <w:hideMark/>
          </w:tcPr>
          <w:p w14:paraId="1D3ADDC1" w14:textId="77777777" w:rsidR="00381469" w:rsidRDefault="00381469">
            <w:pPr>
              <w:jc w:val="center"/>
              <w:rPr>
                <w:szCs w:val="24"/>
              </w:rPr>
            </w:pPr>
            <w:r>
              <w:rPr>
                <w:szCs w:val="24"/>
              </w:rPr>
              <w:t>-</w:t>
            </w:r>
          </w:p>
        </w:tc>
        <w:tc>
          <w:tcPr>
            <w:tcW w:w="735" w:type="dxa"/>
            <w:tcBorders>
              <w:top w:val="single" w:sz="4" w:space="0" w:color="000000"/>
              <w:left w:val="single" w:sz="4" w:space="0" w:color="000000"/>
              <w:bottom w:val="single" w:sz="4" w:space="0" w:color="000000"/>
              <w:right w:val="single" w:sz="4" w:space="0" w:color="000000"/>
            </w:tcBorders>
            <w:noWrap/>
            <w:vAlign w:val="center"/>
            <w:hideMark/>
          </w:tcPr>
          <w:p w14:paraId="7659F71F"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46A616F"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3028E539"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BEE85F6"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7896086E"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2ECE4A8A"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3B0E5D3C"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311B9D1E" w14:textId="77777777" w:rsidR="00381469" w:rsidRDefault="00381469">
            <w:pPr>
              <w:jc w:val="center"/>
              <w:rPr>
                <w:szCs w:val="24"/>
              </w:rPr>
            </w:pPr>
            <w:r>
              <w:rPr>
                <w:szCs w:val="24"/>
              </w:rPr>
              <w:t>-</w:t>
            </w:r>
          </w:p>
        </w:tc>
        <w:tc>
          <w:tcPr>
            <w:tcW w:w="734" w:type="dxa"/>
            <w:tcBorders>
              <w:top w:val="single" w:sz="4" w:space="0" w:color="000000"/>
              <w:left w:val="single" w:sz="4" w:space="0" w:color="000000"/>
              <w:bottom w:val="single" w:sz="4" w:space="0" w:color="000000"/>
              <w:right w:val="single" w:sz="4" w:space="0" w:color="000000"/>
            </w:tcBorders>
            <w:noWrap/>
            <w:vAlign w:val="center"/>
            <w:hideMark/>
          </w:tcPr>
          <w:p w14:paraId="0B6744F8" w14:textId="77777777" w:rsidR="00381469" w:rsidRDefault="00381469">
            <w:pPr>
              <w:jc w:val="center"/>
              <w:rPr>
                <w:szCs w:val="24"/>
              </w:rPr>
            </w:pPr>
            <w:r>
              <w:rPr>
                <w:szCs w:val="24"/>
              </w:rPr>
              <w:t>-</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13CD92FF" w14:textId="77777777" w:rsidR="00381469" w:rsidRDefault="00381469">
            <w:pPr>
              <w:jc w:val="center"/>
              <w:rPr>
                <w:szCs w:val="24"/>
              </w:rPr>
            </w:pPr>
            <w:r>
              <w:rPr>
                <w:szCs w:val="24"/>
              </w:rPr>
              <w:t>-</w:t>
            </w:r>
          </w:p>
        </w:tc>
        <w:tc>
          <w:tcPr>
            <w:tcW w:w="809" w:type="dxa"/>
            <w:tcBorders>
              <w:top w:val="single" w:sz="4" w:space="0" w:color="000000"/>
              <w:left w:val="single" w:sz="4" w:space="0" w:color="000000"/>
              <w:bottom w:val="single" w:sz="4" w:space="0" w:color="000000"/>
              <w:right w:val="single" w:sz="4" w:space="0" w:color="000000"/>
            </w:tcBorders>
            <w:noWrap/>
            <w:vAlign w:val="center"/>
            <w:hideMark/>
          </w:tcPr>
          <w:p w14:paraId="508CFD41" w14:textId="77777777" w:rsidR="00381469" w:rsidRDefault="00381469">
            <w:pPr>
              <w:jc w:val="center"/>
              <w:rPr>
                <w:szCs w:val="24"/>
              </w:rPr>
            </w:pPr>
            <w:r>
              <w:rPr>
                <w:szCs w:val="24"/>
              </w:rPr>
              <w:t>12,5</w:t>
            </w:r>
          </w:p>
        </w:tc>
        <w:tc>
          <w:tcPr>
            <w:tcW w:w="744" w:type="dxa"/>
            <w:tcBorders>
              <w:top w:val="single" w:sz="4" w:space="0" w:color="000000"/>
              <w:left w:val="single" w:sz="4" w:space="0" w:color="000000"/>
              <w:bottom w:val="single" w:sz="4" w:space="0" w:color="000000"/>
              <w:right w:val="single" w:sz="4" w:space="0" w:color="000000"/>
            </w:tcBorders>
            <w:noWrap/>
            <w:vAlign w:val="center"/>
            <w:hideMark/>
          </w:tcPr>
          <w:p w14:paraId="4BDC7E6E" w14:textId="77777777" w:rsidR="00381469" w:rsidRDefault="00381469">
            <w:pPr>
              <w:jc w:val="center"/>
              <w:rPr>
                <w:szCs w:val="24"/>
              </w:rPr>
            </w:pPr>
            <w:r>
              <w:rPr>
                <w:szCs w:val="24"/>
              </w:rPr>
              <w:t>34,5</w:t>
            </w:r>
          </w:p>
        </w:tc>
      </w:tr>
    </w:tbl>
    <w:p w14:paraId="29E9E0E8" w14:textId="77777777" w:rsidR="00381469" w:rsidRDefault="00381469" w:rsidP="00381469">
      <w:pPr>
        <w:ind w:left="360"/>
        <w:rPr>
          <w:szCs w:val="24"/>
        </w:rPr>
      </w:pPr>
      <w:r>
        <w:rPr>
          <w:szCs w:val="24"/>
        </w:rPr>
        <w:t>* Užkrečiamųjų ligų ir AIDS centro duomenys</w:t>
      </w:r>
    </w:p>
    <w:p w14:paraId="0C65E865" w14:textId="77777777" w:rsidR="00381469" w:rsidRDefault="00381469" w:rsidP="00381469">
      <w:pPr>
        <w:ind w:left="360"/>
        <w:rPr>
          <w:szCs w:val="24"/>
        </w:rPr>
      </w:pPr>
    </w:p>
    <w:p w14:paraId="3C912270" w14:textId="1BF7A3ED" w:rsidR="00381469" w:rsidRDefault="00381469" w:rsidP="00381469">
      <w:pPr>
        <w:ind w:left="360"/>
        <w:jc w:val="center"/>
        <w:rPr>
          <w:szCs w:val="24"/>
        </w:rPr>
      </w:pPr>
      <w:r>
        <w:rPr>
          <w:szCs w:val="24"/>
        </w:rPr>
        <w:t>____________________________</w:t>
      </w:r>
    </w:p>
    <w:p w14:paraId="348D7885" w14:textId="62C20B8F" w:rsidR="00381469" w:rsidRDefault="00381469" w:rsidP="00381469">
      <w:pPr>
        <w:ind w:left="360"/>
        <w:jc w:val="center"/>
        <w:rPr>
          <w:szCs w:val="24"/>
        </w:rPr>
      </w:pPr>
    </w:p>
    <w:p w14:paraId="32555644" w14:textId="77777777" w:rsidR="00381469" w:rsidRDefault="00381469" w:rsidP="00381469">
      <w:pPr>
        <w:ind w:left="360"/>
        <w:jc w:val="center"/>
        <w:rPr>
          <w:szCs w:val="24"/>
        </w:rPr>
        <w:sectPr w:rsidR="00381469" w:rsidSect="00381469">
          <w:pgSz w:w="16838" w:h="11906" w:orient="landscape" w:code="9"/>
          <w:pgMar w:top="1701" w:right="1134" w:bottom="567" w:left="1134" w:header="1134" w:footer="1134" w:gutter="0"/>
          <w:pgNumType w:start="1"/>
          <w:cols w:space="1296"/>
          <w:titlePg/>
          <w:docGrid w:linePitch="326"/>
        </w:sectPr>
      </w:pPr>
    </w:p>
    <w:p w14:paraId="14F29E25" w14:textId="77777777" w:rsidR="00381469" w:rsidRDefault="00381469" w:rsidP="00381469">
      <w:pPr>
        <w:tabs>
          <w:tab w:val="left" w:pos="540"/>
          <w:tab w:val="left" w:pos="11340"/>
          <w:tab w:val="left" w:pos="11766"/>
        </w:tabs>
        <w:ind w:firstLine="10348"/>
        <w:rPr>
          <w:szCs w:val="24"/>
        </w:rPr>
      </w:pPr>
      <w:r>
        <w:rPr>
          <w:szCs w:val="24"/>
        </w:rPr>
        <w:lastRenderedPageBreak/>
        <w:t>Nacionalinės imunoprofilaktikos</w:t>
      </w:r>
    </w:p>
    <w:p w14:paraId="3AA9C0F1" w14:textId="77777777" w:rsidR="00381469" w:rsidRDefault="00381469" w:rsidP="00381469">
      <w:pPr>
        <w:tabs>
          <w:tab w:val="left" w:pos="540"/>
          <w:tab w:val="left" w:pos="11340"/>
          <w:tab w:val="left" w:pos="11766"/>
        </w:tabs>
        <w:ind w:firstLine="10348"/>
        <w:rPr>
          <w:szCs w:val="24"/>
        </w:rPr>
      </w:pPr>
      <w:r>
        <w:rPr>
          <w:szCs w:val="24"/>
        </w:rPr>
        <w:t xml:space="preserve">2019–2023 metų programos </w:t>
      </w:r>
    </w:p>
    <w:p w14:paraId="1D5BACAD" w14:textId="77777777" w:rsidR="00381469" w:rsidRDefault="00381469" w:rsidP="00381469">
      <w:pPr>
        <w:tabs>
          <w:tab w:val="left" w:pos="540"/>
          <w:tab w:val="left" w:pos="11340"/>
          <w:tab w:val="left" w:pos="11766"/>
        </w:tabs>
        <w:ind w:firstLine="10348"/>
        <w:rPr>
          <w:szCs w:val="24"/>
        </w:rPr>
      </w:pPr>
      <w:r>
        <w:rPr>
          <w:szCs w:val="24"/>
        </w:rPr>
        <w:t>2 priedas</w:t>
      </w:r>
    </w:p>
    <w:p w14:paraId="0279C2BC" w14:textId="77777777" w:rsidR="00381469" w:rsidRDefault="00381469" w:rsidP="00381469">
      <w:pPr>
        <w:ind w:left="-284" w:right="-1021" w:firstLine="10348"/>
        <w:jc w:val="center"/>
        <w:rPr>
          <w:rFonts w:eastAsia="+mj-ea"/>
          <w:b/>
          <w:bCs/>
          <w:color w:val="000000"/>
          <w:szCs w:val="24"/>
          <w:lang w:val="en-US"/>
        </w:rPr>
      </w:pPr>
    </w:p>
    <w:p w14:paraId="1430591A" w14:textId="77777777" w:rsidR="00381469" w:rsidRDefault="00381469" w:rsidP="00381469">
      <w:pPr>
        <w:jc w:val="center"/>
        <w:rPr>
          <w:rFonts w:eastAsia="Calibri"/>
          <w:b/>
          <w:szCs w:val="24"/>
        </w:rPr>
      </w:pPr>
      <w:r>
        <w:rPr>
          <w:rFonts w:eastAsia="+mj-ea"/>
          <w:b/>
          <w:bCs/>
          <w:color w:val="000000"/>
          <w:szCs w:val="24"/>
          <w:lang w:val="en-US"/>
        </w:rPr>
        <w:t>SERGAMUMAS</w:t>
      </w:r>
      <w:r>
        <w:rPr>
          <w:rFonts w:eastAsia="+mj-ea"/>
          <w:b/>
          <w:bCs/>
          <w:color w:val="000000"/>
          <w:szCs w:val="24"/>
        </w:rPr>
        <w:t xml:space="preserve"> VAKCINOMIS VALDOMOMIS UŽKREČIAMOSIOMIS LIGOMIS, NUO KURIŲ SKIEPIJAMA PAGAL LIETUVOS RESPUBLIKOS VAIKŲ PROFILAKTINIŲ SKIEPIJIMŲ KALENDORIŲ, 2001–2017 METAIS</w:t>
      </w:r>
      <w:r>
        <w:rPr>
          <w:b/>
          <w:szCs w:val="24"/>
        </w:rPr>
        <w:t>*</w:t>
      </w:r>
    </w:p>
    <w:tbl>
      <w:tblPr>
        <w:tblW w:w="13840" w:type="dxa"/>
        <w:tblCellMar>
          <w:left w:w="0" w:type="dxa"/>
          <w:right w:w="0" w:type="dxa"/>
        </w:tblCellMar>
        <w:tblLook w:val="04A0" w:firstRow="1" w:lastRow="0" w:firstColumn="1" w:lastColumn="0" w:noHBand="0" w:noVBand="1"/>
      </w:tblPr>
      <w:tblGrid>
        <w:gridCol w:w="1365"/>
        <w:gridCol w:w="737"/>
        <w:gridCol w:w="734"/>
        <w:gridCol w:w="735"/>
        <w:gridCol w:w="735"/>
        <w:gridCol w:w="735"/>
        <w:gridCol w:w="735"/>
        <w:gridCol w:w="735"/>
        <w:gridCol w:w="735"/>
        <w:gridCol w:w="735"/>
        <w:gridCol w:w="735"/>
        <w:gridCol w:w="735"/>
        <w:gridCol w:w="733"/>
        <w:gridCol w:w="735"/>
        <w:gridCol w:w="735"/>
        <w:gridCol w:w="735"/>
        <w:gridCol w:w="735"/>
        <w:gridCol w:w="716"/>
      </w:tblGrid>
      <w:tr w:rsidR="00381469" w14:paraId="2D3752F1" w14:textId="77777777" w:rsidTr="00381469">
        <w:trPr>
          <w:trHeight w:val="371"/>
        </w:trPr>
        <w:tc>
          <w:tcPr>
            <w:tcW w:w="1365" w:type="dxa"/>
            <w:vMerge w:val="restart"/>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DD6F3C5" w14:textId="77777777" w:rsidR="00381469" w:rsidRDefault="00381469">
            <w:pPr>
              <w:spacing w:line="276" w:lineRule="auto"/>
              <w:jc w:val="center"/>
              <w:rPr>
                <w:sz w:val="20"/>
                <w:lang w:eastAsia="lt-LT"/>
              </w:rPr>
            </w:pPr>
            <w:r>
              <w:rPr>
                <w:bCs/>
                <w:color w:val="000000"/>
                <w:kern w:val="24"/>
                <w:sz w:val="20"/>
                <w:lang w:eastAsia="lt-LT"/>
              </w:rPr>
              <w:t>Užkrečiamoji liga</w:t>
            </w:r>
            <w:r>
              <w:rPr>
                <w:color w:val="000000"/>
                <w:kern w:val="24"/>
                <w:sz w:val="20"/>
                <w:lang w:eastAsia="lt-LT"/>
              </w:rPr>
              <w:t xml:space="preserve"> </w:t>
            </w:r>
          </w:p>
        </w:tc>
        <w:tc>
          <w:tcPr>
            <w:tcW w:w="12475" w:type="dxa"/>
            <w:gridSpan w:val="17"/>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A529552" w14:textId="77777777" w:rsidR="00381469" w:rsidRDefault="00381469">
            <w:pPr>
              <w:spacing w:line="276" w:lineRule="auto"/>
              <w:jc w:val="center"/>
              <w:rPr>
                <w:sz w:val="20"/>
                <w:lang w:eastAsia="lt-LT"/>
              </w:rPr>
            </w:pPr>
            <w:r>
              <w:rPr>
                <w:bCs/>
                <w:color w:val="000000"/>
                <w:kern w:val="24"/>
                <w:sz w:val="20"/>
                <w:lang w:eastAsia="lt-LT"/>
              </w:rPr>
              <w:t xml:space="preserve">Atvejų skaičius (sergamumo rodiklis 100 </w:t>
            </w:r>
            <w:proofErr w:type="spellStart"/>
            <w:r>
              <w:rPr>
                <w:bCs/>
                <w:color w:val="000000"/>
                <w:kern w:val="24"/>
                <w:sz w:val="20"/>
                <w:lang w:eastAsia="lt-LT"/>
              </w:rPr>
              <w:t>tūkst</w:t>
            </w:r>
            <w:proofErr w:type="spellEnd"/>
            <w:r>
              <w:rPr>
                <w:bCs/>
                <w:color w:val="000000"/>
                <w:kern w:val="24"/>
                <w:sz w:val="20"/>
                <w:lang w:eastAsia="lt-LT"/>
              </w:rPr>
              <w:t>. gyventojų)</w:t>
            </w:r>
          </w:p>
        </w:tc>
      </w:tr>
      <w:tr w:rsidR="00381469" w14:paraId="7311A407" w14:textId="77777777" w:rsidTr="00381469">
        <w:trPr>
          <w:trHeight w:val="2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75AD76" w14:textId="77777777" w:rsidR="00381469" w:rsidRDefault="00381469">
            <w:pPr>
              <w:rPr>
                <w:sz w:val="20"/>
                <w:lang w:eastAsia="lt-LT"/>
              </w:rPr>
            </w:pP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38C4D67" w14:textId="77777777" w:rsidR="00381469" w:rsidRDefault="00381469">
            <w:pPr>
              <w:spacing w:line="203" w:lineRule="atLeast"/>
              <w:jc w:val="center"/>
              <w:rPr>
                <w:sz w:val="20"/>
                <w:lang w:eastAsia="lt-LT"/>
              </w:rPr>
            </w:pPr>
            <w:r>
              <w:rPr>
                <w:color w:val="000000"/>
                <w:kern w:val="24"/>
                <w:sz w:val="20"/>
                <w:lang w:eastAsia="lt-LT"/>
              </w:rPr>
              <w:t xml:space="preserve">2001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8823178" w14:textId="77777777" w:rsidR="00381469" w:rsidRDefault="00381469">
            <w:pPr>
              <w:spacing w:line="203" w:lineRule="atLeast"/>
              <w:jc w:val="center"/>
              <w:rPr>
                <w:sz w:val="20"/>
                <w:lang w:eastAsia="lt-LT"/>
              </w:rPr>
            </w:pPr>
            <w:r>
              <w:rPr>
                <w:color w:val="000000"/>
                <w:kern w:val="24"/>
                <w:sz w:val="20"/>
                <w:lang w:eastAsia="lt-LT"/>
              </w:rPr>
              <w:t xml:space="preserve">2002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5B0CC9E" w14:textId="77777777" w:rsidR="00381469" w:rsidRDefault="00381469">
            <w:pPr>
              <w:spacing w:line="203" w:lineRule="atLeast"/>
              <w:jc w:val="center"/>
              <w:rPr>
                <w:sz w:val="20"/>
                <w:lang w:eastAsia="lt-LT"/>
              </w:rPr>
            </w:pPr>
            <w:r>
              <w:rPr>
                <w:color w:val="000000"/>
                <w:kern w:val="24"/>
                <w:sz w:val="20"/>
                <w:lang w:eastAsia="lt-LT"/>
              </w:rPr>
              <w:t xml:space="preserve">2003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AA6A52F" w14:textId="77777777" w:rsidR="00381469" w:rsidRDefault="00381469">
            <w:pPr>
              <w:spacing w:line="203" w:lineRule="atLeast"/>
              <w:jc w:val="center"/>
              <w:rPr>
                <w:sz w:val="20"/>
                <w:lang w:eastAsia="lt-LT"/>
              </w:rPr>
            </w:pPr>
            <w:r>
              <w:rPr>
                <w:color w:val="000000"/>
                <w:kern w:val="24"/>
                <w:sz w:val="20"/>
                <w:lang w:eastAsia="lt-LT"/>
              </w:rPr>
              <w:t xml:space="preserve">2004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61BE978" w14:textId="77777777" w:rsidR="00381469" w:rsidRDefault="00381469">
            <w:pPr>
              <w:spacing w:line="203" w:lineRule="atLeast"/>
              <w:jc w:val="center"/>
              <w:rPr>
                <w:sz w:val="20"/>
                <w:lang w:eastAsia="lt-LT"/>
              </w:rPr>
            </w:pPr>
            <w:r>
              <w:rPr>
                <w:color w:val="000000"/>
                <w:kern w:val="24"/>
                <w:sz w:val="20"/>
                <w:lang w:eastAsia="lt-LT"/>
              </w:rPr>
              <w:t xml:space="preserve">2005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7D881ED" w14:textId="77777777" w:rsidR="00381469" w:rsidRDefault="00381469">
            <w:pPr>
              <w:spacing w:line="203" w:lineRule="atLeast"/>
              <w:jc w:val="center"/>
              <w:rPr>
                <w:sz w:val="20"/>
                <w:lang w:eastAsia="lt-LT"/>
              </w:rPr>
            </w:pPr>
            <w:r>
              <w:rPr>
                <w:color w:val="000000"/>
                <w:kern w:val="24"/>
                <w:sz w:val="20"/>
                <w:lang w:eastAsia="lt-LT"/>
              </w:rPr>
              <w:t xml:space="preserve">2006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7FD3911" w14:textId="77777777" w:rsidR="00381469" w:rsidRDefault="00381469">
            <w:pPr>
              <w:spacing w:line="203" w:lineRule="atLeast"/>
              <w:jc w:val="center"/>
              <w:rPr>
                <w:sz w:val="20"/>
                <w:lang w:eastAsia="lt-LT"/>
              </w:rPr>
            </w:pPr>
            <w:r>
              <w:rPr>
                <w:color w:val="000000"/>
                <w:kern w:val="24"/>
                <w:sz w:val="20"/>
                <w:lang w:eastAsia="lt-LT"/>
              </w:rPr>
              <w:t xml:space="preserve">2007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882FE18" w14:textId="77777777" w:rsidR="00381469" w:rsidRDefault="00381469">
            <w:pPr>
              <w:spacing w:line="203" w:lineRule="atLeast"/>
              <w:jc w:val="center"/>
              <w:rPr>
                <w:sz w:val="20"/>
                <w:lang w:eastAsia="lt-LT"/>
              </w:rPr>
            </w:pPr>
            <w:r>
              <w:rPr>
                <w:color w:val="000000"/>
                <w:kern w:val="24"/>
                <w:sz w:val="20"/>
                <w:lang w:eastAsia="lt-LT"/>
              </w:rPr>
              <w:t xml:space="preserve">2008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45AAC0B" w14:textId="77777777" w:rsidR="00381469" w:rsidRDefault="00381469">
            <w:pPr>
              <w:spacing w:line="203" w:lineRule="atLeast"/>
              <w:jc w:val="center"/>
              <w:rPr>
                <w:sz w:val="20"/>
                <w:lang w:eastAsia="lt-LT"/>
              </w:rPr>
            </w:pPr>
            <w:r>
              <w:rPr>
                <w:color w:val="000000"/>
                <w:kern w:val="24"/>
                <w:sz w:val="20"/>
                <w:lang w:eastAsia="lt-LT"/>
              </w:rPr>
              <w:t xml:space="preserve">2009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5870D38" w14:textId="77777777" w:rsidR="00381469" w:rsidRDefault="00381469">
            <w:pPr>
              <w:spacing w:line="203" w:lineRule="atLeast"/>
              <w:jc w:val="center"/>
              <w:rPr>
                <w:sz w:val="20"/>
                <w:lang w:eastAsia="lt-LT"/>
              </w:rPr>
            </w:pPr>
            <w:r>
              <w:rPr>
                <w:color w:val="000000"/>
                <w:kern w:val="24"/>
                <w:sz w:val="20"/>
                <w:lang w:eastAsia="lt-LT"/>
              </w:rPr>
              <w:t xml:space="preserve">2010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912F47C" w14:textId="77777777" w:rsidR="00381469" w:rsidRDefault="00381469">
            <w:pPr>
              <w:spacing w:line="203" w:lineRule="atLeast"/>
              <w:jc w:val="center"/>
              <w:rPr>
                <w:sz w:val="20"/>
                <w:lang w:eastAsia="lt-LT"/>
              </w:rPr>
            </w:pPr>
            <w:r>
              <w:rPr>
                <w:color w:val="000000"/>
                <w:kern w:val="24"/>
                <w:sz w:val="20"/>
                <w:lang w:eastAsia="lt-LT"/>
              </w:rPr>
              <w:t xml:space="preserve">2011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73A1C67" w14:textId="77777777" w:rsidR="00381469" w:rsidRDefault="00381469">
            <w:pPr>
              <w:spacing w:line="203" w:lineRule="atLeast"/>
              <w:jc w:val="center"/>
              <w:rPr>
                <w:sz w:val="20"/>
                <w:lang w:eastAsia="lt-LT"/>
              </w:rPr>
            </w:pPr>
            <w:r>
              <w:rPr>
                <w:color w:val="000000"/>
                <w:kern w:val="24"/>
                <w:sz w:val="20"/>
                <w:lang w:eastAsia="lt-LT"/>
              </w:rPr>
              <w:t xml:space="preserve">2012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B606FB6" w14:textId="77777777" w:rsidR="00381469" w:rsidRDefault="00381469">
            <w:pPr>
              <w:spacing w:line="203" w:lineRule="atLeast"/>
              <w:jc w:val="center"/>
              <w:rPr>
                <w:sz w:val="20"/>
                <w:lang w:eastAsia="lt-LT"/>
              </w:rPr>
            </w:pPr>
            <w:r>
              <w:rPr>
                <w:color w:val="000000"/>
                <w:kern w:val="24"/>
                <w:sz w:val="20"/>
                <w:lang w:eastAsia="lt-LT"/>
              </w:rPr>
              <w:t xml:space="preserve">2013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DAA8038" w14:textId="77777777" w:rsidR="00381469" w:rsidRDefault="00381469">
            <w:pPr>
              <w:spacing w:line="203" w:lineRule="atLeast"/>
              <w:jc w:val="center"/>
              <w:rPr>
                <w:sz w:val="20"/>
                <w:lang w:eastAsia="lt-LT"/>
              </w:rPr>
            </w:pPr>
            <w:r>
              <w:rPr>
                <w:color w:val="000000"/>
                <w:kern w:val="24"/>
                <w:sz w:val="20"/>
                <w:lang w:eastAsia="lt-LT"/>
              </w:rPr>
              <w:t xml:space="preserve">2014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105BBC9" w14:textId="77777777" w:rsidR="00381469" w:rsidRDefault="00381469">
            <w:pPr>
              <w:spacing w:line="203" w:lineRule="atLeast"/>
              <w:jc w:val="center"/>
              <w:rPr>
                <w:sz w:val="20"/>
                <w:lang w:eastAsia="lt-LT"/>
              </w:rPr>
            </w:pPr>
            <w:r>
              <w:rPr>
                <w:color w:val="000000"/>
                <w:kern w:val="24"/>
                <w:sz w:val="20"/>
                <w:lang w:eastAsia="lt-LT"/>
              </w:rPr>
              <w:t xml:space="preserve">2015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401E6E2" w14:textId="77777777" w:rsidR="00381469" w:rsidRDefault="00381469">
            <w:pPr>
              <w:spacing w:line="203" w:lineRule="atLeast"/>
              <w:jc w:val="center"/>
              <w:rPr>
                <w:sz w:val="20"/>
                <w:lang w:eastAsia="lt-LT"/>
              </w:rPr>
            </w:pPr>
            <w:r>
              <w:rPr>
                <w:color w:val="000000"/>
                <w:kern w:val="24"/>
                <w:sz w:val="20"/>
                <w:lang w:eastAsia="lt-LT"/>
              </w:rPr>
              <w:t xml:space="preserve">2016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8035647" w14:textId="77777777" w:rsidR="00381469" w:rsidRDefault="00381469">
            <w:pPr>
              <w:spacing w:line="203" w:lineRule="atLeast"/>
              <w:jc w:val="center"/>
              <w:rPr>
                <w:sz w:val="20"/>
                <w:lang w:eastAsia="lt-LT"/>
              </w:rPr>
            </w:pPr>
            <w:r>
              <w:rPr>
                <w:color w:val="000000"/>
                <w:kern w:val="24"/>
                <w:sz w:val="20"/>
                <w:lang w:eastAsia="lt-LT"/>
              </w:rPr>
              <w:t xml:space="preserve">2017 </w:t>
            </w:r>
          </w:p>
        </w:tc>
      </w:tr>
      <w:tr w:rsidR="00381469" w14:paraId="4A3E4C37" w14:textId="77777777" w:rsidTr="00381469">
        <w:trPr>
          <w:trHeight w:val="400"/>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6CE9044" w14:textId="77777777" w:rsidR="00381469" w:rsidRDefault="00381469">
            <w:pPr>
              <w:spacing w:line="276" w:lineRule="auto"/>
              <w:jc w:val="center"/>
              <w:rPr>
                <w:sz w:val="20"/>
                <w:lang w:eastAsia="lt-LT"/>
              </w:rPr>
            </w:pPr>
            <w:r>
              <w:rPr>
                <w:bCs/>
                <w:color w:val="000000"/>
                <w:kern w:val="24"/>
                <w:sz w:val="20"/>
                <w:lang w:eastAsia="lt-LT"/>
              </w:rPr>
              <w:t>Difterija</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D812D96" w14:textId="77777777" w:rsidR="00381469" w:rsidRDefault="00381469">
            <w:pPr>
              <w:spacing w:line="276" w:lineRule="auto"/>
              <w:jc w:val="center"/>
              <w:rPr>
                <w:sz w:val="20"/>
                <w:lang w:eastAsia="lt-LT"/>
              </w:rPr>
            </w:pPr>
            <w:r>
              <w:rPr>
                <w:kern w:val="24"/>
                <w:sz w:val="20"/>
                <w:lang w:eastAsia="lt-LT"/>
              </w:rPr>
              <w:t xml:space="preserve">0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FBEA5C4" w14:textId="77777777" w:rsidR="00381469" w:rsidRDefault="00381469">
            <w:pPr>
              <w:spacing w:line="276" w:lineRule="auto"/>
              <w:jc w:val="center"/>
              <w:rPr>
                <w:sz w:val="20"/>
                <w:lang w:eastAsia="lt-LT"/>
              </w:rPr>
            </w:pPr>
            <w:r>
              <w:rPr>
                <w:kern w:val="24"/>
                <w:sz w:val="20"/>
                <w:lang w:eastAsia="lt-LT"/>
              </w:rPr>
              <w:t xml:space="preserve">3 (0,09)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FEA149C"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2259EA9"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84461C7"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2680BD3"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C9A8A13"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FAFCE72" w14:textId="77777777" w:rsidR="00381469" w:rsidRDefault="00381469">
            <w:pPr>
              <w:spacing w:line="276" w:lineRule="auto"/>
              <w:jc w:val="center"/>
              <w:rPr>
                <w:sz w:val="20"/>
                <w:lang w:eastAsia="lt-LT"/>
              </w:rPr>
            </w:pPr>
            <w:r>
              <w:rPr>
                <w:kern w:val="24"/>
                <w:sz w:val="20"/>
                <w:lang w:eastAsia="lt-LT"/>
              </w:rPr>
              <w:t xml:space="preserve">2 (0,06)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68FD98F"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79A1D3E"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E608248" w14:textId="77777777" w:rsidR="00381469" w:rsidRDefault="00381469">
            <w:pPr>
              <w:spacing w:line="276" w:lineRule="auto"/>
              <w:jc w:val="center"/>
              <w:rPr>
                <w:sz w:val="20"/>
                <w:lang w:eastAsia="lt-LT"/>
              </w:rPr>
            </w:pPr>
            <w:r>
              <w:rPr>
                <w:kern w:val="24"/>
                <w:sz w:val="20"/>
                <w:lang w:eastAsia="lt-LT"/>
              </w:rPr>
              <w:t xml:space="preserve">1 (0,03)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772C4D2"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8F57CC2"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CC021D3"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1DE8586"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0B558D9" w14:textId="77777777" w:rsidR="00381469" w:rsidRDefault="00381469">
            <w:pPr>
              <w:spacing w:line="276" w:lineRule="auto"/>
              <w:jc w:val="center"/>
              <w:rPr>
                <w:sz w:val="20"/>
                <w:lang w:eastAsia="lt-LT"/>
              </w:rPr>
            </w:pPr>
            <w:r>
              <w:rPr>
                <w:kern w:val="24"/>
                <w:sz w:val="20"/>
                <w:lang w:eastAsia="lt-LT"/>
              </w:rPr>
              <w:t xml:space="preserve">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81E375A" w14:textId="77777777" w:rsidR="00381469" w:rsidRDefault="00381469">
            <w:pPr>
              <w:spacing w:line="276" w:lineRule="auto"/>
              <w:jc w:val="center"/>
              <w:rPr>
                <w:sz w:val="20"/>
                <w:lang w:eastAsia="lt-LT"/>
              </w:rPr>
            </w:pPr>
            <w:r>
              <w:rPr>
                <w:kern w:val="24"/>
                <w:sz w:val="20"/>
                <w:lang w:eastAsia="lt-LT"/>
              </w:rPr>
              <w:t xml:space="preserve">0 </w:t>
            </w:r>
          </w:p>
        </w:tc>
      </w:tr>
      <w:tr w:rsidR="00381469" w14:paraId="64452DA2" w14:textId="77777777" w:rsidTr="00381469">
        <w:trPr>
          <w:trHeight w:val="550"/>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2FEBB16" w14:textId="77777777" w:rsidR="00381469" w:rsidRDefault="00381469">
            <w:pPr>
              <w:spacing w:line="276" w:lineRule="auto"/>
              <w:jc w:val="center"/>
              <w:rPr>
                <w:sz w:val="20"/>
                <w:lang w:eastAsia="lt-LT"/>
              </w:rPr>
            </w:pPr>
            <w:r>
              <w:rPr>
                <w:bCs/>
                <w:color w:val="000000"/>
                <w:kern w:val="24"/>
                <w:sz w:val="20"/>
                <w:lang w:eastAsia="lt-LT"/>
              </w:rPr>
              <w:t>Kokliušas</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15C246B" w14:textId="77777777" w:rsidR="00381469" w:rsidRDefault="00381469">
            <w:pPr>
              <w:spacing w:line="276" w:lineRule="auto"/>
              <w:jc w:val="center"/>
              <w:rPr>
                <w:sz w:val="20"/>
                <w:lang w:eastAsia="lt-LT"/>
              </w:rPr>
            </w:pPr>
            <w:r>
              <w:rPr>
                <w:kern w:val="24"/>
                <w:sz w:val="20"/>
                <w:lang w:eastAsia="lt-LT"/>
              </w:rPr>
              <w:t xml:space="preserve">162 (4,65)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6EDE627" w14:textId="77777777" w:rsidR="00381469" w:rsidRDefault="00381469">
            <w:pPr>
              <w:spacing w:line="276" w:lineRule="auto"/>
              <w:jc w:val="center"/>
              <w:rPr>
                <w:sz w:val="20"/>
                <w:lang w:eastAsia="lt-LT"/>
              </w:rPr>
            </w:pPr>
            <w:r>
              <w:rPr>
                <w:kern w:val="24"/>
                <w:sz w:val="20"/>
                <w:lang w:eastAsia="lt-LT"/>
              </w:rPr>
              <w:t xml:space="preserve">23 (0,67)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FA3325F" w14:textId="77777777" w:rsidR="00381469" w:rsidRDefault="00381469">
            <w:pPr>
              <w:jc w:val="center"/>
              <w:rPr>
                <w:kern w:val="24"/>
                <w:sz w:val="20"/>
                <w:lang w:eastAsia="lt-LT"/>
              </w:rPr>
            </w:pPr>
            <w:r>
              <w:rPr>
                <w:kern w:val="24"/>
                <w:sz w:val="20"/>
                <w:lang w:eastAsia="lt-LT"/>
              </w:rPr>
              <w:t xml:space="preserve">5 </w:t>
            </w:r>
          </w:p>
          <w:p w14:paraId="72D035EF" w14:textId="77777777" w:rsidR="00381469" w:rsidRDefault="00381469">
            <w:pPr>
              <w:spacing w:line="276" w:lineRule="auto"/>
              <w:jc w:val="center"/>
              <w:rPr>
                <w:sz w:val="20"/>
                <w:lang w:eastAsia="lt-LT"/>
              </w:rPr>
            </w:pPr>
            <w:r>
              <w:rPr>
                <w:kern w:val="24"/>
                <w:sz w:val="20"/>
                <w:lang w:eastAsia="lt-LT"/>
              </w:rPr>
              <w:t xml:space="preserve">(0,14)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8B20058" w14:textId="77777777" w:rsidR="00381469" w:rsidRDefault="00381469">
            <w:pPr>
              <w:spacing w:line="276" w:lineRule="auto"/>
              <w:jc w:val="center"/>
              <w:rPr>
                <w:sz w:val="20"/>
                <w:lang w:eastAsia="lt-LT"/>
              </w:rPr>
            </w:pPr>
            <w:r>
              <w:rPr>
                <w:kern w:val="24"/>
                <w:sz w:val="20"/>
                <w:lang w:eastAsia="lt-LT"/>
              </w:rPr>
              <w:t xml:space="preserve">48 (1,42)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FC406D0" w14:textId="77777777" w:rsidR="00381469" w:rsidRDefault="00381469">
            <w:pPr>
              <w:spacing w:line="276" w:lineRule="auto"/>
              <w:jc w:val="center"/>
              <w:rPr>
                <w:sz w:val="20"/>
                <w:lang w:eastAsia="lt-LT"/>
              </w:rPr>
            </w:pPr>
            <w:r>
              <w:rPr>
                <w:kern w:val="24"/>
                <w:sz w:val="20"/>
                <w:lang w:eastAsia="lt-LT"/>
              </w:rPr>
              <w:t xml:space="preserve">64 (1,87)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E46210B" w14:textId="77777777" w:rsidR="00381469" w:rsidRDefault="00381469">
            <w:pPr>
              <w:jc w:val="center"/>
              <w:rPr>
                <w:kern w:val="24"/>
                <w:sz w:val="20"/>
                <w:lang w:eastAsia="lt-LT"/>
              </w:rPr>
            </w:pPr>
            <w:r>
              <w:rPr>
                <w:kern w:val="24"/>
                <w:sz w:val="20"/>
                <w:lang w:eastAsia="lt-LT"/>
              </w:rPr>
              <w:t xml:space="preserve">6 </w:t>
            </w:r>
          </w:p>
          <w:p w14:paraId="236E87C7" w14:textId="77777777" w:rsidR="00381469" w:rsidRDefault="00381469">
            <w:pPr>
              <w:spacing w:line="276" w:lineRule="auto"/>
              <w:jc w:val="center"/>
              <w:rPr>
                <w:sz w:val="20"/>
                <w:lang w:eastAsia="lt-LT"/>
              </w:rPr>
            </w:pPr>
            <w:r>
              <w:rPr>
                <w:kern w:val="24"/>
                <w:sz w:val="20"/>
                <w:lang w:eastAsia="lt-LT"/>
              </w:rPr>
              <w:t xml:space="preserve">(0,18)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25B9C88" w14:textId="77777777" w:rsidR="00381469" w:rsidRDefault="00381469">
            <w:pPr>
              <w:spacing w:line="276" w:lineRule="auto"/>
              <w:jc w:val="center"/>
              <w:rPr>
                <w:sz w:val="20"/>
                <w:lang w:eastAsia="lt-LT"/>
              </w:rPr>
            </w:pPr>
            <w:r>
              <w:rPr>
                <w:kern w:val="24"/>
                <w:sz w:val="20"/>
                <w:lang w:eastAsia="lt-LT"/>
              </w:rPr>
              <w:t xml:space="preserve">17 (0,50)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F90F2EE" w14:textId="77777777" w:rsidR="00381469" w:rsidRDefault="00381469">
            <w:pPr>
              <w:spacing w:line="276" w:lineRule="auto"/>
              <w:jc w:val="center"/>
              <w:rPr>
                <w:sz w:val="20"/>
                <w:lang w:eastAsia="lt-LT"/>
              </w:rPr>
            </w:pPr>
            <w:r>
              <w:rPr>
                <w:kern w:val="24"/>
                <w:sz w:val="20"/>
                <w:lang w:eastAsia="lt-LT"/>
              </w:rPr>
              <w:t xml:space="preserve">51 (1,51)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6C49963" w14:textId="77777777" w:rsidR="00381469" w:rsidRDefault="00381469">
            <w:pPr>
              <w:spacing w:line="276" w:lineRule="auto"/>
              <w:jc w:val="center"/>
              <w:rPr>
                <w:sz w:val="20"/>
                <w:lang w:eastAsia="lt-LT"/>
              </w:rPr>
            </w:pPr>
            <w:r>
              <w:rPr>
                <w:kern w:val="24"/>
                <w:sz w:val="20"/>
                <w:lang w:eastAsia="lt-LT"/>
              </w:rPr>
              <w:t xml:space="preserve">233 (6,96)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F3D2748" w14:textId="77777777" w:rsidR="00381469" w:rsidRDefault="00381469">
            <w:pPr>
              <w:spacing w:line="276" w:lineRule="auto"/>
              <w:jc w:val="center"/>
              <w:rPr>
                <w:sz w:val="20"/>
                <w:lang w:eastAsia="lt-LT"/>
              </w:rPr>
            </w:pPr>
            <w:r>
              <w:rPr>
                <w:kern w:val="24"/>
                <w:sz w:val="20"/>
                <w:lang w:eastAsia="lt-LT"/>
              </w:rPr>
              <w:t xml:space="preserve">19 (0,57)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818D776" w14:textId="77777777" w:rsidR="00381469" w:rsidRDefault="00381469">
            <w:pPr>
              <w:spacing w:line="276" w:lineRule="auto"/>
              <w:jc w:val="center"/>
              <w:rPr>
                <w:sz w:val="20"/>
                <w:lang w:eastAsia="lt-LT"/>
              </w:rPr>
            </w:pPr>
            <w:r>
              <w:rPr>
                <w:kern w:val="24"/>
                <w:sz w:val="20"/>
                <w:lang w:eastAsia="lt-LT"/>
              </w:rPr>
              <w:t xml:space="preserve">30 (0,30)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0EAFB1" w14:textId="77777777" w:rsidR="00381469" w:rsidRDefault="00381469">
            <w:pPr>
              <w:spacing w:line="276" w:lineRule="auto"/>
              <w:jc w:val="center"/>
              <w:rPr>
                <w:sz w:val="20"/>
                <w:lang w:eastAsia="lt-LT"/>
              </w:rPr>
            </w:pPr>
            <w:r>
              <w:rPr>
                <w:kern w:val="24"/>
                <w:sz w:val="20"/>
                <w:lang w:eastAsia="lt-LT"/>
              </w:rPr>
              <w:t xml:space="preserve">154 (5,15)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A7713BB" w14:textId="77777777" w:rsidR="00381469" w:rsidRDefault="00381469">
            <w:pPr>
              <w:spacing w:line="276" w:lineRule="auto"/>
              <w:jc w:val="center"/>
              <w:rPr>
                <w:sz w:val="20"/>
                <w:lang w:eastAsia="lt-LT"/>
              </w:rPr>
            </w:pPr>
            <w:r>
              <w:rPr>
                <w:kern w:val="24"/>
                <w:sz w:val="20"/>
                <w:lang w:eastAsia="lt-LT"/>
              </w:rPr>
              <w:t xml:space="preserve">65 (2,21)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53CE57F" w14:textId="77777777" w:rsidR="00381469" w:rsidRDefault="00381469">
            <w:pPr>
              <w:spacing w:line="276" w:lineRule="auto"/>
              <w:jc w:val="center"/>
              <w:rPr>
                <w:sz w:val="20"/>
                <w:lang w:eastAsia="lt-LT"/>
              </w:rPr>
            </w:pPr>
            <w:r>
              <w:rPr>
                <w:kern w:val="24"/>
                <w:sz w:val="20"/>
                <w:lang w:eastAsia="lt-LT"/>
              </w:rPr>
              <w:t xml:space="preserve">143 (4,86)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C3CF694" w14:textId="77777777" w:rsidR="00381469" w:rsidRDefault="00381469">
            <w:pPr>
              <w:spacing w:line="276" w:lineRule="auto"/>
              <w:jc w:val="center"/>
              <w:rPr>
                <w:sz w:val="20"/>
                <w:lang w:eastAsia="lt-LT"/>
              </w:rPr>
            </w:pPr>
            <w:r>
              <w:rPr>
                <w:kern w:val="24"/>
                <w:sz w:val="20"/>
                <w:lang w:eastAsia="lt-LT"/>
              </w:rPr>
              <w:t xml:space="preserve">60 (2,10)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9CC6382" w14:textId="77777777" w:rsidR="00381469" w:rsidRDefault="00381469">
            <w:pPr>
              <w:spacing w:line="276" w:lineRule="auto"/>
              <w:jc w:val="center"/>
              <w:rPr>
                <w:sz w:val="20"/>
                <w:lang w:eastAsia="lt-LT"/>
              </w:rPr>
            </w:pPr>
            <w:r>
              <w:rPr>
                <w:kern w:val="24"/>
                <w:sz w:val="20"/>
                <w:lang w:eastAsia="lt-LT"/>
              </w:rPr>
              <w:t xml:space="preserve">36 (1,20)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1124099" w14:textId="77777777" w:rsidR="00381469" w:rsidRDefault="00381469">
            <w:pPr>
              <w:spacing w:line="276" w:lineRule="auto"/>
              <w:jc w:val="center"/>
              <w:rPr>
                <w:sz w:val="20"/>
                <w:lang w:eastAsia="lt-LT"/>
              </w:rPr>
            </w:pPr>
            <w:r>
              <w:rPr>
                <w:kern w:val="24"/>
                <w:sz w:val="20"/>
                <w:lang w:eastAsia="lt-LT"/>
              </w:rPr>
              <w:t xml:space="preserve">21 (0,70) </w:t>
            </w:r>
          </w:p>
        </w:tc>
      </w:tr>
      <w:tr w:rsidR="00381469" w14:paraId="653F48AE" w14:textId="77777777" w:rsidTr="00381469">
        <w:trPr>
          <w:trHeight w:val="530"/>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CF48A06" w14:textId="77777777" w:rsidR="00381469" w:rsidRDefault="00381469">
            <w:pPr>
              <w:spacing w:line="276" w:lineRule="auto"/>
              <w:jc w:val="center"/>
              <w:rPr>
                <w:sz w:val="20"/>
                <w:lang w:eastAsia="lt-LT"/>
              </w:rPr>
            </w:pPr>
            <w:r>
              <w:rPr>
                <w:bCs/>
                <w:color w:val="000000"/>
                <w:kern w:val="24"/>
                <w:sz w:val="20"/>
                <w:lang w:eastAsia="lt-LT"/>
              </w:rPr>
              <w:t>Stabligė</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C5FF0C7" w14:textId="77777777" w:rsidR="00381469" w:rsidRDefault="00381469">
            <w:pPr>
              <w:jc w:val="center"/>
              <w:rPr>
                <w:kern w:val="24"/>
                <w:sz w:val="20"/>
                <w:lang w:eastAsia="lt-LT"/>
              </w:rPr>
            </w:pPr>
            <w:r>
              <w:rPr>
                <w:kern w:val="24"/>
                <w:sz w:val="20"/>
                <w:lang w:eastAsia="lt-LT"/>
              </w:rPr>
              <w:t xml:space="preserve">1 </w:t>
            </w:r>
          </w:p>
          <w:p w14:paraId="67A4F202" w14:textId="77777777" w:rsidR="00381469" w:rsidRDefault="00381469">
            <w:pPr>
              <w:spacing w:line="276" w:lineRule="auto"/>
              <w:jc w:val="center"/>
              <w:rPr>
                <w:sz w:val="20"/>
                <w:lang w:eastAsia="lt-LT"/>
              </w:rPr>
            </w:pPr>
            <w:r>
              <w:rPr>
                <w:kern w:val="24"/>
                <w:sz w:val="20"/>
                <w:lang w:eastAsia="lt-LT"/>
              </w:rPr>
              <w:t xml:space="preserve">(0,03)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DE53043" w14:textId="77777777" w:rsidR="00381469" w:rsidRDefault="00381469">
            <w:pPr>
              <w:jc w:val="center"/>
              <w:rPr>
                <w:kern w:val="24"/>
                <w:sz w:val="20"/>
                <w:lang w:eastAsia="lt-LT"/>
              </w:rPr>
            </w:pPr>
            <w:r>
              <w:rPr>
                <w:kern w:val="24"/>
                <w:sz w:val="20"/>
                <w:lang w:eastAsia="lt-LT"/>
              </w:rPr>
              <w:t xml:space="preserve">1 </w:t>
            </w:r>
          </w:p>
          <w:p w14:paraId="1C7945A5"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3719378" w14:textId="77777777" w:rsidR="00381469" w:rsidRDefault="00381469">
            <w:pPr>
              <w:jc w:val="center"/>
              <w:rPr>
                <w:kern w:val="24"/>
                <w:sz w:val="20"/>
                <w:lang w:eastAsia="lt-LT"/>
              </w:rPr>
            </w:pPr>
            <w:r>
              <w:rPr>
                <w:kern w:val="24"/>
                <w:sz w:val="20"/>
                <w:lang w:eastAsia="lt-LT"/>
              </w:rPr>
              <w:t xml:space="preserve">4 </w:t>
            </w:r>
          </w:p>
          <w:p w14:paraId="67335C33" w14:textId="77777777" w:rsidR="00381469" w:rsidRDefault="00381469">
            <w:pPr>
              <w:spacing w:line="276" w:lineRule="auto"/>
              <w:jc w:val="center"/>
              <w:rPr>
                <w:sz w:val="20"/>
                <w:lang w:eastAsia="lt-LT"/>
              </w:rPr>
            </w:pPr>
            <w:r>
              <w:rPr>
                <w:kern w:val="24"/>
                <w:sz w:val="20"/>
                <w:lang w:eastAsia="lt-LT"/>
              </w:rPr>
              <w:t>(0,12)</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865093D" w14:textId="77777777" w:rsidR="00381469" w:rsidRDefault="00381469">
            <w:pPr>
              <w:jc w:val="center"/>
              <w:rPr>
                <w:kern w:val="24"/>
                <w:sz w:val="20"/>
                <w:lang w:eastAsia="lt-LT"/>
              </w:rPr>
            </w:pPr>
            <w:r>
              <w:rPr>
                <w:kern w:val="24"/>
                <w:sz w:val="20"/>
                <w:lang w:eastAsia="lt-LT"/>
              </w:rPr>
              <w:t>1</w:t>
            </w:r>
          </w:p>
          <w:p w14:paraId="1720348A"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98C61A2" w14:textId="77777777" w:rsidR="00381469" w:rsidRDefault="00381469">
            <w:pPr>
              <w:jc w:val="center"/>
              <w:rPr>
                <w:kern w:val="24"/>
                <w:sz w:val="20"/>
                <w:lang w:eastAsia="lt-LT"/>
              </w:rPr>
            </w:pPr>
            <w:r>
              <w:rPr>
                <w:kern w:val="24"/>
                <w:sz w:val="20"/>
                <w:lang w:eastAsia="lt-LT"/>
              </w:rPr>
              <w:t xml:space="preserve">4 </w:t>
            </w:r>
          </w:p>
          <w:p w14:paraId="298A52FA" w14:textId="77777777" w:rsidR="00381469" w:rsidRDefault="00381469">
            <w:pPr>
              <w:spacing w:line="276" w:lineRule="auto"/>
              <w:jc w:val="center"/>
              <w:rPr>
                <w:sz w:val="20"/>
                <w:lang w:eastAsia="lt-LT"/>
              </w:rPr>
            </w:pPr>
            <w:r>
              <w:rPr>
                <w:kern w:val="24"/>
                <w:sz w:val="20"/>
                <w:lang w:eastAsia="lt-LT"/>
              </w:rPr>
              <w:t xml:space="preserve">(0,12)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A9E1378" w14:textId="77777777" w:rsidR="00381469" w:rsidRDefault="00381469">
            <w:pPr>
              <w:jc w:val="center"/>
              <w:rPr>
                <w:kern w:val="24"/>
                <w:sz w:val="20"/>
                <w:lang w:eastAsia="lt-LT"/>
              </w:rPr>
            </w:pPr>
            <w:r>
              <w:rPr>
                <w:kern w:val="24"/>
                <w:sz w:val="20"/>
                <w:lang w:eastAsia="lt-LT"/>
              </w:rPr>
              <w:t xml:space="preserve">3 </w:t>
            </w:r>
          </w:p>
          <w:p w14:paraId="5D5DA37B" w14:textId="77777777" w:rsidR="00381469" w:rsidRDefault="00381469">
            <w:pPr>
              <w:spacing w:line="276" w:lineRule="auto"/>
              <w:jc w:val="center"/>
              <w:rPr>
                <w:sz w:val="20"/>
                <w:lang w:eastAsia="lt-LT"/>
              </w:rPr>
            </w:pPr>
            <w:r>
              <w:rPr>
                <w:kern w:val="24"/>
                <w:sz w:val="20"/>
                <w:lang w:eastAsia="lt-LT"/>
              </w:rPr>
              <w:t xml:space="preserve">(0,09)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C558B0F" w14:textId="77777777" w:rsidR="00381469" w:rsidRDefault="00381469">
            <w:pPr>
              <w:jc w:val="center"/>
              <w:rPr>
                <w:kern w:val="24"/>
                <w:sz w:val="20"/>
                <w:lang w:eastAsia="lt-LT"/>
              </w:rPr>
            </w:pPr>
            <w:r>
              <w:rPr>
                <w:kern w:val="24"/>
                <w:sz w:val="20"/>
                <w:lang w:eastAsia="lt-LT"/>
              </w:rPr>
              <w:t xml:space="preserve">1 </w:t>
            </w:r>
          </w:p>
          <w:p w14:paraId="28C4B570"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D714E40" w14:textId="77777777" w:rsidR="00381469" w:rsidRDefault="00381469">
            <w:pPr>
              <w:jc w:val="center"/>
              <w:rPr>
                <w:kern w:val="24"/>
                <w:sz w:val="20"/>
                <w:lang w:eastAsia="lt-LT"/>
              </w:rPr>
            </w:pPr>
            <w:r>
              <w:rPr>
                <w:kern w:val="24"/>
                <w:sz w:val="20"/>
                <w:lang w:eastAsia="lt-LT"/>
              </w:rPr>
              <w:t xml:space="preserve">1 </w:t>
            </w:r>
          </w:p>
          <w:p w14:paraId="1ED3A872"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8F1E3EC"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2C1ABA7" w14:textId="77777777" w:rsidR="00381469" w:rsidRDefault="00381469">
            <w:pPr>
              <w:jc w:val="center"/>
              <w:rPr>
                <w:kern w:val="24"/>
                <w:sz w:val="20"/>
                <w:lang w:eastAsia="lt-LT"/>
              </w:rPr>
            </w:pPr>
            <w:r>
              <w:rPr>
                <w:kern w:val="24"/>
                <w:sz w:val="20"/>
                <w:lang w:eastAsia="lt-LT"/>
              </w:rPr>
              <w:t xml:space="preserve">2 </w:t>
            </w:r>
          </w:p>
          <w:p w14:paraId="4AE2F41E" w14:textId="77777777" w:rsidR="00381469" w:rsidRDefault="00381469">
            <w:pPr>
              <w:spacing w:line="276" w:lineRule="auto"/>
              <w:jc w:val="center"/>
              <w:rPr>
                <w:sz w:val="20"/>
                <w:lang w:eastAsia="lt-LT"/>
              </w:rPr>
            </w:pPr>
            <w:r>
              <w:rPr>
                <w:kern w:val="24"/>
                <w:sz w:val="20"/>
                <w:lang w:eastAsia="lt-LT"/>
              </w:rPr>
              <w:t xml:space="preserve">(0,06)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FBC038D" w14:textId="77777777" w:rsidR="00381469" w:rsidRDefault="00381469">
            <w:pPr>
              <w:jc w:val="center"/>
              <w:rPr>
                <w:kern w:val="24"/>
                <w:sz w:val="20"/>
                <w:lang w:eastAsia="lt-LT"/>
              </w:rPr>
            </w:pPr>
            <w:r>
              <w:rPr>
                <w:kern w:val="24"/>
                <w:sz w:val="20"/>
                <w:lang w:eastAsia="lt-LT"/>
              </w:rPr>
              <w:t xml:space="preserve">2 </w:t>
            </w:r>
          </w:p>
          <w:p w14:paraId="6AE14490" w14:textId="77777777" w:rsidR="00381469" w:rsidRDefault="00381469">
            <w:pPr>
              <w:spacing w:line="276" w:lineRule="auto"/>
              <w:jc w:val="center"/>
              <w:rPr>
                <w:sz w:val="20"/>
                <w:lang w:eastAsia="lt-LT"/>
              </w:rPr>
            </w:pPr>
            <w:r>
              <w:rPr>
                <w:kern w:val="24"/>
                <w:sz w:val="20"/>
                <w:lang w:eastAsia="lt-LT"/>
              </w:rPr>
              <w:t>(0,06)</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02A64" w14:textId="77777777" w:rsidR="00381469" w:rsidRDefault="00381469">
            <w:pPr>
              <w:jc w:val="center"/>
              <w:rPr>
                <w:kern w:val="24"/>
                <w:sz w:val="20"/>
                <w:lang w:eastAsia="lt-LT"/>
              </w:rPr>
            </w:pPr>
            <w:r>
              <w:rPr>
                <w:kern w:val="24"/>
                <w:sz w:val="20"/>
                <w:lang w:eastAsia="lt-LT"/>
              </w:rPr>
              <w:t xml:space="preserve">2 </w:t>
            </w:r>
          </w:p>
          <w:p w14:paraId="0A3735B1" w14:textId="77777777" w:rsidR="00381469" w:rsidRDefault="00381469">
            <w:pPr>
              <w:spacing w:line="276" w:lineRule="auto"/>
              <w:jc w:val="center"/>
              <w:rPr>
                <w:sz w:val="20"/>
                <w:lang w:eastAsia="lt-LT"/>
              </w:rPr>
            </w:pPr>
            <w:r>
              <w:rPr>
                <w:kern w:val="24"/>
                <w:sz w:val="20"/>
                <w:lang w:eastAsia="lt-LT"/>
              </w:rPr>
              <w:t>(0,07)</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3138858" w14:textId="77777777" w:rsidR="00381469" w:rsidRDefault="00381469">
            <w:pPr>
              <w:jc w:val="center"/>
              <w:rPr>
                <w:kern w:val="24"/>
                <w:sz w:val="20"/>
                <w:lang w:eastAsia="lt-LT"/>
              </w:rPr>
            </w:pPr>
            <w:r>
              <w:rPr>
                <w:kern w:val="24"/>
                <w:sz w:val="20"/>
                <w:lang w:eastAsia="lt-LT"/>
              </w:rPr>
              <w:t xml:space="preserve">2 </w:t>
            </w:r>
          </w:p>
          <w:p w14:paraId="1F623E8F" w14:textId="77777777" w:rsidR="00381469" w:rsidRDefault="00381469">
            <w:pPr>
              <w:spacing w:line="276" w:lineRule="auto"/>
              <w:jc w:val="center"/>
              <w:rPr>
                <w:sz w:val="20"/>
                <w:lang w:eastAsia="lt-LT"/>
              </w:rPr>
            </w:pPr>
            <w:r>
              <w:rPr>
                <w:kern w:val="24"/>
                <w:sz w:val="20"/>
                <w:lang w:eastAsia="lt-LT"/>
              </w:rPr>
              <w:t xml:space="preserve">(0,07)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706BC56" w14:textId="77777777" w:rsidR="00381469" w:rsidRDefault="00381469">
            <w:pPr>
              <w:jc w:val="center"/>
              <w:rPr>
                <w:kern w:val="24"/>
                <w:sz w:val="20"/>
                <w:lang w:eastAsia="lt-LT"/>
              </w:rPr>
            </w:pPr>
            <w:r>
              <w:rPr>
                <w:kern w:val="24"/>
                <w:sz w:val="20"/>
                <w:lang w:eastAsia="lt-LT"/>
              </w:rPr>
              <w:t xml:space="preserve">1 </w:t>
            </w:r>
          </w:p>
          <w:p w14:paraId="7873E530"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12C5A40" w14:textId="77777777" w:rsidR="00381469" w:rsidRDefault="00381469">
            <w:pPr>
              <w:jc w:val="center"/>
              <w:rPr>
                <w:kern w:val="24"/>
                <w:sz w:val="20"/>
                <w:lang w:eastAsia="lt-LT"/>
              </w:rPr>
            </w:pPr>
            <w:r>
              <w:rPr>
                <w:kern w:val="24"/>
                <w:sz w:val="20"/>
                <w:lang w:eastAsia="lt-LT"/>
              </w:rPr>
              <w:t xml:space="preserve">2 </w:t>
            </w:r>
          </w:p>
          <w:p w14:paraId="6D8F0DCF" w14:textId="77777777" w:rsidR="00381469" w:rsidRDefault="00381469">
            <w:pPr>
              <w:spacing w:line="276" w:lineRule="auto"/>
              <w:jc w:val="center"/>
              <w:rPr>
                <w:sz w:val="20"/>
                <w:lang w:eastAsia="lt-LT"/>
              </w:rPr>
            </w:pPr>
            <w:r>
              <w:rPr>
                <w:kern w:val="24"/>
                <w:sz w:val="20"/>
                <w:lang w:eastAsia="lt-LT"/>
              </w:rPr>
              <w:t xml:space="preserve">(0,10)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4119FC2" w14:textId="77777777" w:rsidR="00381469" w:rsidRDefault="00381469">
            <w:pPr>
              <w:jc w:val="center"/>
              <w:rPr>
                <w:kern w:val="24"/>
                <w:sz w:val="20"/>
                <w:lang w:eastAsia="lt-LT"/>
              </w:rPr>
            </w:pPr>
            <w:r>
              <w:rPr>
                <w:kern w:val="24"/>
                <w:sz w:val="20"/>
                <w:lang w:eastAsia="lt-LT"/>
              </w:rPr>
              <w:t xml:space="preserve">2 </w:t>
            </w:r>
          </w:p>
          <w:p w14:paraId="532A9BFC" w14:textId="77777777" w:rsidR="00381469" w:rsidRDefault="00381469">
            <w:pPr>
              <w:spacing w:line="276" w:lineRule="auto"/>
              <w:jc w:val="center"/>
              <w:rPr>
                <w:sz w:val="20"/>
                <w:lang w:eastAsia="lt-LT"/>
              </w:rPr>
            </w:pPr>
            <w:r>
              <w:rPr>
                <w:kern w:val="24"/>
                <w:sz w:val="20"/>
                <w:lang w:eastAsia="lt-LT"/>
              </w:rPr>
              <w:t>(0,10)</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4AEE977" w14:textId="77777777" w:rsidR="00381469" w:rsidRDefault="00381469">
            <w:pPr>
              <w:spacing w:line="276" w:lineRule="auto"/>
              <w:jc w:val="center"/>
              <w:rPr>
                <w:sz w:val="20"/>
                <w:lang w:eastAsia="lt-LT"/>
              </w:rPr>
            </w:pPr>
            <w:r>
              <w:rPr>
                <w:kern w:val="24"/>
                <w:sz w:val="20"/>
                <w:lang w:eastAsia="lt-LT"/>
              </w:rPr>
              <w:t xml:space="preserve">3 (0,10) </w:t>
            </w:r>
          </w:p>
        </w:tc>
      </w:tr>
      <w:tr w:rsidR="00381469" w14:paraId="51A4FF20" w14:textId="77777777" w:rsidTr="00381469">
        <w:trPr>
          <w:trHeight w:val="203"/>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7D41BDE" w14:textId="77777777" w:rsidR="00381469" w:rsidRDefault="00381469">
            <w:pPr>
              <w:spacing w:line="203" w:lineRule="atLeast"/>
              <w:jc w:val="center"/>
              <w:rPr>
                <w:sz w:val="20"/>
                <w:lang w:eastAsia="lt-LT"/>
              </w:rPr>
            </w:pPr>
            <w:r>
              <w:rPr>
                <w:bCs/>
                <w:color w:val="000000"/>
                <w:kern w:val="24"/>
                <w:sz w:val="20"/>
                <w:lang w:eastAsia="lt-LT"/>
              </w:rPr>
              <w:t>Poliomielitas</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F3DF9A1" w14:textId="77777777" w:rsidR="00381469" w:rsidRDefault="00381469">
            <w:pPr>
              <w:spacing w:line="203" w:lineRule="atLeast"/>
              <w:jc w:val="center"/>
              <w:rPr>
                <w:sz w:val="20"/>
                <w:lang w:eastAsia="lt-LT"/>
              </w:rPr>
            </w:pPr>
            <w:r>
              <w:rPr>
                <w:kern w:val="24"/>
                <w:sz w:val="20"/>
                <w:lang w:eastAsia="lt-LT"/>
              </w:rPr>
              <w:t xml:space="preserve">0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79E5121"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F9B4F4F"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43E47F7"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45BA665"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B0B5E75"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E33B2C0"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05D6085"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94C9007"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93E41D9"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470EB7C" w14:textId="77777777" w:rsidR="00381469" w:rsidRDefault="00381469">
            <w:pPr>
              <w:spacing w:line="203" w:lineRule="atLeast"/>
              <w:jc w:val="center"/>
              <w:rPr>
                <w:sz w:val="20"/>
                <w:lang w:eastAsia="lt-LT"/>
              </w:rPr>
            </w:pPr>
            <w:r>
              <w:rPr>
                <w:kern w:val="24"/>
                <w:sz w:val="20"/>
                <w:lang w:eastAsia="lt-LT"/>
              </w:rPr>
              <w:t xml:space="preserve">0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06E318"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242CA8A"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760DA2A"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99E426A" w14:textId="77777777" w:rsidR="00381469" w:rsidRDefault="00381469">
            <w:pPr>
              <w:spacing w:line="203" w:lineRule="atLeast"/>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766CF73" w14:textId="77777777" w:rsidR="00381469" w:rsidRDefault="00381469">
            <w:pPr>
              <w:spacing w:line="203" w:lineRule="atLeast"/>
              <w:jc w:val="center"/>
              <w:rPr>
                <w:sz w:val="20"/>
                <w:lang w:eastAsia="lt-LT"/>
              </w:rPr>
            </w:pPr>
            <w:r>
              <w:rPr>
                <w:kern w:val="24"/>
                <w:sz w:val="20"/>
                <w:lang w:eastAsia="lt-LT"/>
              </w:rPr>
              <w:t xml:space="preserve">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E313AAE" w14:textId="77777777" w:rsidR="00381469" w:rsidRDefault="00381469">
            <w:pPr>
              <w:spacing w:line="203" w:lineRule="atLeast"/>
              <w:jc w:val="center"/>
              <w:rPr>
                <w:sz w:val="20"/>
                <w:lang w:eastAsia="lt-LT"/>
              </w:rPr>
            </w:pPr>
            <w:r>
              <w:rPr>
                <w:kern w:val="24"/>
                <w:sz w:val="20"/>
                <w:lang w:eastAsia="lt-LT"/>
              </w:rPr>
              <w:t xml:space="preserve">0 </w:t>
            </w:r>
          </w:p>
        </w:tc>
      </w:tr>
      <w:tr w:rsidR="00381469" w14:paraId="4AECCB06" w14:textId="77777777" w:rsidTr="00381469">
        <w:trPr>
          <w:trHeight w:val="396"/>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1DC4744" w14:textId="77777777" w:rsidR="00381469" w:rsidRDefault="00381469">
            <w:pPr>
              <w:spacing w:line="276" w:lineRule="auto"/>
              <w:jc w:val="center"/>
              <w:rPr>
                <w:sz w:val="20"/>
                <w:lang w:eastAsia="lt-LT"/>
              </w:rPr>
            </w:pPr>
            <w:r>
              <w:rPr>
                <w:bCs/>
                <w:color w:val="000000"/>
                <w:kern w:val="24"/>
                <w:sz w:val="20"/>
                <w:lang w:eastAsia="lt-LT"/>
              </w:rPr>
              <w:t>Tymai</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AA6D0F9" w14:textId="77777777" w:rsidR="00381469" w:rsidRDefault="00381469">
            <w:pPr>
              <w:jc w:val="center"/>
              <w:rPr>
                <w:kern w:val="24"/>
                <w:sz w:val="20"/>
                <w:lang w:eastAsia="lt-LT"/>
              </w:rPr>
            </w:pPr>
            <w:r>
              <w:rPr>
                <w:kern w:val="24"/>
                <w:sz w:val="20"/>
                <w:lang w:eastAsia="lt-LT"/>
              </w:rPr>
              <w:t xml:space="preserve">7 </w:t>
            </w:r>
          </w:p>
          <w:p w14:paraId="2CABAF0F" w14:textId="77777777" w:rsidR="00381469" w:rsidRDefault="00381469">
            <w:pPr>
              <w:spacing w:line="276" w:lineRule="auto"/>
              <w:jc w:val="center"/>
              <w:rPr>
                <w:sz w:val="20"/>
                <w:lang w:eastAsia="lt-LT"/>
              </w:rPr>
            </w:pPr>
            <w:r>
              <w:rPr>
                <w:kern w:val="24"/>
                <w:sz w:val="20"/>
                <w:lang w:eastAsia="lt-LT"/>
              </w:rPr>
              <w:t xml:space="preserve">(0,20)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1679AAE" w14:textId="77777777" w:rsidR="00381469" w:rsidRDefault="00381469">
            <w:pPr>
              <w:spacing w:line="276" w:lineRule="auto"/>
              <w:jc w:val="center"/>
              <w:rPr>
                <w:sz w:val="20"/>
                <w:lang w:eastAsia="lt-LT"/>
              </w:rPr>
            </w:pPr>
            <w:r>
              <w:rPr>
                <w:kern w:val="24"/>
                <w:sz w:val="20"/>
                <w:lang w:eastAsia="lt-LT"/>
              </w:rPr>
              <w:t xml:space="preserve">103 (2,98)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EA5E2F3" w14:textId="77777777" w:rsidR="00381469" w:rsidRDefault="00381469">
            <w:pPr>
              <w:jc w:val="center"/>
              <w:rPr>
                <w:kern w:val="24"/>
                <w:sz w:val="20"/>
                <w:lang w:eastAsia="lt-LT"/>
              </w:rPr>
            </w:pPr>
            <w:r>
              <w:rPr>
                <w:kern w:val="24"/>
                <w:sz w:val="20"/>
                <w:lang w:eastAsia="lt-LT"/>
              </w:rPr>
              <w:t xml:space="preserve">1 </w:t>
            </w:r>
          </w:p>
          <w:p w14:paraId="0D0040AC"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DBDC965" w14:textId="77777777" w:rsidR="00381469" w:rsidRDefault="00381469">
            <w:pPr>
              <w:jc w:val="center"/>
              <w:rPr>
                <w:kern w:val="24"/>
                <w:sz w:val="20"/>
                <w:lang w:eastAsia="lt-LT"/>
              </w:rPr>
            </w:pPr>
            <w:r>
              <w:rPr>
                <w:kern w:val="24"/>
                <w:sz w:val="20"/>
                <w:lang w:eastAsia="lt-LT"/>
              </w:rPr>
              <w:t xml:space="preserve">1 </w:t>
            </w:r>
          </w:p>
          <w:p w14:paraId="54E40966"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B496280" w14:textId="77777777" w:rsidR="00381469" w:rsidRDefault="00381469">
            <w:pPr>
              <w:jc w:val="center"/>
              <w:rPr>
                <w:kern w:val="24"/>
                <w:sz w:val="20"/>
                <w:lang w:eastAsia="lt-LT"/>
              </w:rPr>
            </w:pPr>
            <w:r>
              <w:rPr>
                <w:kern w:val="24"/>
                <w:sz w:val="20"/>
                <w:lang w:eastAsia="lt-LT"/>
              </w:rPr>
              <w:t xml:space="preserve">1 </w:t>
            </w:r>
          </w:p>
          <w:p w14:paraId="5954972C"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D38688D" w14:textId="77777777" w:rsidR="00381469" w:rsidRDefault="00381469">
            <w:pPr>
              <w:jc w:val="center"/>
              <w:rPr>
                <w:kern w:val="24"/>
                <w:sz w:val="20"/>
                <w:lang w:eastAsia="lt-LT"/>
              </w:rPr>
            </w:pPr>
            <w:r>
              <w:rPr>
                <w:kern w:val="24"/>
                <w:sz w:val="20"/>
                <w:lang w:eastAsia="lt-LT"/>
              </w:rPr>
              <w:t xml:space="preserve">1 </w:t>
            </w:r>
          </w:p>
          <w:p w14:paraId="180F9C7A"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9F2B117"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E807EBE" w14:textId="77777777" w:rsidR="00381469" w:rsidRDefault="00381469">
            <w:pPr>
              <w:jc w:val="center"/>
              <w:rPr>
                <w:kern w:val="24"/>
                <w:sz w:val="20"/>
                <w:lang w:eastAsia="lt-LT"/>
              </w:rPr>
            </w:pPr>
            <w:r>
              <w:rPr>
                <w:kern w:val="24"/>
                <w:sz w:val="20"/>
                <w:lang w:eastAsia="lt-LT"/>
              </w:rPr>
              <w:t xml:space="preserve">1 </w:t>
            </w:r>
          </w:p>
          <w:p w14:paraId="028B327E"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11CBBBB"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65AB201" w14:textId="77777777" w:rsidR="00381469" w:rsidRDefault="00381469">
            <w:pPr>
              <w:jc w:val="center"/>
              <w:rPr>
                <w:kern w:val="24"/>
                <w:sz w:val="20"/>
                <w:lang w:eastAsia="lt-LT"/>
              </w:rPr>
            </w:pPr>
            <w:r>
              <w:rPr>
                <w:kern w:val="24"/>
                <w:sz w:val="20"/>
                <w:lang w:eastAsia="lt-LT"/>
              </w:rPr>
              <w:t xml:space="preserve">2 </w:t>
            </w:r>
          </w:p>
          <w:p w14:paraId="506B9C44" w14:textId="77777777" w:rsidR="00381469" w:rsidRDefault="00381469">
            <w:pPr>
              <w:spacing w:line="276" w:lineRule="auto"/>
              <w:jc w:val="center"/>
              <w:rPr>
                <w:sz w:val="20"/>
                <w:lang w:eastAsia="lt-LT"/>
              </w:rPr>
            </w:pPr>
            <w:r>
              <w:rPr>
                <w:kern w:val="24"/>
                <w:sz w:val="20"/>
                <w:lang w:eastAsia="lt-LT"/>
              </w:rPr>
              <w:t xml:space="preserve">(0,06)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B56B69E" w14:textId="77777777" w:rsidR="00381469" w:rsidRDefault="00381469">
            <w:pPr>
              <w:jc w:val="center"/>
              <w:rPr>
                <w:kern w:val="24"/>
                <w:sz w:val="20"/>
                <w:lang w:eastAsia="lt-LT"/>
              </w:rPr>
            </w:pPr>
            <w:r>
              <w:rPr>
                <w:kern w:val="24"/>
                <w:sz w:val="20"/>
                <w:lang w:eastAsia="lt-LT"/>
              </w:rPr>
              <w:t xml:space="preserve">7 </w:t>
            </w:r>
          </w:p>
          <w:p w14:paraId="58A8A40A" w14:textId="77777777" w:rsidR="00381469" w:rsidRDefault="00381469">
            <w:pPr>
              <w:spacing w:line="276" w:lineRule="auto"/>
              <w:jc w:val="center"/>
              <w:rPr>
                <w:sz w:val="20"/>
                <w:lang w:eastAsia="lt-LT"/>
              </w:rPr>
            </w:pPr>
            <w:r>
              <w:rPr>
                <w:kern w:val="24"/>
                <w:sz w:val="20"/>
                <w:lang w:eastAsia="lt-LT"/>
              </w:rPr>
              <w:t xml:space="preserve">(0,22)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A9E8E6" w14:textId="77777777" w:rsidR="00381469" w:rsidRDefault="00381469">
            <w:pPr>
              <w:jc w:val="center"/>
              <w:rPr>
                <w:kern w:val="24"/>
                <w:sz w:val="20"/>
                <w:lang w:eastAsia="lt-LT"/>
              </w:rPr>
            </w:pPr>
            <w:r>
              <w:rPr>
                <w:kern w:val="24"/>
                <w:sz w:val="20"/>
                <w:lang w:eastAsia="lt-LT"/>
              </w:rPr>
              <w:t xml:space="preserve">2 </w:t>
            </w:r>
          </w:p>
          <w:p w14:paraId="0958B485" w14:textId="77777777" w:rsidR="00381469" w:rsidRDefault="00381469">
            <w:pPr>
              <w:spacing w:line="276" w:lineRule="auto"/>
              <w:jc w:val="center"/>
              <w:rPr>
                <w:sz w:val="20"/>
                <w:lang w:eastAsia="lt-LT"/>
              </w:rPr>
            </w:pPr>
            <w:r>
              <w:rPr>
                <w:kern w:val="24"/>
                <w:sz w:val="20"/>
                <w:lang w:eastAsia="lt-LT"/>
              </w:rPr>
              <w:t xml:space="preserve">(0,07)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B121A8D" w14:textId="77777777" w:rsidR="00381469" w:rsidRDefault="00381469">
            <w:pPr>
              <w:spacing w:line="276" w:lineRule="auto"/>
              <w:jc w:val="center"/>
              <w:rPr>
                <w:sz w:val="20"/>
                <w:lang w:eastAsia="lt-LT"/>
              </w:rPr>
            </w:pPr>
            <w:r>
              <w:rPr>
                <w:kern w:val="24"/>
                <w:sz w:val="20"/>
                <w:lang w:eastAsia="lt-LT"/>
              </w:rPr>
              <w:t xml:space="preserve">35 (1,19)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0914A98" w14:textId="77777777" w:rsidR="00381469" w:rsidRDefault="00381469">
            <w:pPr>
              <w:spacing w:line="276" w:lineRule="auto"/>
              <w:jc w:val="center"/>
              <w:rPr>
                <w:sz w:val="20"/>
                <w:lang w:eastAsia="lt-LT"/>
              </w:rPr>
            </w:pPr>
            <w:r>
              <w:rPr>
                <w:kern w:val="24"/>
                <w:sz w:val="20"/>
                <w:lang w:eastAsia="lt-LT"/>
              </w:rPr>
              <w:t xml:space="preserve">11 (0,37)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0E78BFA" w14:textId="77777777" w:rsidR="00381469" w:rsidRDefault="00381469">
            <w:pPr>
              <w:spacing w:line="276" w:lineRule="auto"/>
              <w:jc w:val="center"/>
              <w:rPr>
                <w:sz w:val="20"/>
                <w:lang w:eastAsia="lt-LT"/>
              </w:rPr>
            </w:pPr>
            <w:r>
              <w:rPr>
                <w:kern w:val="24"/>
                <w:sz w:val="20"/>
                <w:lang w:eastAsia="lt-LT"/>
              </w:rPr>
              <w:t xml:space="preserve">50 (1,70)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DF1B8BC" w14:textId="77777777" w:rsidR="00381469" w:rsidRDefault="00381469">
            <w:pPr>
              <w:spacing w:line="276" w:lineRule="auto"/>
              <w:jc w:val="center"/>
              <w:rPr>
                <w:sz w:val="20"/>
                <w:lang w:eastAsia="lt-LT"/>
              </w:rPr>
            </w:pPr>
            <w:r>
              <w:rPr>
                <w:kern w:val="24"/>
                <w:sz w:val="20"/>
                <w:lang w:eastAsia="lt-LT"/>
              </w:rPr>
              <w:t xml:space="preserve">22 (0,80)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hideMark/>
          </w:tcPr>
          <w:p w14:paraId="5D48BFA3" w14:textId="77777777" w:rsidR="00381469" w:rsidRDefault="00381469">
            <w:pPr>
              <w:spacing w:line="276" w:lineRule="auto"/>
              <w:jc w:val="center"/>
              <w:rPr>
                <w:sz w:val="20"/>
                <w:lang w:eastAsia="lt-LT"/>
              </w:rPr>
            </w:pPr>
            <w:r>
              <w:rPr>
                <w:kern w:val="24"/>
                <w:sz w:val="20"/>
                <w:lang w:eastAsia="lt-LT"/>
              </w:rPr>
              <w:t xml:space="preserve">2 (0,10) </w:t>
            </w:r>
          </w:p>
        </w:tc>
      </w:tr>
      <w:tr w:rsidR="00381469" w14:paraId="2478EAE7" w14:textId="77777777" w:rsidTr="00381469">
        <w:trPr>
          <w:trHeight w:val="396"/>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93573DA" w14:textId="77777777" w:rsidR="00381469" w:rsidRDefault="00381469">
            <w:pPr>
              <w:spacing w:line="276" w:lineRule="auto"/>
              <w:jc w:val="center"/>
              <w:rPr>
                <w:sz w:val="20"/>
                <w:lang w:eastAsia="lt-LT"/>
              </w:rPr>
            </w:pPr>
            <w:r>
              <w:rPr>
                <w:bCs/>
                <w:color w:val="000000"/>
                <w:kern w:val="24"/>
                <w:sz w:val="20"/>
                <w:lang w:eastAsia="lt-LT"/>
              </w:rPr>
              <w:t>Epideminis parotitas</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2AA67C3" w14:textId="77777777" w:rsidR="00381469" w:rsidRDefault="00381469">
            <w:pPr>
              <w:spacing w:line="276" w:lineRule="auto"/>
              <w:jc w:val="center"/>
              <w:rPr>
                <w:sz w:val="20"/>
                <w:lang w:eastAsia="lt-LT"/>
              </w:rPr>
            </w:pPr>
            <w:r>
              <w:rPr>
                <w:kern w:val="24"/>
                <w:sz w:val="20"/>
                <w:lang w:eastAsia="lt-LT"/>
              </w:rPr>
              <w:t xml:space="preserve">466 (13,36)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E5B572B" w14:textId="77777777" w:rsidR="00381469" w:rsidRDefault="00381469">
            <w:pPr>
              <w:spacing w:line="276" w:lineRule="auto"/>
              <w:jc w:val="center"/>
              <w:rPr>
                <w:sz w:val="20"/>
                <w:lang w:eastAsia="lt-LT"/>
              </w:rPr>
            </w:pPr>
            <w:r>
              <w:rPr>
                <w:kern w:val="24"/>
                <w:sz w:val="20"/>
                <w:lang w:eastAsia="lt-LT"/>
              </w:rPr>
              <w:t xml:space="preserve">226 (6,54)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12BD05C" w14:textId="77777777" w:rsidR="00381469" w:rsidRDefault="00381469">
            <w:pPr>
              <w:spacing w:line="276" w:lineRule="auto"/>
              <w:jc w:val="center"/>
              <w:rPr>
                <w:sz w:val="20"/>
                <w:lang w:eastAsia="lt-LT"/>
              </w:rPr>
            </w:pPr>
            <w:r>
              <w:rPr>
                <w:kern w:val="24"/>
                <w:sz w:val="20"/>
                <w:lang w:eastAsia="lt-LT"/>
              </w:rPr>
              <w:t xml:space="preserve">285 (8,23)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8E514B2" w14:textId="77777777" w:rsidR="00381469" w:rsidRDefault="00381469">
            <w:pPr>
              <w:spacing w:line="276" w:lineRule="auto"/>
              <w:jc w:val="center"/>
              <w:rPr>
                <w:sz w:val="20"/>
                <w:lang w:eastAsia="lt-LT"/>
              </w:rPr>
            </w:pPr>
            <w:r>
              <w:rPr>
                <w:kern w:val="24"/>
                <w:sz w:val="20"/>
                <w:lang w:eastAsia="lt-LT"/>
              </w:rPr>
              <w:t xml:space="preserve">279 (8,10)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75797C7" w14:textId="77777777" w:rsidR="00381469" w:rsidRDefault="00381469">
            <w:pPr>
              <w:spacing w:line="276" w:lineRule="auto"/>
              <w:jc w:val="center"/>
              <w:rPr>
                <w:sz w:val="20"/>
                <w:lang w:eastAsia="lt-LT"/>
              </w:rPr>
            </w:pPr>
            <w:r>
              <w:rPr>
                <w:kern w:val="24"/>
                <w:sz w:val="20"/>
                <w:lang w:eastAsia="lt-LT"/>
              </w:rPr>
              <w:t xml:space="preserve">101 (2,95)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6668B97" w14:textId="77777777" w:rsidR="00381469" w:rsidRDefault="00381469">
            <w:pPr>
              <w:spacing w:line="276" w:lineRule="auto"/>
              <w:jc w:val="center"/>
              <w:rPr>
                <w:sz w:val="20"/>
                <w:lang w:eastAsia="lt-LT"/>
              </w:rPr>
            </w:pPr>
            <w:r>
              <w:rPr>
                <w:kern w:val="24"/>
                <w:sz w:val="20"/>
                <w:lang w:eastAsia="lt-LT"/>
              </w:rPr>
              <w:t xml:space="preserve">74 (2,17)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705FD5E" w14:textId="77777777" w:rsidR="00381469" w:rsidRDefault="00381469">
            <w:pPr>
              <w:spacing w:line="276" w:lineRule="auto"/>
              <w:jc w:val="center"/>
              <w:rPr>
                <w:sz w:val="20"/>
                <w:lang w:eastAsia="lt-LT"/>
              </w:rPr>
            </w:pPr>
            <w:r>
              <w:rPr>
                <w:kern w:val="24"/>
                <w:sz w:val="20"/>
                <w:lang w:eastAsia="lt-LT"/>
              </w:rPr>
              <w:t xml:space="preserve">81 (2,39)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BD5CCFF" w14:textId="77777777" w:rsidR="00381469" w:rsidRDefault="00381469">
            <w:pPr>
              <w:spacing w:line="276" w:lineRule="auto"/>
              <w:jc w:val="center"/>
              <w:rPr>
                <w:sz w:val="20"/>
                <w:lang w:eastAsia="lt-LT"/>
              </w:rPr>
            </w:pPr>
            <w:r>
              <w:rPr>
                <w:kern w:val="24"/>
                <w:sz w:val="20"/>
                <w:lang w:eastAsia="lt-LT"/>
              </w:rPr>
              <w:t xml:space="preserve">82 (2,44)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4264846" w14:textId="77777777" w:rsidR="00381469" w:rsidRDefault="00381469">
            <w:pPr>
              <w:spacing w:line="276" w:lineRule="auto"/>
              <w:jc w:val="center"/>
              <w:rPr>
                <w:sz w:val="20"/>
                <w:lang w:eastAsia="lt-LT"/>
              </w:rPr>
            </w:pPr>
            <w:r>
              <w:rPr>
                <w:kern w:val="24"/>
                <w:sz w:val="20"/>
                <w:lang w:eastAsia="lt-LT"/>
              </w:rPr>
              <w:t xml:space="preserve">74 (2,21)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BAF8603" w14:textId="77777777" w:rsidR="00381469" w:rsidRDefault="00381469">
            <w:pPr>
              <w:spacing w:line="276" w:lineRule="auto"/>
              <w:jc w:val="center"/>
              <w:rPr>
                <w:sz w:val="20"/>
                <w:lang w:eastAsia="lt-LT"/>
              </w:rPr>
            </w:pPr>
            <w:r>
              <w:rPr>
                <w:kern w:val="24"/>
                <w:sz w:val="20"/>
                <w:lang w:eastAsia="lt-LT"/>
              </w:rPr>
              <w:t xml:space="preserve">87 (2,61)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7B50019" w14:textId="77777777" w:rsidR="00381469" w:rsidRDefault="00381469">
            <w:pPr>
              <w:spacing w:line="276" w:lineRule="auto"/>
              <w:jc w:val="center"/>
              <w:rPr>
                <w:sz w:val="20"/>
                <w:lang w:eastAsia="lt-LT"/>
              </w:rPr>
            </w:pPr>
            <w:r>
              <w:rPr>
                <w:kern w:val="24"/>
                <w:sz w:val="20"/>
                <w:lang w:eastAsia="lt-LT"/>
              </w:rPr>
              <w:t xml:space="preserve">64 (1,97)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5D1A535" w14:textId="77777777" w:rsidR="00381469" w:rsidRDefault="00381469">
            <w:pPr>
              <w:spacing w:line="276" w:lineRule="auto"/>
              <w:jc w:val="center"/>
              <w:rPr>
                <w:sz w:val="20"/>
                <w:lang w:eastAsia="lt-LT"/>
              </w:rPr>
            </w:pPr>
            <w:r>
              <w:rPr>
                <w:kern w:val="24"/>
                <w:sz w:val="20"/>
                <w:lang w:eastAsia="lt-LT"/>
              </w:rPr>
              <w:t xml:space="preserve">62 (2,07)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6BBD247" w14:textId="77777777" w:rsidR="00381469" w:rsidRDefault="00381469">
            <w:pPr>
              <w:spacing w:line="276" w:lineRule="auto"/>
              <w:jc w:val="center"/>
              <w:rPr>
                <w:sz w:val="20"/>
                <w:lang w:eastAsia="lt-LT"/>
              </w:rPr>
            </w:pPr>
            <w:r>
              <w:rPr>
                <w:kern w:val="24"/>
                <w:sz w:val="20"/>
                <w:lang w:eastAsia="lt-LT"/>
              </w:rPr>
              <w:t xml:space="preserve">67 (2,28)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E7E902F" w14:textId="77777777" w:rsidR="00381469" w:rsidRDefault="00381469">
            <w:pPr>
              <w:spacing w:line="276" w:lineRule="auto"/>
              <w:jc w:val="center"/>
              <w:rPr>
                <w:sz w:val="20"/>
                <w:lang w:eastAsia="lt-LT"/>
              </w:rPr>
            </w:pPr>
            <w:r>
              <w:rPr>
                <w:kern w:val="24"/>
                <w:sz w:val="20"/>
                <w:lang w:eastAsia="lt-LT"/>
              </w:rPr>
              <w:t xml:space="preserve">45 (1,53)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86E433A" w14:textId="77777777" w:rsidR="00381469" w:rsidRDefault="00381469">
            <w:pPr>
              <w:spacing w:line="276" w:lineRule="auto"/>
              <w:jc w:val="center"/>
              <w:rPr>
                <w:sz w:val="20"/>
                <w:lang w:eastAsia="lt-LT"/>
              </w:rPr>
            </w:pPr>
            <w:r>
              <w:rPr>
                <w:kern w:val="24"/>
                <w:sz w:val="20"/>
                <w:lang w:eastAsia="lt-LT"/>
              </w:rPr>
              <w:t xml:space="preserve">39 (1,30)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915CDFB" w14:textId="77777777" w:rsidR="00381469" w:rsidRDefault="00381469">
            <w:pPr>
              <w:spacing w:line="276" w:lineRule="auto"/>
              <w:jc w:val="center"/>
              <w:rPr>
                <w:sz w:val="20"/>
                <w:lang w:eastAsia="lt-LT"/>
              </w:rPr>
            </w:pPr>
            <w:r>
              <w:rPr>
                <w:kern w:val="24"/>
                <w:sz w:val="20"/>
                <w:lang w:eastAsia="lt-LT"/>
              </w:rPr>
              <w:t xml:space="preserve">53 (1,80)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48BDBB8" w14:textId="77777777" w:rsidR="00381469" w:rsidRDefault="00381469">
            <w:pPr>
              <w:spacing w:line="276" w:lineRule="auto"/>
              <w:jc w:val="center"/>
              <w:rPr>
                <w:sz w:val="20"/>
                <w:lang w:eastAsia="lt-LT"/>
              </w:rPr>
            </w:pPr>
            <w:r>
              <w:rPr>
                <w:kern w:val="24"/>
                <w:sz w:val="20"/>
                <w:lang w:eastAsia="lt-LT"/>
              </w:rPr>
              <w:t xml:space="preserve">45 (1,6) </w:t>
            </w:r>
          </w:p>
        </w:tc>
      </w:tr>
      <w:tr w:rsidR="00381469" w14:paraId="43176283" w14:textId="77777777" w:rsidTr="00381469">
        <w:trPr>
          <w:trHeight w:val="396"/>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DD85737" w14:textId="77777777" w:rsidR="00381469" w:rsidRDefault="00381469">
            <w:pPr>
              <w:spacing w:line="276" w:lineRule="auto"/>
              <w:jc w:val="center"/>
              <w:rPr>
                <w:sz w:val="20"/>
                <w:lang w:eastAsia="lt-LT"/>
              </w:rPr>
            </w:pPr>
            <w:r>
              <w:rPr>
                <w:bCs/>
                <w:color w:val="000000"/>
                <w:kern w:val="24"/>
                <w:sz w:val="20"/>
                <w:lang w:eastAsia="lt-LT"/>
              </w:rPr>
              <w:t>Raudonukė</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F96B4C4" w14:textId="77777777" w:rsidR="00381469" w:rsidRDefault="00381469">
            <w:pPr>
              <w:spacing w:line="276" w:lineRule="auto"/>
              <w:jc w:val="center"/>
              <w:rPr>
                <w:sz w:val="20"/>
                <w:lang w:eastAsia="lt-LT"/>
              </w:rPr>
            </w:pPr>
            <w:r>
              <w:rPr>
                <w:kern w:val="24"/>
                <w:sz w:val="20"/>
                <w:lang w:eastAsia="lt-LT"/>
              </w:rPr>
              <w:t xml:space="preserve">458 (13,13)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3A1B099" w14:textId="77777777" w:rsidR="00381469" w:rsidRDefault="00381469">
            <w:pPr>
              <w:spacing w:line="276" w:lineRule="auto"/>
              <w:jc w:val="center"/>
              <w:rPr>
                <w:sz w:val="20"/>
                <w:lang w:eastAsia="lt-LT"/>
              </w:rPr>
            </w:pPr>
            <w:r>
              <w:rPr>
                <w:kern w:val="24"/>
                <w:sz w:val="20"/>
                <w:lang w:eastAsia="lt-LT"/>
              </w:rPr>
              <w:t xml:space="preserve">277 (8,02)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D00BEE9" w14:textId="77777777" w:rsidR="00381469" w:rsidRDefault="00381469">
            <w:pPr>
              <w:spacing w:line="276" w:lineRule="auto"/>
              <w:jc w:val="center"/>
              <w:rPr>
                <w:sz w:val="20"/>
                <w:lang w:eastAsia="lt-LT"/>
              </w:rPr>
            </w:pPr>
            <w:r>
              <w:rPr>
                <w:kern w:val="24"/>
                <w:sz w:val="20"/>
                <w:lang w:eastAsia="lt-LT"/>
              </w:rPr>
              <w:t xml:space="preserve">170 (4,91)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0A8EEFA" w14:textId="77777777" w:rsidR="00381469" w:rsidRDefault="00381469">
            <w:pPr>
              <w:spacing w:line="276" w:lineRule="auto"/>
              <w:jc w:val="center"/>
              <w:rPr>
                <w:sz w:val="20"/>
                <w:lang w:eastAsia="lt-LT"/>
              </w:rPr>
            </w:pPr>
            <w:r>
              <w:rPr>
                <w:kern w:val="24"/>
                <w:sz w:val="20"/>
                <w:lang w:eastAsia="lt-LT"/>
              </w:rPr>
              <w:t xml:space="preserve">93 (2,70)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BE4A9BE" w14:textId="77777777" w:rsidR="00381469" w:rsidRDefault="00381469">
            <w:pPr>
              <w:spacing w:line="276" w:lineRule="auto"/>
              <w:jc w:val="center"/>
              <w:rPr>
                <w:sz w:val="20"/>
                <w:lang w:eastAsia="lt-LT"/>
              </w:rPr>
            </w:pPr>
            <w:r>
              <w:rPr>
                <w:kern w:val="24"/>
                <w:sz w:val="20"/>
                <w:lang w:eastAsia="lt-LT"/>
              </w:rPr>
              <w:t xml:space="preserve">118 (3,44)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E5084FC" w14:textId="77777777" w:rsidR="00381469" w:rsidRDefault="00381469">
            <w:pPr>
              <w:spacing w:line="276" w:lineRule="auto"/>
              <w:jc w:val="center"/>
              <w:rPr>
                <w:sz w:val="20"/>
                <w:lang w:eastAsia="lt-LT"/>
              </w:rPr>
            </w:pPr>
            <w:r>
              <w:rPr>
                <w:kern w:val="24"/>
                <w:sz w:val="20"/>
                <w:lang w:eastAsia="lt-LT"/>
              </w:rPr>
              <w:t xml:space="preserve">110 (3,23)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20AA2C5" w14:textId="77777777" w:rsidR="00381469" w:rsidRDefault="00381469">
            <w:pPr>
              <w:spacing w:line="276" w:lineRule="auto"/>
              <w:jc w:val="center"/>
              <w:rPr>
                <w:sz w:val="20"/>
                <w:lang w:eastAsia="lt-LT"/>
              </w:rPr>
            </w:pPr>
            <w:r>
              <w:rPr>
                <w:kern w:val="24"/>
                <w:sz w:val="20"/>
                <w:lang w:eastAsia="lt-LT"/>
              </w:rPr>
              <w:t xml:space="preserve">13 (0,38)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D1336A1"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523C13C"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7B919A7" w14:textId="77777777" w:rsidR="00381469" w:rsidRDefault="00381469">
            <w:pPr>
              <w:jc w:val="center"/>
              <w:rPr>
                <w:sz w:val="20"/>
                <w:lang w:eastAsia="lt-LT"/>
              </w:rPr>
            </w:pPr>
            <w:r>
              <w:rPr>
                <w:kern w:val="24"/>
                <w:sz w:val="20"/>
                <w:lang w:eastAsia="lt-LT"/>
              </w:rPr>
              <w:t xml:space="preserve">2 </w:t>
            </w:r>
          </w:p>
          <w:p w14:paraId="0319E301" w14:textId="77777777" w:rsidR="00381469" w:rsidRDefault="00381469">
            <w:pPr>
              <w:spacing w:line="276" w:lineRule="auto"/>
              <w:jc w:val="center"/>
              <w:rPr>
                <w:sz w:val="20"/>
                <w:lang w:eastAsia="lt-LT"/>
              </w:rPr>
            </w:pPr>
            <w:r>
              <w:rPr>
                <w:kern w:val="24"/>
                <w:sz w:val="20"/>
                <w:lang w:eastAsia="lt-LT"/>
              </w:rPr>
              <w:t xml:space="preserve">(0,06)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3264DD8" w14:textId="77777777" w:rsidR="00381469" w:rsidRDefault="00381469">
            <w:pPr>
              <w:spacing w:line="276" w:lineRule="auto"/>
              <w:jc w:val="center"/>
              <w:rPr>
                <w:sz w:val="20"/>
                <w:lang w:eastAsia="lt-LT"/>
              </w:rPr>
            </w:pPr>
            <w:r>
              <w:rPr>
                <w:kern w:val="24"/>
                <w:sz w:val="20"/>
                <w:lang w:eastAsia="lt-LT"/>
              </w:rPr>
              <w:t xml:space="preserve">0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F851EF4"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1014C0E" w14:textId="77777777" w:rsidR="00381469" w:rsidRDefault="00381469">
            <w:pPr>
              <w:jc w:val="center"/>
              <w:rPr>
                <w:sz w:val="20"/>
                <w:lang w:eastAsia="lt-LT"/>
              </w:rPr>
            </w:pPr>
            <w:r>
              <w:rPr>
                <w:kern w:val="24"/>
                <w:sz w:val="20"/>
                <w:lang w:eastAsia="lt-LT"/>
              </w:rPr>
              <w:t xml:space="preserve">2 </w:t>
            </w:r>
          </w:p>
          <w:p w14:paraId="59CFB7FC" w14:textId="77777777" w:rsidR="00381469" w:rsidRDefault="00381469">
            <w:pPr>
              <w:spacing w:line="276" w:lineRule="auto"/>
              <w:jc w:val="center"/>
              <w:rPr>
                <w:sz w:val="20"/>
                <w:lang w:eastAsia="lt-LT"/>
              </w:rPr>
            </w:pPr>
            <w:r>
              <w:rPr>
                <w:kern w:val="24"/>
                <w:sz w:val="20"/>
                <w:lang w:eastAsia="lt-LT"/>
              </w:rPr>
              <w:t xml:space="preserve">(0,07)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0D224FA"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8E149E8"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5DD473D" w14:textId="77777777" w:rsidR="00381469" w:rsidRDefault="00381469">
            <w:pPr>
              <w:spacing w:line="276" w:lineRule="auto"/>
              <w:jc w:val="center"/>
              <w:rPr>
                <w:sz w:val="20"/>
                <w:lang w:eastAsia="lt-LT"/>
              </w:rPr>
            </w:pPr>
            <w:r>
              <w:rPr>
                <w:kern w:val="24"/>
                <w:sz w:val="20"/>
                <w:lang w:eastAsia="lt-LT"/>
              </w:rPr>
              <w:t xml:space="preserve">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502AF99" w14:textId="77777777" w:rsidR="00381469" w:rsidRDefault="00381469">
            <w:pPr>
              <w:spacing w:line="276" w:lineRule="auto"/>
              <w:jc w:val="center"/>
              <w:rPr>
                <w:sz w:val="20"/>
                <w:lang w:eastAsia="lt-LT"/>
              </w:rPr>
            </w:pPr>
            <w:r>
              <w:rPr>
                <w:kern w:val="24"/>
                <w:sz w:val="20"/>
                <w:lang w:eastAsia="lt-LT"/>
              </w:rPr>
              <w:t xml:space="preserve">0 </w:t>
            </w:r>
          </w:p>
        </w:tc>
      </w:tr>
      <w:tr w:rsidR="00381469" w14:paraId="675E3F9F" w14:textId="77777777" w:rsidTr="00381469">
        <w:trPr>
          <w:trHeight w:val="552"/>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32B24F0" w14:textId="77777777" w:rsidR="00381469" w:rsidRDefault="00381469">
            <w:pPr>
              <w:spacing w:line="276" w:lineRule="auto"/>
              <w:jc w:val="center"/>
              <w:rPr>
                <w:sz w:val="20"/>
                <w:lang w:eastAsia="lt-LT"/>
              </w:rPr>
            </w:pPr>
            <w:r>
              <w:rPr>
                <w:bCs/>
                <w:color w:val="000000"/>
                <w:kern w:val="24"/>
                <w:sz w:val="20"/>
                <w:lang w:eastAsia="lt-LT"/>
              </w:rPr>
              <w:t>Hepatitas B</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934F3DC" w14:textId="77777777" w:rsidR="00381469" w:rsidRDefault="00381469">
            <w:pPr>
              <w:spacing w:line="276" w:lineRule="auto"/>
              <w:jc w:val="center"/>
              <w:rPr>
                <w:sz w:val="20"/>
                <w:lang w:eastAsia="lt-LT"/>
              </w:rPr>
            </w:pPr>
            <w:r>
              <w:rPr>
                <w:kern w:val="24"/>
                <w:sz w:val="20"/>
                <w:lang w:eastAsia="lt-LT"/>
              </w:rPr>
              <w:t xml:space="preserve">382 (10,95)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F7C35AE" w14:textId="77777777" w:rsidR="00381469" w:rsidRDefault="00381469">
            <w:pPr>
              <w:spacing w:line="276" w:lineRule="auto"/>
              <w:jc w:val="center"/>
              <w:rPr>
                <w:sz w:val="20"/>
                <w:lang w:eastAsia="lt-LT"/>
              </w:rPr>
            </w:pPr>
            <w:r>
              <w:rPr>
                <w:kern w:val="24"/>
                <w:sz w:val="20"/>
                <w:lang w:eastAsia="lt-LT"/>
              </w:rPr>
              <w:t xml:space="preserve">274 (7,93)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B245098" w14:textId="77777777" w:rsidR="00381469" w:rsidRDefault="00381469">
            <w:pPr>
              <w:spacing w:line="276" w:lineRule="auto"/>
              <w:jc w:val="center"/>
              <w:rPr>
                <w:sz w:val="20"/>
                <w:lang w:eastAsia="lt-LT"/>
              </w:rPr>
            </w:pPr>
            <w:r>
              <w:rPr>
                <w:kern w:val="24"/>
                <w:sz w:val="20"/>
                <w:lang w:eastAsia="lt-LT"/>
              </w:rPr>
              <w:t xml:space="preserve">175 (5,10)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B349EC6" w14:textId="77777777" w:rsidR="00381469" w:rsidRDefault="00381469">
            <w:pPr>
              <w:spacing w:line="276" w:lineRule="auto"/>
              <w:jc w:val="center"/>
              <w:rPr>
                <w:sz w:val="20"/>
                <w:lang w:eastAsia="lt-LT"/>
              </w:rPr>
            </w:pPr>
            <w:r>
              <w:rPr>
                <w:kern w:val="24"/>
                <w:sz w:val="20"/>
                <w:lang w:eastAsia="lt-LT"/>
              </w:rPr>
              <w:t xml:space="preserve">187 (5,51)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CBBFDAE" w14:textId="77777777" w:rsidR="00381469" w:rsidRDefault="00381469">
            <w:pPr>
              <w:spacing w:line="276" w:lineRule="auto"/>
              <w:jc w:val="center"/>
              <w:rPr>
                <w:sz w:val="20"/>
                <w:lang w:eastAsia="lt-LT"/>
              </w:rPr>
            </w:pPr>
            <w:r>
              <w:rPr>
                <w:kern w:val="24"/>
                <w:sz w:val="20"/>
                <w:lang w:eastAsia="lt-LT"/>
              </w:rPr>
              <w:t xml:space="preserve">141 (4,21)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2FFB754" w14:textId="77777777" w:rsidR="00381469" w:rsidRDefault="00381469">
            <w:pPr>
              <w:spacing w:line="276" w:lineRule="auto"/>
              <w:jc w:val="center"/>
              <w:rPr>
                <w:sz w:val="20"/>
                <w:lang w:eastAsia="lt-LT"/>
              </w:rPr>
            </w:pPr>
            <w:r>
              <w:rPr>
                <w:kern w:val="24"/>
                <w:sz w:val="20"/>
                <w:lang w:eastAsia="lt-LT"/>
              </w:rPr>
              <w:t xml:space="preserve">107 (3,26)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728F76B" w14:textId="77777777" w:rsidR="00381469" w:rsidRDefault="00381469">
            <w:pPr>
              <w:spacing w:line="276" w:lineRule="auto"/>
              <w:jc w:val="center"/>
              <w:rPr>
                <w:sz w:val="20"/>
                <w:lang w:eastAsia="lt-LT"/>
              </w:rPr>
            </w:pPr>
            <w:r>
              <w:rPr>
                <w:kern w:val="24"/>
                <w:sz w:val="20"/>
                <w:lang w:eastAsia="lt-LT"/>
              </w:rPr>
              <w:t xml:space="preserve">84 (2,59)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9A89EE9" w14:textId="77777777" w:rsidR="00381469" w:rsidRDefault="00381469">
            <w:pPr>
              <w:spacing w:line="276" w:lineRule="auto"/>
              <w:jc w:val="center"/>
              <w:rPr>
                <w:sz w:val="20"/>
                <w:lang w:eastAsia="lt-LT"/>
              </w:rPr>
            </w:pPr>
            <w:r>
              <w:rPr>
                <w:kern w:val="24"/>
                <w:sz w:val="20"/>
                <w:lang w:eastAsia="lt-LT"/>
              </w:rPr>
              <w:t xml:space="preserve">90 (2,81)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4E51EB8" w14:textId="77777777" w:rsidR="00381469" w:rsidRDefault="00381469">
            <w:pPr>
              <w:spacing w:line="276" w:lineRule="auto"/>
              <w:jc w:val="center"/>
              <w:rPr>
                <w:sz w:val="20"/>
                <w:lang w:eastAsia="lt-LT"/>
              </w:rPr>
            </w:pPr>
            <w:r>
              <w:rPr>
                <w:kern w:val="24"/>
                <w:sz w:val="20"/>
                <w:lang w:eastAsia="lt-LT"/>
              </w:rPr>
              <w:t>58 (1,83)</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4D85D06" w14:textId="77777777" w:rsidR="00381469" w:rsidRDefault="00381469">
            <w:pPr>
              <w:spacing w:line="276" w:lineRule="auto"/>
              <w:jc w:val="center"/>
              <w:rPr>
                <w:sz w:val="20"/>
                <w:lang w:eastAsia="lt-LT"/>
              </w:rPr>
            </w:pPr>
            <w:r>
              <w:rPr>
                <w:kern w:val="24"/>
                <w:sz w:val="20"/>
                <w:lang w:eastAsia="lt-LT"/>
              </w:rPr>
              <w:t xml:space="preserve">71 (2,26)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B758367" w14:textId="77777777" w:rsidR="00381469" w:rsidRDefault="00381469">
            <w:pPr>
              <w:spacing w:line="276" w:lineRule="auto"/>
              <w:jc w:val="center"/>
              <w:rPr>
                <w:sz w:val="20"/>
                <w:lang w:eastAsia="lt-LT"/>
              </w:rPr>
            </w:pPr>
            <w:r>
              <w:rPr>
                <w:kern w:val="24"/>
                <w:sz w:val="20"/>
                <w:lang w:eastAsia="lt-LT"/>
              </w:rPr>
              <w:t xml:space="preserve">60 (1,97)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3EC031" w14:textId="77777777" w:rsidR="00381469" w:rsidRDefault="00381469">
            <w:pPr>
              <w:spacing w:line="276" w:lineRule="auto"/>
              <w:jc w:val="center"/>
              <w:rPr>
                <w:sz w:val="20"/>
                <w:lang w:eastAsia="lt-LT"/>
              </w:rPr>
            </w:pPr>
            <w:r>
              <w:rPr>
                <w:kern w:val="24"/>
                <w:sz w:val="20"/>
                <w:lang w:eastAsia="lt-LT"/>
              </w:rPr>
              <w:t xml:space="preserve">33 (1,10)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05FCD00" w14:textId="77777777" w:rsidR="00381469" w:rsidRDefault="00381469">
            <w:pPr>
              <w:spacing w:line="276" w:lineRule="auto"/>
              <w:jc w:val="center"/>
              <w:rPr>
                <w:sz w:val="20"/>
                <w:lang w:eastAsia="lt-LT"/>
              </w:rPr>
            </w:pPr>
            <w:r>
              <w:rPr>
                <w:kern w:val="24"/>
                <w:sz w:val="20"/>
                <w:lang w:eastAsia="lt-LT"/>
              </w:rPr>
              <w:t xml:space="preserve">35 (1,19)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648517D" w14:textId="77777777" w:rsidR="00381469" w:rsidRDefault="00381469">
            <w:pPr>
              <w:spacing w:line="276" w:lineRule="auto"/>
              <w:jc w:val="center"/>
              <w:rPr>
                <w:sz w:val="20"/>
                <w:lang w:eastAsia="lt-LT"/>
              </w:rPr>
            </w:pPr>
            <w:r>
              <w:rPr>
                <w:kern w:val="24"/>
                <w:sz w:val="20"/>
                <w:lang w:eastAsia="lt-LT"/>
              </w:rPr>
              <w:t xml:space="preserve">26 (0,89)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F6B161A" w14:textId="77777777" w:rsidR="00381469" w:rsidRDefault="00381469">
            <w:pPr>
              <w:spacing w:line="276" w:lineRule="auto"/>
              <w:jc w:val="center"/>
              <w:rPr>
                <w:sz w:val="20"/>
                <w:lang w:eastAsia="lt-LT"/>
              </w:rPr>
            </w:pPr>
            <w:r>
              <w:rPr>
                <w:kern w:val="24"/>
                <w:sz w:val="20"/>
                <w:lang w:eastAsia="lt-LT"/>
              </w:rPr>
              <w:t xml:space="preserve">32 (1,10)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A3BE0A6" w14:textId="77777777" w:rsidR="00381469" w:rsidRDefault="00381469">
            <w:pPr>
              <w:spacing w:line="276" w:lineRule="auto"/>
              <w:jc w:val="center"/>
              <w:rPr>
                <w:sz w:val="20"/>
                <w:lang w:eastAsia="lt-LT"/>
              </w:rPr>
            </w:pPr>
            <w:r>
              <w:rPr>
                <w:kern w:val="24"/>
                <w:sz w:val="20"/>
                <w:lang w:eastAsia="lt-LT"/>
              </w:rPr>
              <w:t xml:space="preserve">32 (1,10)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6262E39" w14:textId="77777777" w:rsidR="00381469" w:rsidRDefault="00381469">
            <w:pPr>
              <w:jc w:val="center"/>
              <w:rPr>
                <w:sz w:val="20"/>
                <w:lang w:eastAsia="lt-LT"/>
              </w:rPr>
            </w:pPr>
            <w:r>
              <w:rPr>
                <w:kern w:val="24"/>
                <w:sz w:val="20"/>
                <w:lang w:eastAsia="lt-LT"/>
              </w:rPr>
              <w:t xml:space="preserve">14 </w:t>
            </w:r>
          </w:p>
          <w:p w14:paraId="31C82C75" w14:textId="77777777" w:rsidR="00381469" w:rsidRDefault="00381469">
            <w:pPr>
              <w:spacing w:line="276" w:lineRule="auto"/>
              <w:jc w:val="center"/>
              <w:rPr>
                <w:sz w:val="20"/>
                <w:lang w:eastAsia="lt-LT"/>
              </w:rPr>
            </w:pPr>
            <w:r>
              <w:rPr>
                <w:kern w:val="24"/>
                <w:sz w:val="20"/>
                <w:lang w:eastAsia="lt-LT"/>
              </w:rPr>
              <w:t>(0,5)</w:t>
            </w:r>
          </w:p>
        </w:tc>
      </w:tr>
      <w:tr w:rsidR="00381469" w14:paraId="03BE46CC" w14:textId="77777777" w:rsidTr="00381469">
        <w:trPr>
          <w:trHeight w:val="546"/>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5BB9CAB" w14:textId="77777777" w:rsidR="00381469" w:rsidRDefault="00381469">
            <w:pPr>
              <w:spacing w:line="276" w:lineRule="auto"/>
              <w:jc w:val="center"/>
              <w:rPr>
                <w:sz w:val="20"/>
                <w:lang w:eastAsia="lt-LT"/>
              </w:rPr>
            </w:pPr>
            <w:r>
              <w:rPr>
                <w:bCs/>
                <w:color w:val="000000"/>
                <w:kern w:val="24"/>
                <w:sz w:val="20"/>
                <w:lang w:eastAsia="lt-LT"/>
              </w:rPr>
              <w:t xml:space="preserve">B tipo </w:t>
            </w:r>
            <w:proofErr w:type="spellStart"/>
            <w:r>
              <w:rPr>
                <w:bCs/>
                <w:i/>
                <w:iCs/>
                <w:color w:val="000000"/>
                <w:kern w:val="24"/>
                <w:sz w:val="20"/>
                <w:lang w:eastAsia="lt-LT"/>
              </w:rPr>
              <w:t>Haemophilus</w:t>
            </w:r>
            <w:proofErr w:type="spellEnd"/>
            <w:r>
              <w:rPr>
                <w:bCs/>
                <w:i/>
                <w:iCs/>
                <w:color w:val="000000"/>
                <w:kern w:val="24"/>
                <w:sz w:val="20"/>
                <w:lang w:eastAsia="lt-LT"/>
              </w:rPr>
              <w:t xml:space="preserve"> </w:t>
            </w:r>
            <w:proofErr w:type="spellStart"/>
            <w:r>
              <w:rPr>
                <w:bCs/>
                <w:i/>
                <w:iCs/>
                <w:color w:val="000000"/>
                <w:kern w:val="24"/>
                <w:sz w:val="20"/>
                <w:lang w:eastAsia="lt-LT"/>
              </w:rPr>
              <w:t>influenzae</w:t>
            </w:r>
            <w:proofErr w:type="spellEnd"/>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97600CC" w14:textId="77777777" w:rsidR="00381469" w:rsidRDefault="00381469">
            <w:pPr>
              <w:jc w:val="center"/>
              <w:rPr>
                <w:sz w:val="20"/>
                <w:lang w:eastAsia="lt-LT"/>
              </w:rPr>
            </w:pPr>
            <w:r>
              <w:rPr>
                <w:kern w:val="24"/>
                <w:sz w:val="20"/>
                <w:lang w:eastAsia="lt-LT"/>
              </w:rPr>
              <w:t xml:space="preserve">15 </w:t>
            </w:r>
          </w:p>
          <w:p w14:paraId="2F096030" w14:textId="77777777" w:rsidR="00381469" w:rsidRDefault="00381469">
            <w:pPr>
              <w:spacing w:line="276" w:lineRule="auto"/>
              <w:jc w:val="center"/>
              <w:rPr>
                <w:sz w:val="20"/>
                <w:lang w:eastAsia="lt-LT"/>
              </w:rPr>
            </w:pPr>
            <w:r>
              <w:rPr>
                <w:kern w:val="24"/>
                <w:sz w:val="20"/>
                <w:lang w:eastAsia="lt-LT"/>
              </w:rPr>
              <w:t xml:space="preserve">(0,43)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5BBCF42" w14:textId="77777777" w:rsidR="00381469" w:rsidRDefault="00381469">
            <w:pPr>
              <w:jc w:val="center"/>
              <w:rPr>
                <w:sz w:val="20"/>
                <w:lang w:eastAsia="lt-LT"/>
              </w:rPr>
            </w:pPr>
            <w:r>
              <w:rPr>
                <w:kern w:val="24"/>
                <w:sz w:val="20"/>
                <w:lang w:eastAsia="lt-LT"/>
              </w:rPr>
              <w:t xml:space="preserve">16 </w:t>
            </w:r>
          </w:p>
          <w:p w14:paraId="610AC4D5" w14:textId="77777777" w:rsidR="00381469" w:rsidRDefault="00381469">
            <w:pPr>
              <w:spacing w:line="276" w:lineRule="auto"/>
              <w:jc w:val="center"/>
              <w:rPr>
                <w:sz w:val="20"/>
                <w:lang w:eastAsia="lt-LT"/>
              </w:rPr>
            </w:pPr>
            <w:r>
              <w:rPr>
                <w:kern w:val="24"/>
                <w:sz w:val="20"/>
                <w:lang w:eastAsia="lt-LT"/>
              </w:rPr>
              <w:t xml:space="preserve">(0,46)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52DFF82" w14:textId="77777777" w:rsidR="00381469" w:rsidRDefault="00381469">
            <w:pPr>
              <w:jc w:val="center"/>
              <w:rPr>
                <w:sz w:val="20"/>
                <w:lang w:eastAsia="lt-LT"/>
              </w:rPr>
            </w:pPr>
            <w:r>
              <w:rPr>
                <w:kern w:val="24"/>
                <w:sz w:val="20"/>
                <w:lang w:eastAsia="lt-LT"/>
              </w:rPr>
              <w:t xml:space="preserve">4 </w:t>
            </w:r>
          </w:p>
          <w:p w14:paraId="00B02028" w14:textId="77777777" w:rsidR="00381469" w:rsidRDefault="00381469">
            <w:pPr>
              <w:spacing w:line="276" w:lineRule="auto"/>
              <w:jc w:val="center"/>
              <w:rPr>
                <w:sz w:val="20"/>
                <w:lang w:eastAsia="lt-LT"/>
              </w:rPr>
            </w:pPr>
            <w:r>
              <w:rPr>
                <w:kern w:val="24"/>
                <w:sz w:val="20"/>
                <w:lang w:eastAsia="lt-LT"/>
              </w:rPr>
              <w:t xml:space="preserve">(0,12)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FCE50A8" w14:textId="77777777" w:rsidR="00381469" w:rsidRDefault="00381469">
            <w:pPr>
              <w:jc w:val="center"/>
              <w:rPr>
                <w:sz w:val="20"/>
                <w:lang w:eastAsia="lt-LT"/>
              </w:rPr>
            </w:pPr>
            <w:r>
              <w:rPr>
                <w:kern w:val="24"/>
                <w:sz w:val="20"/>
                <w:lang w:eastAsia="lt-LT"/>
              </w:rPr>
              <w:t xml:space="preserve">8 </w:t>
            </w:r>
          </w:p>
          <w:p w14:paraId="28F92ABB" w14:textId="77777777" w:rsidR="00381469" w:rsidRDefault="00381469">
            <w:pPr>
              <w:spacing w:line="276" w:lineRule="auto"/>
              <w:jc w:val="center"/>
              <w:rPr>
                <w:sz w:val="20"/>
                <w:lang w:eastAsia="lt-LT"/>
              </w:rPr>
            </w:pPr>
            <w:r>
              <w:rPr>
                <w:kern w:val="24"/>
                <w:sz w:val="20"/>
                <w:lang w:eastAsia="lt-LT"/>
              </w:rPr>
              <w:t xml:space="preserve">(0,23)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9E903F3" w14:textId="77777777" w:rsidR="00381469" w:rsidRDefault="00381469">
            <w:pPr>
              <w:spacing w:line="276" w:lineRule="auto"/>
              <w:jc w:val="center"/>
              <w:rPr>
                <w:sz w:val="20"/>
                <w:lang w:eastAsia="lt-LT"/>
              </w:rPr>
            </w:pPr>
            <w:r>
              <w:rPr>
                <w:kern w:val="24"/>
                <w:sz w:val="20"/>
                <w:lang w:eastAsia="lt-LT"/>
              </w:rPr>
              <w:t xml:space="preserve">22 (0,64)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B496E12" w14:textId="77777777" w:rsidR="00381469" w:rsidRDefault="00381469">
            <w:pPr>
              <w:spacing w:line="276" w:lineRule="auto"/>
              <w:jc w:val="center"/>
              <w:rPr>
                <w:sz w:val="20"/>
                <w:lang w:eastAsia="lt-LT"/>
              </w:rPr>
            </w:pPr>
            <w:r>
              <w:rPr>
                <w:kern w:val="24"/>
                <w:sz w:val="20"/>
                <w:lang w:eastAsia="lt-LT"/>
              </w:rPr>
              <w:t xml:space="preserve">11 (0,32)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B109EDA" w14:textId="77777777" w:rsidR="00381469" w:rsidRDefault="00381469">
            <w:pPr>
              <w:spacing w:line="276" w:lineRule="auto"/>
              <w:jc w:val="center"/>
              <w:rPr>
                <w:sz w:val="20"/>
                <w:lang w:eastAsia="lt-LT"/>
              </w:rPr>
            </w:pPr>
            <w:r>
              <w:rPr>
                <w:kern w:val="24"/>
                <w:sz w:val="20"/>
                <w:lang w:eastAsia="lt-LT"/>
              </w:rPr>
              <w:t xml:space="preserve">26 (0,77)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7AAE3D7" w14:textId="77777777" w:rsidR="00381469" w:rsidRDefault="00381469">
            <w:pPr>
              <w:jc w:val="center"/>
              <w:rPr>
                <w:sz w:val="20"/>
                <w:lang w:eastAsia="lt-LT"/>
              </w:rPr>
            </w:pPr>
            <w:r>
              <w:rPr>
                <w:kern w:val="24"/>
                <w:sz w:val="20"/>
                <w:lang w:eastAsia="lt-LT"/>
              </w:rPr>
              <w:t xml:space="preserve">4 </w:t>
            </w:r>
          </w:p>
          <w:p w14:paraId="51F3965B" w14:textId="77777777" w:rsidR="00381469" w:rsidRDefault="00381469">
            <w:pPr>
              <w:spacing w:line="276" w:lineRule="auto"/>
              <w:jc w:val="center"/>
              <w:rPr>
                <w:sz w:val="20"/>
                <w:lang w:eastAsia="lt-LT"/>
              </w:rPr>
            </w:pPr>
            <w:r>
              <w:rPr>
                <w:kern w:val="24"/>
                <w:sz w:val="20"/>
                <w:lang w:eastAsia="lt-LT"/>
              </w:rPr>
              <w:t xml:space="preserve">(0,12)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8DC0671" w14:textId="77777777" w:rsidR="00381469" w:rsidRDefault="00381469">
            <w:pPr>
              <w:jc w:val="center"/>
              <w:rPr>
                <w:sz w:val="20"/>
                <w:lang w:eastAsia="lt-LT"/>
              </w:rPr>
            </w:pPr>
            <w:r>
              <w:rPr>
                <w:kern w:val="24"/>
                <w:sz w:val="20"/>
                <w:lang w:eastAsia="lt-LT"/>
              </w:rPr>
              <w:t xml:space="preserve">2 </w:t>
            </w:r>
          </w:p>
          <w:p w14:paraId="7BEFC74F" w14:textId="77777777" w:rsidR="00381469" w:rsidRDefault="00381469">
            <w:pPr>
              <w:spacing w:line="276" w:lineRule="auto"/>
              <w:jc w:val="center"/>
              <w:rPr>
                <w:sz w:val="20"/>
                <w:lang w:eastAsia="lt-LT"/>
              </w:rPr>
            </w:pPr>
            <w:r>
              <w:rPr>
                <w:kern w:val="24"/>
                <w:sz w:val="20"/>
                <w:lang w:eastAsia="lt-LT"/>
              </w:rPr>
              <w:t xml:space="preserve">(0,06)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8BE0C9F" w14:textId="77777777" w:rsidR="00381469" w:rsidRDefault="00381469">
            <w:pPr>
              <w:jc w:val="center"/>
              <w:rPr>
                <w:sz w:val="20"/>
                <w:lang w:eastAsia="lt-LT"/>
              </w:rPr>
            </w:pPr>
            <w:r>
              <w:rPr>
                <w:kern w:val="24"/>
                <w:sz w:val="20"/>
                <w:lang w:eastAsia="lt-LT"/>
              </w:rPr>
              <w:t xml:space="preserve">2 </w:t>
            </w:r>
          </w:p>
          <w:p w14:paraId="6DF71164" w14:textId="77777777" w:rsidR="00381469" w:rsidRDefault="00381469">
            <w:pPr>
              <w:spacing w:line="276" w:lineRule="auto"/>
              <w:jc w:val="center"/>
              <w:rPr>
                <w:sz w:val="20"/>
                <w:lang w:eastAsia="lt-LT"/>
              </w:rPr>
            </w:pPr>
            <w:r>
              <w:rPr>
                <w:kern w:val="24"/>
                <w:sz w:val="20"/>
                <w:lang w:eastAsia="lt-LT"/>
              </w:rPr>
              <w:t xml:space="preserve">(0,06)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A631D2B" w14:textId="77777777" w:rsidR="00381469" w:rsidRDefault="00381469">
            <w:pPr>
              <w:jc w:val="center"/>
              <w:rPr>
                <w:sz w:val="20"/>
                <w:lang w:eastAsia="lt-LT"/>
              </w:rPr>
            </w:pPr>
            <w:r>
              <w:rPr>
                <w:kern w:val="24"/>
                <w:sz w:val="20"/>
                <w:lang w:eastAsia="lt-LT"/>
              </w:rPr>
              <w:t xml:space="preserve">3 </w:t>
            </w:r>
          </w:p>
          <w:p w14:paraId="0762CD6C" w14:textId="77777777" w:rsidR="00381469" w:rsidRDefault="00381469">
            <w:pPr>
              <w:spacing w:line="276" w:lineRule="auto"/>
              <w:jc w:val="center"/>
              <w:rPr>
                <w:sz w:val="20"/>
                <w:lang w:eastAsia="lt-LT"/>
              </w:rPr>
            </w:pPr>
            <w:r>
              <w:rPr>
                <w:kern w:val="24"/>
                <w:sz w:val="20"/>
                <w:lang w:eastAsia="lt-LT"/>
              </w:rPr>
              <w:t xml:space="preserve">(0,09)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46F50B1" w14:textId="77777777" w:rsidR="00381469" w:rsidRDefault="00381469">
            <w:pPr>
              <w:jc w:val="center"/>
              <w:rPr>
                <w:sz w:val="20"/>
                <w:lang w:eastAsia="lt-LT"/>
              </w:rPr>
            </w:pPr>
            <w:r>
              <w:rPr>
                <w:kern w:val="24"/>
                <w:sz w:val="20"/>
                <w:lang w:eastAsia="lt-LT"/>
              </w:rPr>
              <w:t xml:space="preserve">3 </w:t>
            </w:r>
          </w:p>
          <w:p w14:paraId="6D7799CC" w14:textId="77777777" w:rsidR="00381469" w:rsidRDefault="00381469">
            <w:pPr>
              <w:spacing w:line="276" w:lineRule="auto"/>
              <w:jc w:val="center"/>
              <w:rPr>
                <w:sz w:val="20"/>
                <w:lang w:eastAsia="lt-LT"/>
              </w:rPr>
            </w:pPr>
            <w:r>
              <w:rPr>
                <w:kern w:val="24"/>
                <w:sz w:val="20"/>
                <w:lang w:eastAsia="lt-LT"/>
              </w:rPr>
              <w:t xml:space="preserve">(0,10)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0541EEC" w14:textId="77777777" w:rsidR="00381469" w:rsidRDefault="00381469">
            <w:pPr>
              <w:jc w:val="center"/>
              <w:rPr>
                <w:sz w:val="20"/>
                <w:lang w:eastAsia="lt-LT"/>
              </w:rPr>
            </w:pPr>
            <w:r>
              <w:rPr>
                <w:kern w:val="24"/>
                <w:sz w:val="20"/>
                <w:lang w:eastAsia="lt-LT"/>
              </w:rPr>
              <w:t xml:space="preserve">2 </w:t>
            </w:r>
          </w:p>
          <w:p w14:paraId="5633084B" w14:textId="77777777" w:rsidR="00381469" w:rsidRDefault="00381469">
            <w:pPr>
              <w:spacing w:line="276" w:lineRule="auto"/>
              <w:jc w:val="center"/>
              <w:rPr>
                <w:sz w:val="20"/>
                <w:lang w:eastAsia="lt-LT"/>
              </w:rPr>
            </w:pPr>
            <w:r>
              <w:rPr>
                <w:kern w:val="24"/>
                <w:sz w:val="20"/>
                <w:lang w:eastAsia="lt-LT"/>
              </w:rPr>
              <w:t xml:space="preserve">(0,07)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ED206CD" w14:textId="77777777" w:rsidR="00381469" w:rsidRDefault="00381469">
            <w:pPr>
              <w:jc w:val="center"/>
              <w:rPr>
                <w:sz w:val="20"/>
                <w:lang w:eastAsia="lt-LT"/>
              </w:rPr>
            </w:pPr>
            <w:r>
              <w:rPr>
                <w:kern w:val="24"/>
                <w:sz w:val="20"/>
                <w:lang w:eastAsia="lt-LT"/>
              </w:rPr>
              <w:t xml:space="preserve">3 </w:t>
            </w:r>
          </w:p>
          <w:p w14:paraId="5A5BD358" w14:textId="77777777" w:rsidR="00381469" w:rsidRDefault="00381469">
            <w:pPr>
              <w:spacing w:line="276" w:lineRule="auto"/>
              <w:jc w:val="center"/>
              <w:rPr>
                <w:sz w:val="20"/>
                <w:lang w:eastAsia="lt-LT"/>
              </w:rPr>
            </w:pPr>
            <w:r>
              <w:rPr>
                <w:kern w:val="24"/>
                <w:sz w:val="20"/>
                <w:lang w:eastAsia="lt-LT"/>
              </w:rPr>
              <w:t xml:space="preserve">(0,10)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FC7ADF7" w14:textId="77777777" w:rsidR="00381469" w:rsidRDefault="00381469">
            <w:pPr>
              <w:jc w:val="center"/>
              <w:rPr>
                <w:sz w:val="20"/>
                <w:lang w:eastAsia="lt-LT"/>
              </w:rPr>
            </w:pPr>
            <w:r>
              <w:rPr>
                <w:kern w:val="24"/>
                <w:sz w:val="20"/>
                <w:lang w:eastAsia="lt-LT"/>
              </w:rPr>
              <w:t xml:space="preserve">14 </w:t>
            </w:r>
          </w:p>
          <w:p w14:paraId="7A698BC8" w14:textId="77777777" w:rsidR="00381469" w:rsidRDefault="00381469">
            <w:pPr>
              <w:spacing w:line="276" w:lineRule="auto"/>
              <w:jc w:val="center"/>
              <w:rPr>
                <w:sz w:val="20"/>
                <w:lang w:eastAsia="lt-LT"/>
              </w:rPr>
            </w:pPr>
            <w:r>
              <w:rPr>
                <w:kern w:val="24"/>
                <w:sz w:val="20"/>
                <w:lang w:eastAsia="lt-LT"/>
              </w:rPr>
              <w:t xml:space="preserve">(0,5)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E247A8E" w14:textId="77777777" w:rsidR="00381469" w:rsidRDefault="00381469">
            <w:pPr>
              <w:jc w:val="center"/>
              <w:rPr>
                <w:sz w:val="20"/>
                <w:lang w:eastAsia="lt-LT"/>
              </w:rPr>
            </w:pPr>
            <w:r>
              <w:rPr>
                <w:kern w:val="24"/>
                <w:sz w:val="20"/>
                <w:lang w:eastAsia="lt-LT"/>
              </w:rPr>
              <w:t xml:space="preserve">7 </w:t>
            </w:r>
          </w:p>
          <w:p w14:paraId="187E8004" w14:textId="77777777" w:rsidR="00381469" w:rsidRDefault="00381469">
            <w:pPr>
              <w:spacing w:line="276" w:lineRule="auto"/>
              <w:jc w:val="center"/>
              <w:rPr>
                <w:sz w:val="20"/>
                <w:lang w:eastAsia="lt-LT"/>
              </w:rPr>
            </w:pPr>
            <w:r>
              <w:rPr>
                <w:kern w:val="24"/>
                <w:sz w:val="20"/>
                <w:lang w:eastAsia="lt-LT"/>
              </w:rPr>
              <w:t xml:space="preserve">(0,20)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801D88B" w14:textId="77777777" w:rsidR="00381469" w:rsidRDefault="00381469">
            <w:pPr>
              <w:jc w:val="center"/>
              <w:rPr>
                <w:sz w:val="20"/>
                <w:lang w:eastAsia="lt-LT"/>
              </w:rPr>
            </w:pPr>
            <w:r>
              <w:rPr>
                <w:kern w:val="24"/>
                <w:sz w:val="20"/>
                <w:lang w:eastAsia="lt-LT"/>
              </w:rPr>
              <w:t xml:space="preserve">8 </w:t>
            </w:r>
          </w:p>
          <w:p w14:paraId="09DD2417" w14:textId="77777777" w:rsidR="00381469" w:rsidRDefault="00381469">
            <w:pPr>
              <w:spacing w:line="276" w:lineRule="auto"/>
              <w:jc w:val="center"/>
              <w:rPr>
                <w:sz w:val="20"/>
                <w:lang w:eastAsia="lt-LT"/>
              </w:rPr>
            </w:pPr>
            <w:r>
              <w:rPr>
                <w:kern w:val="24"/>
                <w:sz w:val="20"/>
                <w:lang w:eastAsia="lt-LT"/>
              </w:rPr>
              <w:t xml:space="preserve">(0,28) </w:t>
            </w:r>
          </w:p>
        </w:tc>
      </w:tr>
      <w:tr w:rsidR="00381469" w14:paraId="0046B047" w14:textId="77777777" w:rsidTr="00381469">
        <w:trPr>
          <w:trHeight w:val="709"/>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5AEBBAE" w14:textId="77777777" w:rsidR="00381469" w:rsidRDefault="00381469">
            <w:pPr>
              <w:spacing w:line="276" w:lineRule="auto"/>
              <w:jc w:val="center"/>
              <w:rPr>
                <w:sz w:val="20"/>
                <w:lang w:eastAsia="lt-LT"/>
              </w:rPr>
            </w:pPr>
            <w:r>
              <w:rPr>
                <w:bCs/>
                <w:color w:val="000000"/>
                <w:kern w:val="24"/>
                <w:sz w:val="20"/>
                <w:lang w:eastAsia="lt-LT"/>
              </w:rPr>
              <w:t>Meningokokinė infekcija</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B62C533" w14:textId="77777777" w:rsidR="00381469" w:rsidRDefault="00381469">
            <w:pPr>
              <w:spacing w:line="276" w:lineRule="auto"/>
              <w:jc w:val="center"/>
              <w:rPr>
                <w:sz w:val="20"/>
                <w:lang w:eastAsia="lt-LT"/>
              </w:rPr>
            </w:pPr>
            <w:r>
              <w:rPr>
                <w:kern w:val="24"/>
                <w:sz w:val="20"/>
                <w:lang w:eastAsia="lt-LT"/>
              </w:rPr>
              <w:t>77 (2,21)</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733F7D6" w14:textId="77777777" w:rsidR="00381469" w:rsidRDefault="00381469">
            <w:pPr>
              <w:jc w:val="center"/>
              <w:rPr>
                <w:kern w:val="24"/>
                <w:sz w:val="20"/>
                <w:lang w:eastAsia="lt-LT"/>
              </w:rPr>
            </w:pPr>
            <w:r>
              <w:rPr>
                <w:kern w:val="24"/>
                <w:sz w:val="20"/>
                <w:lang w:eastAsia="lt-LT"/>
              </w:rPr>
              <w:t xml:space="preserve">66 </w:t>
            </w:r>
          </w:p>
          <w:p w14:paraId="4FB7C36E" w14:textId="77777777" w:rsidR="00381469" w:rsidRDefault="00381469">
            <w:pPr>
              <w:spacing w:line="276" w:lineRule="auto"/>
              <w:jc w:val="center"/>
              <w:rPr>
                <w:sz w:val="20"/>
                <w:lang w:eastAsia="lt-LT"/>
              </w:rPr>
            </w:pPr>
            <w:r>
              <w:rPr>
                <w:kern w:val="24"/>
                <w:sz w:val="20"/>
                <w:lang w:eastAsia="lt-LT"/>
              </w:rPr>
              <w:t>(1,9)</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7D12202" w14:textId="77777777" w:rsidR="00381469" w:rsidRDefault="00381469">
            <w:pPr>
              <w:spacing w:line="276" w:lineRule="auto"/>
              <w:jc w:val="center"/>
              <w:rPr>
                <w:sz w:val="20"/>
                <w:lang w:eastAsia="lt-LT"/>
              </w:rPr>
            </w:pPr>
            <w:r>
              <w:rPr>
                <w:kern w:val="24"/>
                <w:sz w:val="20"/>
                <w:lang w:eastAsia="lt-LT"/>
              </w:rPr>
              <w:t>73 (2,11)</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D1298C5" w14:textId="77777777" w:rsidR="00381469" w:rsidRDefault="00381469">
            <w:pPr>
              <w:spacing w:line="276" w:lineRule="auto"/>
              <w:jc w:val="center"/>
              <w:rPr>
                <w:sz w:val="20"/>
                <w:lang w:eastAsia="lt-LT"/>
              </w:rPr>
            </w:pPr>
            <w:r>
              <w:rPr>
                <w:kern w:val="24"/>
                <w:sz w:val="20"/>
                <w:lang w:eastAsia="lt-LT"/>
              </w:rPr>
              <w:t>92 (2,67)</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D7B8294" w14:textId="77777777" w:rsidR="00381469" w:rsidRDefault="00381469">
            <w:pPr>
              <w:spacing w:line="276" w:lineRule="auto"/>
              <w:jc w:val="center"/>
              <w:rPr>
                <w:sz w:val="20"/>
                <w:lang w:eastAsia="lt-LT"/>
              </w:rPr>
            </w:pPr>
            <w:r>
              <w:rPr>
                <w:kern w:val="24"/>
                <w:sz w:val="20"/>
                <w:lang w:eastAsia="lt-LT"/>
              </w:rPr>
              <w:t xml:space="preserve">81 (2,36)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64D2668" w14:textId="77777777" w:rsidR="00381469" w:rsidRDefault="00381469">
            <w:pPr>
              <w:spacing w:line="276" w:lineRule="auto"/>
              <w:jc w:val="center"/>
              <w:rPr>
                <w:sz w:val="20"/>
                <w:lang w:eastAsia="lt-LT"/>
              </w:rPr>
            </w:pPr>
            <w:r>
              <w:rPr>
                <w:kern w:val="24"/>
                <w:sz w:val="20"/>
                <w:lang w:eastAsia="lt-LT"/>
              </w:rPr>
              <w:t>77 (2,26)</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8C737EC" w14:textId="77777777" w:rsidR="00381469" w:rsidRDefault="00381469">
            <w:pPr>
              <w:spacing w:line="276" w:lineRule="auto"/>
              <w:jc w:val="center"/>
              <w:rPr>
                <w:sz w:val="20"/>
                <w:lang w:eastAsia="lt-LT"/>
              </w:rPr>
            </w:pPr>
            <w:r>
              <w:rPr>
                <w:kern w:val="24"/>
                <w:sz w:val="20"/>
                <w:lang w:eastAsia="lt-LT"/>
              </w:rPr>
              <w:t>66 (1,95)</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DB95844" w14:textId="77777777" w:rsidR="00381469" w:rsidRDefault="00381469">
            <w:pPr>
              <w:spacing w:line="276" w:lineRule="auto"/>
              <w:jc w:val="center"/>
              <w:rPr>
                <w:sz w:val="20"/>
                <w:lang w:eastAsia="lt-LT"/>
              </w:rPr>
            </w:pPr>
            <w:r>
              <w:rPr>
                <w:kern w:val="24"/>
                <w:sz w:val="20"/>
                <w:lang w:eastAsia="lt-LT"/>
              </w:rPr>
              <w:t xml:space="preserve">68 (2,02)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A7BE207" w14:textId="77777777" w:rsidR="00381469" w:rsidRDefault="00381469">
            <w:pPr>
              <w:spacing w:line="276" w:lineRule="auto"/>
              <w:jc w:val="center"/>
              <w:rPr>
                <w:sz w:val="20"/>
                <w:lang w:eastAsia="lt-LT"/>
              </w:rPr>
            </w:pPr>
            <w:r>
              <w:rPr>
                <w:kern w:val="24"/>
                <w:sz w:val="20"/>
                <w:lang w:eastAsia="lt-LT"/>
              </w:rPr>
              <w:t xml:space="preserve">65 (1,94)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D9AD84C" w14:textId="77777777" w:rsidR="00381469" w:rsidRDefault="00381469">
            <w:pPr>
              <w:jc w:val="center"/>
              <w:rPr>
                <w:kern w:val="24"/>
                <w:sz w:val="20"/>
                <w:lang w:eastAsia="lt-LT"/>
              </w:rPr>
            </w:pPr>
            <w:r>
              <w:rPr>
                <w:kern w:val="24"/>
                <w:sz w:val="20"/>
                <w:lang w:eastAsia="lt-LT"/>
              </w:rPr>
              <w:t xml:space="preserve">50 </w:t>
            </w:r>
          </w:p>
          <w:p w14:paraId="5868A676" w14:textId="77777777" w:rsidR="00381469" w:rsidRDefault="00381469">
            <w:pPr>
              <w:spacing w:line="276" w:lineRule="auto"/>
              <w:jc w:val="center"/>
              <w:rPr>
                <w:sz w:val="20"/>
                <w:lang w:eastAsia="lt-LT"/>
              </w:rPr>
            </w:pPr>
            <w:r>
              <w:rPr>
                <w:kern w:val="24"/>
                <w:sz w:val="20"/>
                <w:lang w:eastAsia="lt-LT"/>
              </w:rPr>
              <w:t>(1,5)</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1C6E851" w14:textId="77777777" w:rsidR="00381469" w:rsidRDefault="00381469">
            <w:pPr>
              <w:spacing w:line="276" w:lineRule="auto"/>
              <w:jc w:val="center"/>
              <w:rPr>
                <w:sz w:val="20"/>
                <w:lang w:eastAsia="lt-LT"/>
              </w:rPr>
            </w:pPr>
            <w:r>
              <w:rPr>
                <w:kern w:val="24"/>
                <w:sz w:val="20"/>
                <w:lang w:eastAsia="lt-LT"/>
              </w:rPr>
              <w:t>80 (2,47)</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CB310A" w14:textId="77777777" w:rsidR="00381469" w:rsidRDefault="00381469">
            <w:pPr>
              <w:spacing w:line="276" w:lineRule="auto"/>
              <w:jc w:val="center"/>
              <w:rPr>
                <w:sz w:val="20"/>
                <w:lang w:eastAsia="lt-LT"/>
              </w:rPr>
            </w:pPr>
            <w:r>
              <w:rPr>
                <w:kern w:val="24"/>
                <w:sz w:val="20"/>
                <w:lang w:eastAsia="lt-LT"/>
              </w:rPr>
              <w:t>83 (2,77)</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C24F64B" w14:textId="77777777" w:rsidR="00381469" w:rsidRDefault="00381469">
            <w:pPr>
              <w:jc w:val="center"/>
              <w:rPr>
                <w:kern w:val="24"/>
                <w:sz w:val="20"/>
                <w:lang w:eastAsia="lt-LT"/>
              </w:rPr>
            </w:pPr>
            <w:r>
              <w:rPr>
                <w:kern w:val="24"/>
                <w:sz w:val="20"/>
                <w:lang w:eastAsia="lt-LT"/>
              </w:rPr>
              <w:t xml:space="preserve">89 </w:t>
            </w:r>
          </w:p>
          <w:p w14:paraId="710974C8" w14:textId="77777777" w:rsidR="00381469" w:rsidRDefault="00381469">
            <w:pPr>
              <w:spacing w:line="276" w:lineRule="auto"/>
              <w:jc w:val="center"/>
              <w:rPr>
                <w:sz w:val="20"/>
                <w:lang w:eastAsia="lt-LT"/>
              </w:rPr>
            </w:pPr>
            <w:r>
              <w:rPr>
                <w:kern w:val="24"/>
                <w:sz w:val="20"/>
                <w:lang w:eastAsia="lt-LT"/>
              </w:rPr>
              <w:t>(3,0)</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2D21F2F" w14:textId="77777777" w:rsidR="00381469" w:rsidRDefault="00381469">
            <w:pPr>
              <w:jc w:val="center"/>
              <w:rPr>
                <w:kern w:val="24"/>
                <w:sz w:val="20"/>
                <w:lang w:eastAsia="lt-LT"/>
              </w:rPr>
            </w:pPr>
            <w:r>
              <w:rPr>
                <w:kern w:val="24"/>
                <w:sz w:val="20"/>
                <w:lang w:eastAsia="lt-LT"/>
              </w:rPr>
              <w:t xml:space="preserve">71 </w:t>
            </w:r>
          </w:p>
          <w:p w14:paraId="22031196" w14:textId="77777777" w:rsidR="00381469" w:rsidRDefault="00381469">
            <w:pPr>
              <w:spacing w:line="276" w:lineRule="auto"/>
              <w:jc w:val="center"/>
              <w:rPr>
                <w:sz w:val="20"/>
                <w:lang w:eastAsia="lt-LT"/>
              </w:rPr>
            </w:pPr>
            <w:r>
              <w:rPr>
                <w:kern w:val="24"/>
                <w:sz w:val="20"/>
                <w:lang w:eastAsia="lt-LT"/>
              </w:rPr>
              <w:t>(2,4)</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6AC67437" w14:textId="77777777" w:rsidR="00381469" w:rsidRDefault="00381469">
            <w:pPr>
              <w:jc w:val="center"/>
              <w:rPr>
                <w:kern w:val="24"/>
                <w:sz w:val="20"/>
                <w:lang w:eastAsia="lt-LT"/>
              </w:rPr>
            </w:pPr>
            <w:r>
              <w:rPr>
                <w:kern w:val="24"/>
                <w:sz w:val="20"/>
                <w:lang w:eastAsia="lt-LT"/>
              </w:rPr>
              <w:t xml:space="preserve">74 </w:t>
            </w:r>
          </w:p>
          <w:p w14:paraId="5A65622E" w14:textId="77777777" w:rsidR="00381469" w:rsidRDefault="00381469">
            <w:pPr>
              <w:spacing w:line="276" w:lineRule="auto"/>
              <w:jc w:val="center"/>
              <w:rPr>
                <w:sz w:val="20"/>
                <w:lang w:eastAsia="lt-LT"/>
              </w:rPr>
            </w:pPr>
            <w:r>
              <w:rPr>
                <w:kern w:val="24"/>
                <w:sz w:val="20"/>
                <w:lang w:eastAsia="lt-LT"/>
              </w:rPr>
              <w:t xml:space="preserve">(2,5) </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E7476D1" w14:textId="77777777" w:rsidR="00381469" w:rsidRDefault="00381469">
            <w:pPr>
              <w:jc w:val="center"/>
              <w:rPr>
                <w:kern w:val="24"/>
                <w:sz w:val="20"/>
                <w:lang w:eastAsia="lt-LT"/>
              </w:rPr>
            </w:pPr>
            <w:r>
              <w:rPr>
                <w:kern w:val="24"/>
                <w:sz w:val="20"/>
                <w:lang w:eastAsia="lt-LT"/>
              </w:rPr>
              <w:t xml:space="preserve">75 </w:t>
            </w:r>
          </w:p>
          <w:p w14:paraId="54FF36A5" w14:textId="77777777" w:rsidR="00381469" w:rsidRDefault="00381469">
            <w:pPr>
              <w:spacing w:line="276" w:lineRule="auto"/>
              <w:jc w:val="center"/>
              <w:rPr>
                <w:sz w:val="20"/>
                <w:lang w:eastAsia="lt-LT"/>
              </w:rPr>
            </w:pPr>
            <w:r>
              <w:rPr>
                <w:kern w:val="24"/>
                <w:sz w:val="20"/>
                <w:lang w:eastAsia="lt-LT"/>
              </w:rPr>
              <w:t>(2,6)</w:t>
            </w:r>
            <w:r>
              <w:rPr>
                <w:bCs/>
                <w:kern w:val="24"/>
                <w:sz w:val="20"/>
                <w:lang w:eastAsia="lt-LT"/>
              </w:rPr>
              <w:t xml:space="preserve">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DE04868" w14:textId="77777777" w:rsidR="00381469" w:rsidRDefault="00381469">
            <w:pPr>
              <w:spacing w:line="276" w:lineRule="auto"/>
              <w:jc w:val="center"/>
              <w:rPr>
                <w:sz w:val="20"/>
                <w:lang w:eastAsia="lt-LT"/>
              </w:rPr>
            </w:pPr>
            <w:r>
              <w:rPr>
                <w:kern w:val="24"/>
                <w:sz w:val="20"/>
                <w:lang w:eastAsia="lt-LT"/>
              </w:rPr>
              <w:t>81 (2,86)</w:t>
            </w:r>
          </w:p>
        </w:tc>
      </w:tr>
      <w:tr w:rsidR="00381469" w14:paraId="2674E387" w14:textId="77777777" w:rsidTr="00381469">
        <w:trPr>
          <w:trHeight w:val="396"/>
        </w:trPr>
        <w:tc>
          <w:tcPr>
            <w:tcW w:w="136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2E535E3" w14:textId="77777777" w:rsidR="00381469" w:rsidRDefault="00381469">
            <w:pPr>
              <w:spacing w:line="276" w:lineRule="auto"/>
              <w:jc w:val="center"/>
              <w:rPr>
                <w:sz w:val="20"/>
                <w:lang w:eastAsia="lt-LT"/>
              </w:rPr>
            </w:pPr>
            <w:r>
              <w:rPr>
                <w:bCs/>
                <w:color w:val="000000"/>
                <w:kern w:val="24"/>
                <w:sz w:val="20"/>
                <w:lang w:eastAsia="lt-LT"/>
              </w:rPr>
              <w:t>Pneumokokinė infekcija</w:t>
            </w:r>
            <w:r>
              <w:rPr>
                <w:color w:val="000000"/>
                <w:kern w:val="24"/>
                <w:sz w:val="20"/>
                <w:lang w:eastAsia="lt-LT"/>
              </w:rPr>
              <w:t xml:space="preserve"> </w:t>
            </w:r>
          </w:p>
        </w:tc>
        <w:tc>
          <w:tcPr>
            <w:tcW w:w="737"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E5111BF" w14:textId="77777777" w:rsidR="00381469" w:rsidRDefault="00381469">
            <w:pPr>
              <w:jc w:val="center"/>
              <w:rPr>
                <w:kern w:val="24"/>
                <w:sz w:val="20"/>
                <w:lang w:eastAsia="lt-LT"/>
              </w:rPr>
            </w:pPr>
            <w:r>
              <w:rPr>
                <w:kern w:val="24"/>
                <w:sz w:val="20"/>
                <w:lang w:eastAsia="lt-LT"/>
              </w:rPr>
              <w:t xml:space="preserve">1 </w:t>
            </w:r>
          </w:p>
          <w:p w14:paraId="27228ACE" w14:textId="77777777" w:rsidR="00381469" w:rsidRDefault="00381469">
            <w:pPr>
              <w:spacing w:line="276" w:lineRule="auto"/>
              <w:jc w:val="center"/>
              <w:rPr>
                <w:sz w:val="20"/>
                <w:lang w:eastAsia="lt-LT"/>
              </w:rPr>
            </w:pPr>
            <w:r>
              <w:rPr>
                <w:kern w:val="24"/>
                <w:sz w:val="20"/>
                <w:lang w:eastAsia="lt-LT"/>
              </w:rPr>
              <w:t xml:space="preserve">(0,03) </w:t>
            </w:r>
          </w:p>
        </w:tc>
        <w:tc>
          <w:tcPr>
            <w:tcW w:w="734"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333C013"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35C7E6F" w14:textId="77777777" w:rsidR="00381469" w:rsidRDefault="00381469">
            <w:pPr>
              <w:spacing w:line="276" w:lineRule="auto"/>
              <w:jc w:val="center"/>
              <w:rPr>
                <w:sz w:val="20"/>
                <w:lang w:eastAsia="lt-LT"/>
              </w:rPr>
            </w:pPr>
            <w:r>
              <w:rPr>
                <w:kern w:val="24"/>
                <w:sz w:val="20"/>
                <w:lang w:eastAsia="lt-LT"/>
              </w:rPr>
              <w:t xml:space="preserve">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E6B2099" w14:textId="77777777" w:rsidR="00381469" w:rsidRDefault="00381469">
            <w:pPr>
              <w:jc w:val="center"/>
              <w:rPr>
                <w:kern w:val="24"/>
                <w:sz w:val="20"/>
                <w:lang w:eastAsia="lt-LT"/>
              </w:rPr>
            </w:pPr>
            <w:r>
              <w:rPr>
                <w:kern w:val="24"/>
                <w:sz w:val="20"/>
                <w:lang w:eastAsia="lt-LT"/>
              </w:rPr>
              <w:t xml:space="preserve">1 </w:t>
            </w:r>
          </w:p>
          <w:p w14:paraId="5ECE50DE" w14:textId="77777777" w:rsidR="00381469" w:rsidRDefault="00381469">
            <w:pPr>
              <w:spacing w:line="276" w:lineRule="auto"/>
              <w:jc w:val="center"/>
              <w:rPr>
                <w:sz w:val="20"/>
                <w:lang w:eastAsia="lt-LT"/>
              </w:rPr>
            </w:pPr>
            <w:r>
              <w:rPr>
                <w:kern w:val="24"/>
                <w:sz w:val="20"/>
                <w:lang w:eastAsia="lt-LT"/>
              </w:rPr>
              <w:t xml:space="preserve">(0,03)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2C0132D6" w14:textId="77777777" w:rsidR="00381469" w:rsidRDefault="00381469">
            <w:pPr>
              <w:spacing w:line="276" w:lineRule="auto"/>
              <w:jc w:val="center"/>
              <w:rPr>
                <w:sz w:val="20"/>
                <w:lang w:eastAsia="lt-LT"/>
              </w:rPr>
            </w:pPr>
            <w:r>
              <w:rPr>
                <w:kern w:val="24"/>
                <w:sz w:val="20"/>
                <w:lang w:eastAsia="lt-LT"/>
              </w:rPr>
              <w:t xml:space="preserve">36 (1,05)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507FB95" w14:textId="77777777" w:rsidR="00381469" w:rsidRDefault="00381469">
            <w:pPr>
              <w:spacing w:line="276" w:lineRule="auto"/>
              <w:jc w:val="center"/>
              <w:rPr>
                <w:sz w:val="20"/>
                <w:lang w:eastAsia="lt-LT"/>
              </w:rPr>
            </w:pPr>
            <w:r>
              <w:rPr>
                <w:kern w:val="24"/>
                <w:sz w:val="20"/>
                <w:lang w:eastAsia="lt-LT"/>
              </w:rPr>
              <w:t>13 (0,38)</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E4B53AD" w14:textId="77777777" w:rsidR="00381469" w:rsidRDefault="00381469">
            <w:pPr>
              <w:spacing w:line="276" w:lineRule="auto"/>
              <w:jc w:val="center"/>
              <w:rPr>
                <w:sz w:val="20"/>
                <w:lang w:eastAsia="lt-LT"/>
              </w:rPr>
            </w:pPr>
            <w:r>
              <w:rPr>
                <w:kern w:val="24"/>
                <w:sz w:val="20"/>
                <w:lang w:eastAsia="lt-LT"/>
              </w:rPr>
              <w:t>32 (0,95)</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AD5F7CE" w14:textId="77777777" w:rsidR="00381469" w:rsidRDefault="00381469">
            <w:pPr>
              <w:spacing w:line="276" w:lineRule="auto"/>
              <w:jc w:val="center"/>
              <w:rPr>
                <w:sz w:val="20"/>
                <w:lang w:eastAsia="lt-LT"/>
              </w:rPr>
            </w:pPr>
            <w:r>
              <w:rPr>
                <w:kern w:val="24"/>
                <w:sz w:val="20"/>
                <w:lang w:eastAsia="lt-LT"/>
              </w:rPr>
              <w:t>18 (0,53)</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4D905926" w14:textId="77777777" w:rsidR="00381469" w:rsidRDefault="00381469">
            <w:pPr>
              <w:spacing w:line="276" w:lineRule="auto"/>
              <w:jc w:val="center"/>
              <w:rPr>
                <w:sz w:val="20"/>
                <w:lang w:eastAsia="lt-LT"/>
              </w:rPr>
            </w:pPr>
            <w:r>
              <w:rPr>
                <w:kern w:val="24"/>
                <w:sz w:val="20"/>
                <w:lang w:eastAsia="lt-LT"/>
              </w:rPr>
              <w:t>16 (0,48)</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35B8F34D" w14:textId="77777777" w:rsidR="00381469" w:rsidRDefault="00381469">
            <w:pPr>
              <w:jc w:val="center"/>
              <w:rPr>
                <w:kern w:val="24"/>
                <w:sz w:val="20"/>
                <w:lang w:eastAsia="lt-LT"/>
              </w:rPr>
            </w:pPr>
            <w:r>
              <w:rPr>
                <w:kern w:val="24"/>
                <w:sz w:val="20"/>
                <w:lang w:eastAsia="lt-LT"/>
              </w:rPr>
              <w:t xml:space="preserve">10 </w:t>
            </w:r>
          </w:p>
          <w:p w14:paraId="135AAB6A" w14:textId="77777777" w:rsidR="00381469" w:rsidRDefault="00381469">
            <w:pPr>
              <w:spacing w:line="276" w:lineRule="auto"/>
              <w:jc w:val="center"/>
              <w:rPr>
                <w:sz w:val="20"/>
                <w:lang w:eastAsia="lt-LT"/>
              </w:rPr>
            </w:pPr>
            <w:r>
              <w:rPr>
                <w:kern w:val="24"/>
                <w:sz w:val="20"/>
                <w:lang w:eastAsia="lt-LT"/>
              </w:rPr>
              <w:t xml:space="preserve">(0,30)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186EBE34" w14:textId="77777777" w:rsidR="00381469" w:rsidRDefault="00381469">
            <w:pPr>
              <w:jc w:val="center"/>
              <w:rPr>
                <w:kern w:val="24"/>
                <w:sz w:val="20"/>
                <w:lang w:eastAsia="lt-LT"/>
              </w:rPr>
            </w:pPr>
            <w:r>
              <w:rPr>
                <w:kern w:val="24"/>
                <w:sz w:val="20"/>
                <w:lang w:eastAsia="lt-LT"/>
              </w:rPr>
              <w:t xml:space="preserve">9 </w:t>
            </w:r>
          </w:p>
          <w:p w14:paraId="6B83894F" w14:textId="77777777" w:rsidR="00381469" w:rsidRDefault="00381469">
            <w:pPr>
              <w:spacing w:line="276" w:lineRule="auto"/>
              <w:jc w:val="center"/>
              <w:rPr>
                <w:sz w:val="20"/>
                <w:lang w:eastAsia="lt-LT"/>
              </w:rPr>
            </w:pPr>
            <w:r>
              <w:rPr>
                <w:kern w:val="24"/>
                <w:sz w:val="20"/>
                <w:lang w:eastAsia="lt-LT"/>
              </w:rPr>
              <w:t xml:space="preserve">(0,28) </w:t>
            </w:r>
          </w:p>
        </w:tc>
        <w:tc>
          <w:tcPr>
            <w:tcW w:w="73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0379349" w14:textId="77777777" w:rsidR="00381469" w:rsidRDefault="00381469">
            <w:pPr>
              <w:jc w:val="center"/>
              <w:rPr>
                <w:kern w:val="24"/>
                <w:sz w:val="20"/>
                <w:lang w:eastAsia="lt-LT"/>
              </w:rPr>
            </w:pPr>
            <w:r>
              <w:rPr>
                <w:kern w:val="24"/>
                <w:sz w:val="20"/>
                <w:lang w:eastAsia="lt-LT"/>
              </w:rPr>
              <w:t xml:space="preserve">7 </w:t>
            </w:r>
          </w:p>
          <w:p w14:paraId="5F1A2D76" w14:textId="77777777" w:rsidR="00381469" w:rsidRDefault="00381469">
            <w:pPr>
              <w:spacing w:line="276" w:lineRule="auto"/>
              <w:jc w:val="center"/>
              <w:rPr>
                <w:sz w:val="20"/>
                <w:lang w:eastAsia="lt-LT"/>
              </w:rPr>
            </w:pPr>
            <w:r>
              <w:rPr>
                <w:kern w:val="24"/>
                <w:sz w:val="20"/>
                <w:lang w:eastAsia="lt-LT"/>
              </w:rPr>
              <w:t xml:space="preserve">(0,23)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A4EEED2" w14:textId="77777777" w:rsidR="00381469" w:rsidRDefault="00381469">
            <w:pPr>
              <w:jc w:val="center"/>
              <w:rPr>
                <w:kern w:val="24"/>
                <w:sz w:val="20"/>
                <w:lang w:eastAsia="lt-LT"/>
              </w:rPr>
            </w:pPr>
            <w:r>
              <w:rPr>
                <w:kern w:val="24"/>
                <w:sz w:val="20"/>
                <w:lang w:eastAsia="lt-LT"/>
              </w:rPr>
              <w:t xml:space="preserve">17 </w:t>
            </w:r>
          </w:p>
          <w:p w14:paraId="112CB7CC" w14:textId="77777777" w:rsidR="00381469" w:rsidRDefault="00381469">
            <w:pPr>
              <w:spacing w:line="276" w:lineRule="auto"/>
              <w:jc w:val="center"/>
              <w:rPr>
                <w:sz w:val="20"/>
                <w:lang w:eastAsia="lt-LT"/>
              </w:rPr>
            </w:pPr>
            <w:r>
              <w:rPr>
                <w:kern w:val="24"/>
                <w:sz w:val="20"/>
                <w:lang w:eastAsia="lt-LT"/>
              </w:rPr>
              <w:t>(0,6)</w:t>
            </w:r>
            <w:r>
              <w:rPr>
                <w:bCs/>
                <w:kern w:val="24"/>
                <w:sz w:val="20"/>
                <w:lang w:eastAsia="lt-LT"/>
              </w:rPr>
              <w:t xml:space="preserve">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7B93C7DA" w14:textId="77777777" w:rsidR="00381469" w:rsidRDefault="00381469">
            <w:pPr>
              <w:jc w:val="center"/>
              <w:rPr>
                <w:kern w:val="24"/>
                <w:sz w:val="20"/>
                <w:lang w:eastAsia="lt-LT"/>
              </w:rPr>
            </w:pPr>
            <w:r>
              <w:rPr>
                <w:kern w:val="24"/>
                <w:sz w:val="20"/>
                <w:lang w:eastAsia="lt-LT"/>
              </w:rPr>
              <w:t xml:space="preserve">7 </w:t>
            </w:r>
          </w:p>
          <w:p w14:paraId="6F66DF9E" w14:textId="77777777" w:rsidR="00381469" w:rsidRDefault="00381469">
            <w:pPr>
              <w:spacing w:line="276" w:lineRule="auto"/>
              <w:jc w:val="center"/>
              <w:rPr>
                <w:sz w:val="20"/>
                <w:lang w:eastAsia="lt-LT"/>
              </w:rPr>
            </w:pPr>
            <w:r>
              <w:rPr>
                <w:kern w:val="24"/>
                <w:sz w:val="20"/>
                <w:lang w:eastAsia="lt-LT"/>
              </w:rPr>
              <w:t xml:space="preserve">(0,2)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89DA01E" w14:textId="77777777" w:rsidR="00381469" w:rsidRDefault="00381469">
            <w:pPr>
              <w:jc w:val="center"/>
              <w:rPr>
                <w:kern w:val="24"/>
                <w:sz w:val="20"/>
                <w:lang w:eastAsia="lt-LT"/>
              </w:rPr>
            </w:pPr>
            <w:r>
              <w:rPr>
                <w:kern w:val="24"/>
                <w:sz w:val="20"/>
                <w:lang w:eastAsia="lt-LT"/>
              </w:rPr>
              <w:t xml:space="preserve">25 </w:t>
            </w:r>
          </w:p>
          <w:p w14:paraId="32147225" w14:textId="77777777" w:rsidR="00381469" w:rsidRDefault="00381469">
            <w:pPr>
              <w:spacing w:line="276" w:lineRule="auto"/>
              <w:jc w:val="center"/>
              <w:rPr>
                <w:sz w:val="20"/>
                <w:lang w:eastAsia="lt-LT"/>
              </w:rPr>
            </w:pPr>
            <w:r>
              <w:rPr>
                <w:kern w:val="24"/>
                <w:sz w:val="20"/>
                <w:lang w:eastAsia="lt-LT"/>
              </w:rPr>
              <w:t xml:space="preserve">(0,9) </w:t>
            </w:r>
          </w:p>
        </w:tc>
        <w:tc>
          <w:tcPr>
            <w:tcW w:w="735"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556BC7B6" w14:textId="77777777" w:rsidR="00381469" w:rsidRDefault="00381469">
            <w:pPr>
              <w:jc w:val="center"/>
              <w:rPr>
                <w:kern w:val="24"/>
                <w:sz w:val="20"/>
                <w:lang w:eastAsia="lt-LT"/>
              </w:rPr>
            </w:pPr>
            <w:r>
              <w:rPr>
                <w:kern w:val="24"/>
                <w:sz w:val="20"/>
                <w:lang w:eastAsia="lt-LT"/>
              </w:rPr>
              <w:t xml:space="preserve">56 </w:t>
            </w:r>
          </w:p>
          <w:p w14:paraId="22D97BE4" w14:textId="77777777" w:rsidR="00381469" w:rsidRDefault="00381469">
            <w:pPr>
              <w:spacing w:line="276" w:lineRule="auto"/>
              <w:jc w:val="center"/>
              <w:rPr>
                <w:sz w:val="20"/>
                <w:lang w:eastAsia="lt-LT"/>
              </w:rPr>
            </w:pPr>
            <w:r>
              <w:rPr>
                <w:kern w:val="24"/>
                <w:sz w:val="20"/>
                <w:lang w:eastAsia="lt-LT"/>
              </w:rPr>
              <w:t>(2,0)</w:t>
            </w:r>
            <w:r>
              <w:rPr>
                <w:bCs/>
                <w:kern w:val="24"/>
                <w:sz w:val="20"/>
                <w:lang w:eastAsia="lt-LT"/>
              </w:rPr>
              <w:t xml:space="preserve"> </w:t>
            </w:r>
          </w:p>
        </w:tc>
        <w:tc>
          <w:tcPr>
            <w:tcW w:w="716" w:type="dxa"/>
            <w:tcBorders>
              <w:top w:val="single" w:sz="8" w:space="0" w:color="000000"/>
              <w:left w:val="single" w:sz="8" w:space="0" w:color="000000"/>
              <w:bottom w:val="single" w:sz="8" w:space="0" w:color="000000"/>
              <w:right w:val="single" w:sz="8" w:space="0" w:color="000000"/>
            </w:tcBorders>
            <w:tcMar>
              <w:top w:w="10" w:type="dxa"/>
              <w:left w:w="49" w:type="dxa"/>
              <w:bottom w:w="0" w:type="dxa"/>
              <w:right w:w="49" w:type="dxa"/>
            </w:tcMar>
            <w:vAlign w:val="center"/>
            <w:hideMark/>
          </w:tcPr>
          <w:p w14:paraId="0C72AD74" w14:textId="77777777" w:rsidR="00381469" w:rsidRDefault="00381469">
            <w:pPr>
              <w:spacing w:line="276" w:lineRule="auto"/>
              <w:jc w:val="center"/>
              <w:rPr>
                <w:sz w:val="20"/>
                <w:lang w:eastAsia="lt-LT"/>
              </w:rPr>
            </w:pPr>
            <w:r>
              <w:rPr>
                <w:kern w:val="24"/>
                <w:sz w:val="20"/>
                <w:lang w:eastAsia="lt-LT"/>
              </w:rPr>
              <w:t>76 (2,7)</w:t>
            </w:r>
            <w:r>
              <w:rPr>
                <w:bCs/>
                <w:kern w:val="24"/>
                <w:sz w:val="20"/>
                <w:lang w:eastAsia="lt-LT"/>
              </w:rPr>
              <w:t xml:space="preserve"> </w:t>
            </w:r>
          </w:p>
        </w:tc>
      </w:tr>
    </w:tbl>
    <w:p w14:paraId="6D498835" w14:textId="77777777" w:rsidR="00381469" w:rsidRDefault="00381469" w:rsidP="00381469">
      <w:pPr>
        <w:rPr>
          <w:szCs w:val="24"/>
        </w:rPr>
      </w:pPr>
      <w:r>
        <w:rPr>
          <w:szCs w:val="24"/>
        </w:rPr>
        <w:lastRenderedPageBreak/>
        <w:t>* Užkrečiamųjų ligų ir AIDS centro duomenys</w:t>
      </w:r>
    </w:p>
    <w:p w14:paraId="38FB551C" w14:textId="21B61EA3" w:rsidR="00381469" w:rsidRDefault="00381469" w:rsidP="00381469">
      <w:pPr>
        <w:jc w:val="center"/>
        <w:rPr>
          <w:szCs w:val="24"/>
        </w:rPr>
      </w:pPr>
      <w:r>
        <w:rPr>
          <w:szCs w:val="24"/>
        </w:rPr>
        <w:t>____________________________</w:t>
      </w:r>
    </w:p>
    <w:p w14:paraId="33060100" w14:textId="47F2B4AB" w:rsidR="00381469" w:rsidRDefault="00381469" w:rsidP="00381469">
      <w:pPr>
        <w:ind w:left="360"/>
        <w:jc w:val="center"/>
        <w:rPr>
          <w:szCs w:val="24"/>
        </w:rPr>
      </w:pPr>
    </w:p>
    <w:p w14:paraId="6B50D82B" w14:textId="00D9918B" w:rsidR="00381469" w:rsidRDefault="00381469" w:rsidP="00381469">
      <w:pPr>
        <w:tabs>
          <w:tab w:val="left" w:pos="540"/>
          <w:tab w:val="left" w:pos="10915"/>
        </w:tabs>
        <w:jc w:val="center"/>
        <w:rPr>
          <w:szCs w:val="24"/>
        </w:rPr>
        <w:sectPr w:rsidR="00381469" w:rsidSect="00381469">
          <w:pgSz w:w="16838" w:h="11906" w:orient="landscape" w:code="9"/>
          <w:pgMar w:top="1701" w:right="1812" w:bottom="567" w:left="1134" w:header="1134" w:footer="1134" w:gutter="0"/>
          <w:pgNumType w:start="1"/>
          <w:cols w:space="1296"/>
          <w:titlePg/>
          <w:docGrid w:linePitch="326"/>
        </w:sectPr>
      </w:pPr>
    </w:p>
    <w:p w14:paraId="773ED286" w14:textId="77777777" w:rsidR="00381469" w:rsidRDefault="00381469" w:rsidP="00381469">
      <w:pPr>
        <w:tabs>
          <w:tab w:val="left" w:pos="540"/>
          <w:tab w:val="left" w:pos="10915"/>
        </w:tabs>
        <w:ind w:firstLine="10348"/>
        <w:rPr>
          <w:szCs w:val="24"/>
        </w:rPr>
      </w:pPr>
      <w:r>
        <w:rPr>
          <w:szCs w:val="24"/>
        </w:rPr>
        <w:lastRenderedPageBreak/>
        <w:t>Nacionalinės imunoprofilaktikos</w:t>
      </w:r>
    </w:p>
    <w:p w14:paraId="401F4974" w14:textId="77777777" w:rsidR="00381469" w:rsidRDefault="00381469" w:rsidP="00381469">
      <w:pPr>
        <w:tabs>
          <w:tab w:val="left" w:pos="540"/>
          <w:tab w:val="left" w:pos="10915"/>
        </w:tabs>
        <w:ind w:firstLine="10348"/>
        <w:rPr>
          <w:szCs w:val="24"/>
        </w:rPr>
      </w:pPr>
      <w:r>
        <w:rPr>
          <w:szCs w:val="24"/>
        </w:rPr>
        <w:t xml:space="preserve">2019–2023 metų programos </w:t>
      </w:r>
    </w:p>
    <w:p w14:paraId="0B51BAD7" w14:textId="77777777" w:rsidR="00381469" w:rsidRDefault="00381469" w:rsidP="00381469">
      <w:pPr>
        <w:tabs>
          <w:tab w:val="left" w:pos="540"/>
          <w:tab w:val="left" w:pos="10915"/>
        </w:tabs>
        <w:ind w:firstLine="10348"/>
        <w:rPr>
          <w:szCs w:val="24"/>
        </w:rPr>
      </w:pPr>
      <w:r>
        <w:rPr>
          <w:szCs w:val="24"/>
        </w:rPr>
        <w:t>3 priedas</w:t>
      </w:r>
    </w:p>
    <w:p w14:paraId="4D1FCBCE" w14:textId="77777777" w:rsidR="00381469" w:rsidRDefault="00381469" w:rsidP="00381469">
      <w:pPr>
        <w:tabs>
          <w:tab w:val="left" w:pos="540"/>
          <w:tab w:val="left" w:pos="10915"/>
        </w:tabs>
        <w:jc w:val="center"/>
        <w:rPr>
          <w:szCs w:val="24"/>
        </w:rPr>
      </w:pPr>
      <w:r>
        <w:rPr>
          <w:szCs w:val="24"/>
        </w:rPr>
        <w:tab/>
      </w:r>
      <w:r>
        <w:rPr>
          <w:szCs w:val="24"/>
        </w:rPr>
        <w:tab/>
      </w:r>
    </w:p>
    <w:p w14:paraId="57DA77F9" w14:textId="419D7DE9" w:rsidR="00381469" w:rsidRDefault="00381469" w:rsidP="00381469">
      <w:pPr>
        <w:tabs>
          <w:tab w:val="left" w:pos="540"/>
          <w:tab w:val="left" w:pos="10915"/>
        </w:tabs>
        <w:jc w:val="center"/>
        <w:rPr>
          <w:b/>
          <w:caps/>
          <w:szCs w:val="24"/>
        </w:rPr>
      </w:pPr>
      <w:r>
        <w:rPr>
          <w:b/>
          <w:caps/>
          <w:szCs w:val="24"/>
        </w:rPr>
        <w:t>Nacionalinės imunoprofilaktikos 2019–2023 metų programos įgyvendinimo priemonių 2019–2021 metų planas</w:t>
      </w:r>
    </w:p>
    <w:p w14:paraId="73397900" w14:textId="77777777" w:rsidR="00381469" w:rsidRDefault="00381469" w:rsidP="00381469">
      <w:pPr>
        <w:ind w:firstLine="540"/>
        <w:jc w:val="center"/>
        <w:rPr>
          <w:b/>
          <w:caps/>
          <w:sz w:val="18"/>
          <w:szCs w:val="18"/>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860"/>
        <w:gridCol w:w="2995"/>
        <w:gridCol w:w="1095"/>
        <w:gridCol w:w="1231"/>
        <w:gridCol w:w="1231"/>
        <w:gridCol w:w="1230"/>
        <w:gridCol w:w="1910"/>
      </w:tblGrid>
      <w:tr w:rsidR="00381469" w14:paraId="3B763CF0" w14:textId="77777777" w:rsidTr="00381469">
        <w:trPr>
          <w:trHeight w:val="20"/>
          <w:tblHeader/>
        </w:trPr>
        <w:tc>
          <w:tcPr>
            <w:tcW w:w="2093" w:type="dxa"/>
            <w:vMerge w:val="restart"/>
            <w:tcBorders>
              <w:top w:val="single" w:sz="4" w:space="0" w:color="auto"/>
              <w:left w:val="single" w:sz="4" w:space="0" w:color="auto"/>
              <w:bottom w:val="single" w:sz="4" w:space="0" w:color="auto"/>
              <w:right w:val="single" w:sz="4" w:space="0" w:color="auto"/>
            </w:tcBorders>
            <w:hideMark/>
          </w:tcPr>
          <w:p w14:paraId="7EE3E444" w14:textId="77777777" w:rsidR="00381469" w:rsidRDefault="00381469">
            <w:pPr>
              <w:jc w:val="center"/>
              <w:rPr>
                <w:szCs w:val="24"/>
              </w:rPr>
            </w:pPr>
            <w:r>
              <w:rPr>
                <w:szCs w:val="24"/>
              </w:rPr>
              <w:t>Uždavinys</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7B8FADE" w14:textId="77777777" w:rsidR="00381469" w:rsidRDefault="00381469">
            <w:pPr>
              <w:jc w:val="center"/>
              <w:rPr>
                <w:szCs w:val="24"/>
              </w:rPr>
            </w:pPr>
            <w:r>
              <w:rPr>
                <w:szCs w:val="24"/>
              </w:rPr>
              <w:t>Priemonės</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5E7CDB5B" w14:textId="77777777" w:rsidR="00381469" w:rsidRDefault="00381469">
            <w:pPr>
              <w:jc w:val="center"/>
              <w:rPr>
                <w:szCs w:val="24"/>
              </w:rPr>
            </w:pPr>
            <w:r>
              <w:rPr>
                <w:szCs w:val="24"/>
              </w:rPr>
              <w:t>Atsakingi vykdytojai</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6F8218D" w14:textId="77777777" w:rsidR="00381469" w:rsidRDefault="00381469">
            <w:pPr>
              <w:ind w:left="-108"/>
              <w:jc w:val="center"/>
              <w:rPr>
                <w:szCs w:val="24"/>
              </w:rPr>
            </w:pPr>
            <w:r>
              <w:rPr>
                <w:szCs w:val="24"/>
              </w:rPr>
              <w:t>Vykdymo terminas</w:t>
            </w:r>
          </w:p>
        </w:tc>
        <w:tc>
          <w:tcPr>
            <w:tcW w:w="5812" w:type="dxa"/>
            <w:gridSpan w:val="4"/>
            <w:tcBorders>
              <w:top w:val="single" w:sz="4" w:space="0" w:color="auto"/>
              <w:left w:val="single" w:sz="4" w:space="0" w:color="auto"/>
              <w:bottom w:val="single" w:sz="4" w:space="0" w:color="auto"/>
              <w:right w:val="single" w:sz="4" w:space="0" w:color="auto"/>
            </w:tcBorders>
            <w:hideMark/>
          </w:tcPr>
          <w:p w14:paraId="282C02DA" w14:textId="77777777" w:rsidR="00381469" w:rsidRDefault="00381469">
            <w:pPr>
              <w:jc w:val="center"/>
              <w:rPr>
                <w:szCs w:val="24"/>
              </w:rPr>
            </w:pPr>
            <w:r>
              <w:rPr>
                <w:szCs w:val="24"/>
              </w:rPr>
              <w:t xml:space="preserve">Preliminarus lėšų poreikis, </w:t>
            </w:r>
            <w:proofErr w:type="spellStart"/>
            <w:r>
              <w:rPr>
                <w:szCs w:val="24"/>
              </w:rPr>
              <w:t>tūkst</w:t>
            </w:r>
            <w:proofErr w:type="spellEnd"/>
            <w:r>
              <w:rPr>
                <w:szCs w:val="24"/>
              </w:rPr>
              <w:t>. eurų</w:t>
            </w:r>
          </w:p>
        </w:tc>
      </w:tr>
      <w:tr w:rsidR="00381469" w14:paraId="6BA79793" w14:textId="77777777" w:rsidTr="00381469">
        <w:trPr>
          <w:trHeight w:val="107"/>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20C9190" w14:textId="77777777" w:rsidR="00381469" w:rsidRDefault="00381469">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391B00" w14:textId="77777777" w:rsidR="00381469" w:rsidRDefault="00381469">
            <w:pPr>
              <w:rPr>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CDB919" w14:textId="77777777" w:rsidR="00381469" w:rsidRDefault="00381469">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42D5B7" w14:textId="77777777" w:rsidR="00381469" w:rsidRDefault="00381469">
            <w:pPr>
              <w:rPr>
                <w:szCs w:val="24"/>
              </w:rPr>
            </w:pPr>
          </w:p>
        </w:tc>
        <w:tc>
          <w:tcPr>
            <w:tcW w:w="1276" w:type="dxa"/>
            <w:tcBorders>
              <w:top w:val="single" w:sz="4" w:space="0" w:color="auto"/>
              <w:left w:val="single" w:sz="4" w:space="0" w:color="auto"/>
              <w:bottom w:val="single" w:sz="4" w:space="0" w:color="auto"/>
              <w:right w:val="single" w:sz="4" w:space="0" w:color="auto"/>
            </w:tcBorders>
            <w:hideMark/>
          </w:tcPr>
          <w:p w14:paraId="760D9AF4" w14:textId="77777777" w:rsidR="00381469" w:rsidRDefault="00381469">
            <w:pPr>
              <w:jc w:val="center"/>
              <w:rPr>
                <w:szCs w:val="24"/>
              </w:rPr>
            </w:pPr>
            <w:r>
              <w:rPr>
                <w:szCs w:val="24"/>
              </w:rPr>
              <w:t>2019 metais</w:t>
            </w:r>
          </w:p>
        </w:tc>
        <w:tc>
          <w:tcPr>
            <w:tcW w:w="1276" w:type="dxa"/>
            <w:tcBorders>
              <w:top w:val="single" w:sz="4" w:space="0" w:color="auto"/>
              <w:left w:val="single" w:sz="4" w:space="0" w:color="auto"/>
              <w:bottom w:val="single" w:sz="4" w:space="0" w:color="auto"/>
              <w:right w:val="single" w:sz="4" w:space="0" w:color="auto"/>
            </w:tcBorders>
            <w:hideMark/>
          </w:tcPr>
          <w:p w14:paraId="02FE7BCE" w14:textId="77777777" w:rsidR="00381469" w:rsidRDefault="00381469">
            <w:pPr>
              <w:jc w:val="center"/>
              <w:rPr>
                <w:szCs w:val="24"/>
              </w:rPr>
            </w:pPr>
            <w:r>
              <w:rPr>
                <w:szCs w:val="24"/>
              </w:rPr>
              <w:t>2020 metais</w:t>
            </w:r>
          </w:p>
        </w:tc>
        <w:tc>
          <w:tcPr>
            <w:tcW w:w="1275" w:type="dxa"/>
            <w:tcBorders>
              <w:top w:val="single" w:sz="4" w:space="0" w:color="auto"/>
              <w:left w:val="single" w:sz="4" w:space="0" w:color="auto"/>
              <w:bottom w:val="single" w:sz="4" w:space="0" w:color="auto"/>
              <w:right w:val="single" w:sz="4" w:space="0" w:color="auto"/>
            </w:tcBorders>
            <w:hideMark/>
          </w:tcPr>
          <w:p w14:paraId="77E0365E" w14:textId="77777777" w:rsidR="00381469" w:rsidRDefault="00381469">
            <w:pPr>
              <w:jc w:val="center"/>
              <w:rPr>
                <w:szCs w:val="24"/>
              </w:rPr>
            </w:pPr>
            <w:r>
              <w:rPr>
                <w:szCs w:val="24"/>
              </w:rPr>
              <w:t>2021 metais</w:t>
            </w:r>
          </w:p>
        </w:tc>
        <w:tc>
          <w:tcPr>
            <w:tcW w:w="1985" w:type="dxa"/>
            <w:tcBorders>
              <w:top w:val="single" w:sz="4" w:space="0" w:color="auto"/>
              <w:left w:val="single" w:sz="4" w:space="0" w:color="auto"/>
              <w:bottom w:val="single" w:sz="4" w:space="0" w:color="auto"/>
              <w:right w:val="single" w:sz="4" w:space="0" w:color="auto"/>
            </w:tcBorders>
            <w:hideMark/>
          </w:tcPr>
          <w:p w14:paraId="6F92BE9E" w14:textId="77777777" w:rsidR="00381469" w:rsidRDefault="00381469">
            <w:pPr>
              <w:jc w:val="center"/>
              <w:rPr>
                <w:szCs w:val="24"/>
              </w:rPr>
            </w:pPr>
            <w:r>
              <w:rPr>
                <w:szCs w:val="24"/>
              </w:rPr>
              <w:t>Iš viso</w:t>
            </w:r>
          </w:p>
        </w:tc>
      </w:tr>
      <w:tr w:rsidR="00381469" w14:paraId="63FB3BA5" w14:textId="77777777" w:rsidTr="00381469">
        <w:trPr>
          <w:trHeight w:val="1387"/>
        </w:trPr>
        <w:tc>
          <w:tcPr>
            <w:tcW w:w="2093" w:type="dxa"/>
            <w:vMerge w:val="restart"/>
            <w:tcBorders>
              <w:top w:val="single" w:sz="4" w:space="0" w:color="auto"/>
              <w:left w:val="single" w:sz="4" w:space="0" w:color="auto"/>
              <w:bottom w:val="nil"/>
              <w:right w:val="single" w:sz="4" w:space="0" w:color="auto"/>
            </w:tcBorders>
            <w:hideMark/>
          </w:tcPr>
          <w:p w14:paraId="176EDD10" w14:textId="77777777" w:rsidR="00381469" w:rsidRDefault="00381469">
            <w:pPr>
              <w:rPr>
                <w:szCs w:val="24"/>
              </w:rPr>
            </w:pPr>
            <w:r>
              <w:rPr>
                <w:szCs w:val="24"/>
              </w:rPr>
              <w:t xml:space="preserve">1. </w:t>
            </w:r>
            <w:r>
              <w:t>Vykdant profilaktinius skiepijimus pagal Lietuvos Respublikos vaikų profilaktinių skiepijimų kalendorių bei vaikų ir suaugusiųjų skiepijimą nuo užkrečiamųjų ligų teisės aktų nustatyta tvarka užtikrinti palankią vakcinomis valdomų užkrečiamųjų ligų epideminę situaciją</w:t>
            </w:r>
          </w:p>
        </w:tc>
        <w:tc>
          <w:tcPr>
            <w:tcW w:w="2977" w:type="dxa"/>
            <w:tcBorders>
              <w:top w:val="single" w:sz="4" w:space="0" w:color="auto"/>
              <w:left w:val="single" w:sz="4" w:space="0" w:color="auto"/>
              <w:bottom w:val="single" w:sz="4" w:space="0" w:color="auto"/>
              <w:right w:val="single" w:sz="4" w:space="0" w:color="auto"/>
            </w:tcBorders>
          </w:tcPr>
          <w:p w14:paraId="13236FA1" w14:textId="77777777" w:rsidR="00381469" w:rsidRDefault="00381469">
            <w:pPr>
              <w:rPr>
                <w:szCs w:val="24"/>
              </w:rPr>
            </w:pPr>
            <w:r>
              <w:rPr>
                <w:szCs w:val="24"/>
              </w:rPr>
              <w:t xml:space="preserve">1.1. centralizuotai įsigyti imuninius vaistinius preparatus ir švirkštus Nacionalinei imunoprofilaktikos 2019–2023 metų programai </w:t>
            </w:r>
            <w:r>
              <w:rPr>
                <w:szCs w:val="24"/>
              </w:rPr>
              <w:br/>
              <w:t xml:space="preserve">(toliau – Programa) vykdyti </w:t>
            </w:r>
          </w:p>
          <w:p w14:paraId="517E2B89" w14:textId="77777777" w:rsidR="00381469" w:rsidRDefault="00381469">
            <w:pPr>
              <w:rPr>
                <w:szCs w:val="24"/>
              </w:rPr>
            </w:pPr>
          </w:p>
        </w:tc>
        <w:tc>
          <w:tcPr>
            <w:tcW w:w="3118" w:type="dxa"/>
            <w:tcBorders>
              <w:top w:val="single" w:sz="4" w:space="0" w:color="auto"/>
              <w:left w:val="single" w:sz="4" w:space="0" w:color="auto"/>
              <w:bottom w:val="single" w:sz="4" w:space="0" w:color="auto"/>
              <w:right w:val="single" w:sz="4" w:space="0" w:color="auto"/>
            </w:tcBorders>
            <w:hideMark/>
          </w:tcPr>
          <w:p w14:paraId="7058FB83" w14:textId="77777777" w:rsidR="00381469" w:rsidRDefault="00381469">
            <w:pPr>
              <w:tabs>
                <w:tab w:val="left" w:pos="540"/>
              </w:tabs>
              <w:rPr>
                <w:szCs w:val="24"/>
              </w:rPr>
            </w:pPr>
            <w:r>
              <w:rPr>
                <w:szCs w:val="24"/>
              </w:rPr>
              <w:t>Sveikatos apsaugos ministerija,</w:t>
            </w:r>
          </w:p>
          <w:p w14:paraId="20B5BB24" w14:textId="77777777" w:rsidR="00381469" w:rsidRDefault="00381469">
            <w:pPr>
              <w:tabs>
                <w:tab w:val="left" w:pos="540"/>
              </w:tabs>
              <w:rPr>
                <w:szCs w:val="24"/>
              </w:rPr>
            </w:pPr>
            <w:r>
              <w:rPr>
                <w:szCs w:val="24"/>
              </w:rPr>
              <w:t>Valstybinė ligonių kasa prie Sveikatos apsaugos ministerijos</w:t>
            </w:r>
          </w:p>
        </w:tc>
        <w:tc>
          <w:tcPr>
            <w:tcW w:w="1134" w:type="dxa"/>
            <w:tcBorders>
              <w:top w:val="single" w:sz="4" w:space="0" w:color="auto"/>
              <w:left w:val="single" w:sz="4" w:space="0" w:color="auto"/>
              <w:bottom w:val="single" w:sz="4" w:space="0" w:color="auto"/>
              <w:right w:val="single" w:sz="4" w:space="0" w:color="auto"/>
            </w:tcBorders>
            <w:hideMark/>
          </w:tcPr>
          <w:p w14:paraId="76D912CA"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00B2D0DD" w14:textId="77777777" w:rsidR="00381469" w:rsidRDefault="00381469">
            <w:pPr>
              <w:jc w:val="center"/>
              <w:rPr>
                <w:szCs w:val="24"/>
              </w:rPr>
            </w:pPr>
            <w:r>
              <w:rPr>
                <w:szCs w:val="24"/>
              </w:rPr>
              <w:t>12300</w:t>
            </w:r>
          </w:p>
        </w:tc>
        <w:tc>
          <w:tcPr>
            <w:tcW w:w="1276" w:type="dxa"/>
            <w:tcBorders>
              <w:top w:val="single" w:sz="4" w:space="0" w:color="auto"/>
              <w:left w:val="single" w:sz="4" w:space="0" w:color="auto"/>
              <w:bottom w:val="single" w:sz="4" w:space="0" w:color="auto"/>
              <w:right w:val="single" w:sz="4" w:space="0" w:color="auto"/>
            </w:tcBorders>
            <w:hideMark/>
          </w:tcPr>
          <w:p w14:paraId="67035CF7" w14:textId="77777777" w:rsidR="00381469" w:rsidRDefault="00381469">
            <w:pPr>
              <w:jc w:val="center"/>
              <w:rPr>
                <w:szCs w:val="24"/>
              </w:rPr>
            </w:pPr>
            <w:r>
              <w:rPr>
                <w:szCs w:val="24"/>
              </w:rPr>
              <w:t>13300</w:t>
            </w:r>
          </w:p>
        </w:tc>
        <w:tc>
          <w:tcPr>
            <w:tcW w:w="1275" w:type="dxa"/>
            <w:tcBorders>
              <w:top w:val="single" w:sz="4" w:space="0" w:color="auto"/>
              <w:left w:val="single" w:sz="4" w:space="0" w:color="auto"/>
              <w:bottom w:val="single" w:sz="4" w:space="0" w:color="auto"/>
              <w:right w:val="single" w:sz="4" w:space="0" w:color="auto"/>
            </w:tcBorders>
            <w:hideMark/>
          </w:tcPr>
          <w:p w14:paraId="07124FCB" w14:textId="77777777" w:rsidR="00381469" w:rsidRDefault="00381469">
            <w:pPr>
              <w:jc w:val="center"/>
              <w:rPr>
                <w:szCs w:val="24"/>
              </w:rPr>
            </w:pPr>
            <w:r>
              <w:rPr>
                <w:szCs w:val="24"/>
              </w:rPr>
              <w:t>14800</w:t>
            </w:r>
          </w:p>
        </w:tc>
        <w:tc>
          <w:tcPr>
            <w:tcW w:w="1985" w:type="dxa"/>
            <w:tcBorders>
              <w:top w:val="single" w:sz="4" w:space="0" w:color="auto"/>
              <w:left w:val="single" w:sz="4" w:space="0" w:color="auto"/>
              <w:bottom w:val="single" w:sz="4" w:space="0" w:color="auto"/>
              <w:right w:val="single" w:sz="4" w:space="0" w:color="auto"/>
            </w:tcBorders>
            <w:hideMark/>
          </w:tcPr>
          <w:p w14:paraId="648BD870" w14:textId="77777777" w:rsidR="00381469" w:rsidRDefault="00381469">
            <w:pPr>
              <w:jc w:val="center"/>
              <w:rPr>
                <w:szCs w:val="24"/>
              </w:rPr>
            </w:pPr>
            <w:r>
              <w:rPr>
                <w:szCs w:val="24"/>
              </w:rPr>
              <w:t xml:space="preserve">40400 </w:t>
            </w:r>
          </w:p>
        </w:tc>
      </w:tr>
      <w:tr w:rsidR="00381469" w14:paraId="289EFDED"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382C058E" w14:textId="77777777" w:rsidR="00381469" w:rsidRDefault="00381469">
            <w:pPr>
              <w:rPr>
                <w:szCs w:val="24"/>
              </w:rPr>
            </w:pPr>
            <w:bookmarkStart w:id="0" w:name="_Hlk211924992" w:colFirst="1" w:colLast="7"/>
          </w:p>
        </w:tc>
        <w:tc>
          <w:tcPr>
            <w:tcW w:w="2977" w:type="dxa"/>
            <w:tcBorders>
              <w:top w:val="single" w:sz="4" w:space="0" w:color="auto"/>
              <w:left w:val="single" w:sz="4" w:space="0" w:color="auto"/>
              <w:bottom w:val="single" w:sz="4" w:space="0" w:color="auto"/>
              <w:right w:val="single" w:sz="4" w:space="0" w:color="auto"/>
            </w:tcBorders>
            <w:hideMark/>
          </w:tcPr>
          <w:p w14:paraId="0BDDDF8C" w14:textId="77777777" w:rsidR="00381469" w:rsidRDefault="00381469">
            <w:pPr>
              <w:rPr>
                <w:szCs w:val="24"/>
              </w:rPr>
            </w:pPr>
            <w:r>
              <w:rPr>
                <w:szCs w:val="24"/>
              </w:rPr>
              <w:t>1.2. planuoti, vertinti imuninių vaistinių preparatų ir švirkštų poreikį Programai vykdyti ir jį teikti Valstybinei ligonių kasai prie Sveikatos apsaugos ministerijos</w:t>
            </w:r>
          </w:p>
        </w:tc>
        <w:tc>
          <w:tcPr>
            <w:tcW w:w="3118" w:type="dxa"/>
            <w:tcBorders>
              <w:top w:val="single" w:sz="4" w:space="0" w:color="auto"/>
              <w:left w:val="single" w:sz="4" w:space="0" w:color="auto"/>
              <w:bottom w:val="single" w:sz="4" w:space="0" w:color="auto"/>
              <w:right w:val="single" w:sz="4" w:space="0" w:color="auto"/>
            </w:tcBorders>
          </w:tcPr>
          <w:p w14:paraId="59D5B1DC" w14:textId="77777777" w:rsidR="00381469" w:rsidRDefault="00381469">
            <w:pPr>
              <w:tabs>
                <w:tab w:val="left" w:pos="540"/>
              </w:tabs>
              <w:rPr>
                <w:szCs w:val="24"/>
              </w:rPr>
            </w:pPr>
            <w:r>
              <w:rPr>
                <w:szCs w:val="24"/>
              </w:rPr>
              <w:t>Užkrečiamųjų ligų ir AIDS centras</w:t>
            </w:r>
          </w:p>
          <w:p w14:paraId="76152101" w14:textId="77777777" w:rsidR="00381469" w:rsidRDefault="00381469">
            <w:pPr>
              <w:tabs>
                <w:tab w:val="left" w:pos="540"/>
              </w:tabs>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23A02CA2"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52DD13B3"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649937F"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4FAC1DF7"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19067ABA" w14:textId="77777777" w:rsidR="00381469" w:rsidRDefault="00381469">
            <w:pPr>
              <w:jc w:val="center"/>
              <w:rPr>
                <w:szCs w:val="24"/>
              </w:rPr>
            </w:pPr>
            <w:r>
              <w:rPr>
                <w:szCs w:val="24"/>
              </w:rPr>
              <w:t>–</w:t>
            </w:r>
          </w:p>
        </w:tc>
      </w:tr>
      <w:bookmarkEnd w:id="0"/>
      <w:tr w:rsidR="00381469" w14:paraId="117ACF8B"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76802418"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2CF592FF" w14:textId="77777777" w:rsidR="00381469" w:rsidRDefault="00381469">
            <w:pPr>
              <w:rPr>
                <w:szCs w:val="24"/>
              </w:rPr>
            </w:pPr>
            <w:r>
              <w:rPr>
                <w:szCs w:val="24"/>
              </w:rPr>
              <w:t xml:space="preserve">1.3. organizuoti aprūpinimą vakcinomis skiepijimus atliekančias asmens sveikatos </w:t>
            </w:r>
            <w:r>
              <w:rPr>
                <w:szCs w:val="24"/>
              </w:rPr>
              <w:lastRenderedPageBreak/>
              <w:t>priežiūros įstaigas.</w:t>
            </w:r>
          </w:p>
          <w:p w14:paraId="6415183A" w14:textId="77777777" w:rsidR="00381469" w:rsidRDefault="00381469">
            <w:pPr>
              <w:rPr>
                <w:szCs w:val="24"/>
              </w:rPr>
            </w:pPr>
            <w:r>
              <w:rPr>
                <w:szCs w:val="24"/>
              </w:rPr>
              <w:t xml:space="preserve">Vykdyti profilaktinius skiepijimus pagal Lietuvos Respublikos vaikų profilaktinių skiepijimų kalendorių; suaugusiuosius, vyresnius nei 25 metų asmenis, skiepyti nuo difterijos ir stabligės kas dešimt metų; asmenis, nukentėjusius nuo pasiutusių bei įtariamai pasiutusių gyvūnų, skiepyti nuo pasiutligės; traumas patyrusius asmenis skiepyti nuo stabligės (stabligės </w:t>
            </w:r>
            <w:proofErr w:type="spellStart"/>
            <w:r>
              <w:rPr>
                <w:szCs w:val="24"/>
              </w:rPr>
              <w:t>toksoidą</w:t>
            </w:r>
            <w:proofErr w:type="spellEnd"/>
            <w:r>
              <w:rPr>
                <w:szCs w:val="24"/>
              </w:rPr>
              <w:t xml:space="preserve"> turinčiu imuniniu vaistiniu preparatu) </w:t>
            </w:r>
          </w:p>
        </w:tc>
        <w:tc>
          <w:tcPr>
            <w:tcW w:w="3118" w:type="dxa"/>
            <w:tcBorders>
              <w:top w:val="single" w:sz="4" w:space="0" w:color="auto"/>
              <w:left w:val="single" w:sz="4" w:space="0" w:color="auto"/>
              <w:bottom w:val="single" w:sz="4" w:space="0" w:color="auto"/>
              <w:right w:val="single" w:sz="4" w:space="0" w:color="auto"/>
            </w:tcBorders>
            <w:hideMark/>
          </w:tcPr>
          <w:p w14:paraId="184F4FE0" w14:textId="77777777" w:rsidR="00381469" w:rsidRDefault="00381469">
            <w:pPr>
              <w:tabs>
                <w:tab w:val="left" w:pos="540"/>
              </w:tabs>
              <w:rPr>
                <w:szCs w:val="24"/>
              </w:rPr>
            </w:pPr>
            <w:r>
              <w:rPr>
                <w:szCs w:val="24"/>
              </w:rPr>
              <w:lastRenderedPageBreak/>
              <w:t>Užkrečiamųjų ligų ir AIDS centras,</w:t>
            </w:r>
          </w:p>
          <w:p w14:paraId="35B7FFF2" w14:textId="77777777" w:rsidR="00381469" w:rsidRDefault="00381469">
            <w:pPr>
              <w:tabs>
                <w:tab w:val="left" w:pos="540"/>
              </w:tabs>
              <w:rPr>
                <w:szCs w:val="24"/>
              </w:rPr>
            </w:pPr>
            <w:r>
              <w:rPr>
                <w:szCs w:val="24"/>
              </w:rPr>
              <w:t xml:space="preserve">Nacionalinis visuomenės sveikatos centras prie </w:t>
            </w:r>
            <w:r>
              <w:rPr>
                <w:szCs w:val="24"/>
              </w:rPr>
              <w:lastRenderedPageBreak/>
              <w:t>Sveikatos apsaugos ministerijos,</w:t>
            </w:r>
          </w:p>
          <w:p w14:paraId="6EE2A9E6" w14:textId="77777777" w:rsidR="00381469" w:rsidRDefault="00381469">
            <w:pPr>
              <w:tabs>
                <w:tab w:val="left" w:pos="540"/>
              </w:tabs>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089CC53C" w14:textId="77777777" w:rsidR="00381469" w:rsidRDefault="00381469">
            <w:pPr>
              <w:tabs>
                <w:tab w:val="left" w:pos="540"/>
              </w:tabs>
              <w:rPr>
                <w:szCs w:val="24"/>
              </w:rPr>
            </w:pPr>
            <w:r>
              <w:rPr>
                <w:szCs w:val="24"/>
              </w:rPr>
              <w:lastRenderedPageBreak/>
              <w:t>2019–2021 metai</w:t>
            </w:r>
          </w:p>
        </w:tc>
        <w:tc>
          <w:tcPr>
            <w:tcW w:w="1276" w:type="dxa"/>
            <w:tcBorders>
              <w:top w:val="single" w:sz="4" w:space="0" w:color="auto"/>
              <w:left w:val="single" w:sz="4" w:space="0" w:color="auto"/>
              <w:bottom w:val="single" w:sz="4" w:space="0" w:color="auto"/>
              <w:right w:val="single" w:sz="4" w:space="0" w:color="auto"/>
            </w:tcBorders>
            <w:hideMark/>
          </w:tcPr>
          <w:p w14:paraId="014738D6"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45C1966"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7C47259C"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507AC8EB" w14:textId="77777777" w:rsidR="00381469" w:rsidRDefault="00381469">
            <w:pPr>
              <w:jc w:val="center"/>
              <w:rPr>
                <w:szCs w:val="24"/>
              </w:rPr>
            </w:pPr>
            <w:r>
              <w:rPr>
                <w:szCs w:val="24"/>
              </w:rPr>
              <w:t>–</w:t>
            </w:r>
          </w:p>
        </w:tc>
      </w:tr>
      <w:tr w:rsidR="00381469" w14:paraId="308814C9"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2F78B7C0"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452E19B1" w14:textId="77777777" w:rsidR="00381469" w:rsidRDefault="00381469">
            <w:pPr>
              <w:rPr>
                <w:szCs w:val="24"/>
              </w:rPr>
            </w:pPr>
            <w:r>
              <w:rPr>
                <w:szCs w:val="24"/>
              </w:rPr>
              <w:t xml:space="preserve">1.4. svarstyti skiepijimo nuo vėjaraupių įtraukimą į Lietuvos Respublikos vaikų profilaktinių skiepijimų kalendorių </w:t>
            </w:r>
          </w:p>
        </w:tc>
        <w:tc>
          <w:tcPr>
            <w:tcW w:w="3118" w:type="dxa"/>
            <w:tcBorders>
              <w:top w:val="single" w:sz="4" w:space="0" w:color="auto"/>
              <w:left w:val="single" w:sz="4" w:space="0" w:color="auto"/>
              <w:bottom w:val="single" w:sz="4" w:space="0" w:color="auto"/>
              <w:right w:val="single" w:sz="4" w:space="0" w:color="auto"/>
            </w:tcBorders>
            <w:hideMark/>
          </w:tcPr>
          <w:p w14:paraId="149C6615" w14:textId="77777777" w:rsidR="00381469" w:rsidRDefault="00381469">
            <w:pPr>
              <w:tabs>
                <w:tab w:val="left" w:pos="540"/>
              </w:tabs>
              <w:rPr>
                <w:szCs w:val="24"/>
              </w:rPr>
            </w:pPr>
            <w:r>
              <w:rPr>
                <w:szCs w:val="24"/>
              </w:rPr>
              <w:t>Sveikatos apsaugos ministerija,</w:t>
            </w:r>
          </w:p>
          <w:p w14:paraId="4F04F1BE" w14:textId="77777777" w:rsidR="00381469" w:rsidRDefault="00381469">
            <w:pPr>
              <w:tabs>
                <w:tab w:val="left" w:pos="540"/>
              </w:tabs>
              <w:rPr>
                <w:szCs w:val="24"/>
              </w:rPr>
            </w:pPr>
            <w:r>
              <w:rPr>
                <w:szCs w:val="24"/>
              </w:rPr>
              <w:t>Valstybinė ligonių kasa prie Sveikatos apsaugos ministerijos,</w:t>
            </w:r>
          </w:p>
          <w:p w14:paraId="0BBAF61F" w14:textId="77777777" w:rsidR="00381469" w:rsidRDefault="00381469">
            <w:pPr>
              <w:tabs>
                <w:tab w:val="left" w:pos="540"/>
              </w:tabs>
              <w:rPr>
                <w:szCs w:val="24"/>
              </w:rPr>
            </w:pPr>
            <w:r>
              <w:rPr>
                <w:szCs w:val="24"/>
              </w:rPr>
              <w:t>Užkrečiamųjų ligų ir AIDS centras,</w:t>
            </w:r>
          </w:p>
          <w:p w14:paraId="1E80AC8D" w14:textId="77777777" w:rsidR="00381469" w:rsidRDefault="00381469">
            <w:pPr>
              <w:tabs>
                <w:tab w:val="left" w:pos="540"/>
              </w:tabs>
              <w:rPr>
                <w:szCs w:val="24"/>
              </w:rPr>
            </w:pPr>
            <w:r>
              <w:rPr>
                <w:szCs w:val="24"/>
              </w:rPr>
              <w:t xml:space="preserve">Nacionalinis visuomenės sveikatos centras prie Sveikatos apsaugos </w:t>
            </w:r>
            <w:r>
              <w:rPr>
                <w:szCs w:val="24"/>
              </w:rPr>
              <w:lastRenderedPageBreak/>
              <w:t xml:space="preserve">ministerijos, </w:t>
            </w:r>
          </w:p>
          <w:p w14:paraId="496853EC" w14:textId="77777777" w:rsidR="00381469" w:rsidRDefault="00381469">
            <w:pPr>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42684F23" w14:textId="77777777" w:rsidR="00381469" w:rsidRDefault="00381469">
            <w:pPr>
              <w:tabs>
                <w:tab w:val="left" w:pos="540"/>
              </w:tabs>
              <w:rPr>
                <w:szCs w:val="24"/>
              </w:rPr>
            </w:pPr>
            <w:r>
              <w:rPr>
                <w:szCs w:val="24"/>
              </w:rPr>
              <w:lastRenderedPageBreak/>
              <w:t>2021 metai</w:t>
            </w:r>
          </w:p>
        </w:tc>
        <w:tc>
          <w:tcPr>
            <w:tcW w:w="1276" w:type="dxa"/>
            <w:tcBorders>
              <w:top w:val="single" w:sz="4" w:space="0" w:color="auto"/>
              <w:left w:val="single" w:sz="4" w:space="0" w:color="auto"/>
              <w:bottom w:val="single" w:sz="4" w:space="0" w:color="auto"/>
              <w:right w:val="single" w:sz="4" w:space="0" w:color="auto"/>
            </w:tcBorders>
            <w:hideMark/>
          </w:tcPr>
          <w:p w14:paraId="36B0D9B7"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99D1FD1"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5BDA62B3" w14:textId="77777777" w:rsidR="00381469" w:rsidRDefault="00381469">
            <w:pPr>
              <w:ind w:left="-108" w:right="-108"/>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64095BB2" w14:textId="77777777" w:rsidR="00381469" w:rsidRDefault="00381469">
            <w:pPr>
              <w:ind w:left="-108" w:right="-108"/>
              <w:jc w:val="center"/>
              <w:rPr>
                <w:szCs w:val="24"/>
              </w:rPr>
            </w:pPr>
            <w:r>
              <w:rPr>
                <w:szCs w:val="24"/>
              </w:rPr>
              <w:t xml:space="preserve">1.1 </w:t>
            </w:r>
            <w:proofErr w:type="spellStart"/>
            <w:r>
              <w:rPr>
                <w:szCs w:val="24"/>
              </w:rPr>
              <w:t>p</w:t>
            </w:r>
            <w:proofErr w:type="spellEnd"/>
            <w:r>
              <w:rPr>
                <w:szCs w:val="24"/>
              </w:rPr>
              <w:t>.</w:t>
            </w:r>
          </w:p>
          <w:p w14:paraId="560FA05E" w14:textId="77777777" w:rsidR="00381469" w:rsidRDefault="00381469">
            <w:pPr>
              <w:ind w:left="-108" w:right="-108"/>
              <w:jc w:val="center"/>
              <w:rPr>
                <w:szCs w:val="24"/>
              </w:rPr>
            </w:pPr>
          </w:p>
        </w:tc>
      </w:tr>
      <w:tr w:rsidR="00381469" w14:paraId="1CC7EEB0"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6F92264D"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54D45C85" w14:textId="77777777" w:rsidR="00381469" w:rsidRDefault="00381469">
            <w:pPr>
              <w:rPr>
                <w:szCs w:val="24"/>
              </w:rPr>
            </w:pPr>
            <w:r>
              <w:rPr>
                <w:szCs w:val="24"/>
              </w:rPr>
              <w:t xml:space="preserve">1.5. svarstyti skiepijimo nuo hepatito B taktikos pakeitimą, pereinant prie rizikos grupėms priklausančių naujagimių skiepijimo ir universalios kūdikių vakcinacijos (skiepijant </w:t>
            </w:r>
            <w:proofErr w:type="spellStart"/>
            <w:r>
              <w:rPr>
                <w:szCs w:val="24"/>
              </w:rPr>
              <w:t>šešiavalente</w:t>
            </w:r>
            <w:proofErr w:type="spellEnd"/>
            <w:r>
              <w:rPr>
                <w:szCs w:val="24"/>
              </w:rPr>
              <w:t xml:space="preserve"> kokliušo, difterijos, stabligės, poliomielito, B tipo </w:t>
            </w:r>
            <w:proofErr w:type="spellStart"/>
            <w:r>
              <w:rPr>
                <w:i/>
                <w:szCs w:val="24"/>
              </w:rPr>
              <w:t>Haemophilus</w:t>
            </w:r>
            <w:proofErr w:type="spellEnd"/>
            <w:r>
              <w:rPr>
                <w:i/>
                <w:szCs w:val="24"/>
              </w:rPr>
              <w:t xml:space="preserve"> </w:t>
            </w:r>
            <w:proofErr w:type="spellStart"/>
            <w:r>
              <w:rPr>
                <w:i/>
                <w:szCs w:val="24"/>
              </w:rPr>
              <w:t>influenzae</w:t>
            </w:r>
            <w:proofErr w:type="spellEnd"/>
            <w:r>
              <w:rPr>
                <w:szCs w:val="24"/>
              </w:rPr>
              <w:t xml:space="preserve"> ir hepatito B vakcina) </w:t>
            </w:r>
          </w:p>
        </w:tc>
        <w:tc>
          <w:tcPr>
            <w:tcW w:w="3118" w:type="dxa"/>
            <w:tcBorders>
              <w:top w:val="single" w:sz="4" w:space="0" w:color="auto"/>
              <w:left w:val="single" w:sz="4" w:space="0" w:color="auto"/>
              <w:bottom w:val="single" w:sz="4" w:space="0" w:color="auto"/>
              <w:right w:val="single" w:sz="4" w:space="0" w:color="auto"/>
            </w:tcBorders>
            <w:hideMark/>
          </w:tcPr>
          <w:p w14:paraId="71EE4097" w14:textId="77777777" w:rsidR="00381469" w:rsidRDefault="00381469">
            <w:pPr>
              <w:tabs>
                <w:tab w:val="left" w:pos="540"/>
              </w:tabs>
              <w:rPr>
                <w:szCs w:val="24"/>
              </w:rPr>
            </w:pPr>
            <w:r>
              <w:rPr>
                <w:szCs w:val="24"/>
              </w:rPr>
              <w:t xml:space="preserve">Sveikatos apsaugos ministerija, </w:t>
            </w:r>
          </w:p>
          <w:p w14:paraId="5C30DEBC" w14:textId="77777777" w:rsidR="00381469" w:rsidRDefault="00381469">
            <w:pPr>
              <w:tabs>
                <w:tab w:val="left" w:pos="540"/>
              </w:tabs>
              <w:rPr>
                <w:szCs w:val="24"/>
              </w:rPr>
            </w:pPr>
            <w:r>
              <w:rPr>
                <w:szCs w:val="24"/>
              </w:rPr>
              <w:t>Valstybinė ligonių kasa prie Sveikatos apsaugos ministerijos,</w:t>
            </w:r>
          </w:p>
          <w:p w14:paraId="59DDB221" w14:textId="77777777" w:rsidR="00381469" w:rsidRDefault="00381469">
            <w:pPr>
              <w:tabs>
                <w:tab w:val="left" w:pos="540"/>
              </w:tabs>
              <w:rPr>
                <w:szCs w:val="24"/>
              </w:rPr>
            </w:pPr>
            <w:r>
              <w:rPr>
                <w:szCs w:val="24"/>
              </w:rPr>
              <w:t>Užkrečiamųjų ligų ir AIDS centras,</w:t>
            </w:r>
          </w:p>
          <w:p w14:paraId="2907820B" w14:textId="77777777" w:rsidR="00381469" w:rsidRDefault="00381469">
            <w:pPr>
              <w:tabs>
                <w:tab w:val="left" w:pos="540"/>
              </w:tabs>
              <w:rPr>
                <w:szCs w:val="24"/>
              </w:rPr>
            </w:pPr>
            <w:r>
              <w:rPr>
                <w:szCs w:val="24"/>
              </w:rPr>
              <w:t>Nacionalinis visuomenės sveikatos centras prie Sveikatos apsaugos ministerijos,</w:t>
            </w:r>
          </w:p>
          <w:p w14:paraId="2014A29C" w14:textId="77777777" w:rsidR="00381469" w:rsidRDefault="00381469">
            <w:pPr>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52AF0081" w14:textId="77777777" w:rsidR="00381469" w:rsidRDefault="00381469">
            <w:pPr>
              <w:tabs>
                <w:tab w:val="left" w:pos="540"/>
              </w:tabs>
              <w:rPr>
                <w:szCs w:val="24"/>
              </w:rPr>
            </w:pPr>
            <w:r>
              <w:rPr>
                <w:szCs w:val="24"/>
              </w:rPr>
              <w:t>2019</w:t>
            </w:r>
          </w:p>
          <w:p w14:paraId="1EB339CB" w14:textId="77777777" w:rsidR="00381469" w:rsidRDefault="00381469">
            <w:pPr>
              <w:tabs>
                <w:tab w:val="left" w:pos="540"/>
              </w:tabs>
              <w:rPr>
                <w:szCs w:val="24"/>
              </w:rPr>
            </w:pPr>
            <w:r>
              <w:rPr>
                <w:szCs w:val="24"/>
              </w:rPr>
              <w:t>metai</w:t>
            </w:r>
          </w:p>
        </w:tc>
        <w:tc>
          <w:tcPr>
            <w:tcW w:w="1276" w:type="dxa"/>
            <w:tcBorders>
              <w:top w:val="single" w:sz="4" w:space="0" w:color="auto"/>
              <w:left w:val="single" w:sz="4" w:space="0" w:color="auto"/>
              <w:bottom w:val="single" w:sz="4" w:space="0" w:color="auto"/>
              <w:right w:val="single" w:sz="4" w:space="0" w:color="auto"/>
            </w:tcBorders>
            <w:hideMark/>
          </w:tcPr>
          <w:p w14:paraId="5CBCEDEC"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7005405"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42A42320" w14:textId="77777777" w:rsidR="00381469" w:rsidRDefault="00381469">
            <w:pPr>
              <w:ind w:left="-108" w:right="-108"/>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2DE45E44" w14:textId="77777777" w:rsidR="00381469" w:rsidRDefault="00381469">
            <w:pPr>
              <w:ind w:left="-108" w:right="-108"/>
              <w:jc w:val="center"/>
              <w:rPr>
                <w:szCs w:val="24"/>
              </w:rPr>
            </w:pPr>
            <w:r>
              <w:rPr>
                <w:szCs w:val="24"/>
              </w:rPr>
              <w:t xml:space="preserve">1.1 </w:t>
            </w:r>
            <w:proofErr w:type="spellStart"/>
            <w:r>
              <w:rPr>
                <w:szCs w:val="24"/>
              </w:rPr>
              <w:t>p</w:t>
            </w:r>
            <w:proofErr w:type="spellEnd"/>
            <w:r>
              <w:rPr>
                <w:szCs w:val="24"/>
              </w:rPr>
              <w:t>.</w:t>
            </w:r>
          </w:p>
          <w:p w14:paraId="2D010FCD" w14:textId="77777777" w:rsidR="00381469" w:rsidRDefault="00381469">
            <w:pPr>
              <w:ind w:left="-108" w:right="-108"/>
              <w:jc w:val="center"/>
              <w:rPr>
                <w:szCs w:val="24"/>
              </w:rPr>
            </w:pPr>
          </w:p>
        </w:tc>
      </w:tr>
      <w:tr w:rsidR="00381469" w14:paraId="04B21A1A"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3D1C86CB"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0A6BDDB6" w14:textId="77777777" w:rsidR="00381469" w:rsidRDefault="00381469">
            <w:pPr>
              <w:rPr>
                <w:szCs w:val="24"/>
              </w:rPr>
            </w:pPr>
            <w:r>
              <w:rPr>
                <w:szCs w:val="24"/>
              </w:rPr>
              <w:t>1.6. reguliariai vertinti naujų vakcinų įtraukimą į Lietuvos Respublikos vaikų profilaktinių skiepijimų kalendorių ar naujas rizikos grupes</w:t>
            </w:r>
          </w:p>
        </w:tc>
        <w:tc>
          <w:tcPr>
            <w:tcW w:w="3118" w:type="dxa"/>
            <w:tcBorders>
              <w:top w:val="single" w:sz="4" w:space="0" w:color="auto"/>
              <w:left w:val="single" w:sz="4" w:space="0" w:color="auto"/>
              <w:bottom w:val="single" w:sz="4" w:space="0" w:color="auto"/>
              <w:right w:val="single" w:sz="4" w:space="0" w:color="auto"/>
            </w:tcBorders>
            <w:hideMark/>
          </w:tcPr>
          <w:p w14:paraId="672538ED" w14:textId="77777777" w:rsidR="00381469" w:rsidRDefault="00381469">
            <w:r>
              <w:t>Sveikatos apsaugos ministerija,</w:t>
            </w:r>
          </w:p>
          <w:p w14:paraId="1A05C394" w14:textId="77777777" w:rsidR="00381469" w:rsidRDefault="00381469">
            <w:pPr>
              <w:rPr>
                <w:szCs w:val="24"/>
              </w:rPr>
            </w:pPr>
            <w:r>
              <w:t xml:space="preserve">Programos nepriklausomų ekspertų (patarėjų, konsultantų) grupė </w:t>
            </w:r>
          </w:p>
        </w:tc>
        <w:tc>
          <w:tcPr>
            <w:tcW w:w="1134" w:type="dxa"/>
            <w:tcBorders>
              <w:top w:val="single" w:sz="4" w:space="0" w:color="auto"/>
              <w:left w:val="single" w:sz="4" w:space="0" w:color="auto"/>
              <w:bottom w:val="single" w:sz="4" w:space="0" w:color="auto"/>
              <w:right w:val="single" w:sz="4" w:space="0" w:color="auto"/>
            </w:tcBorders>
            <w:hideMark/>
          </w:tcPr>
          <w:p w14:paraId="6A2CB252"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4FC1DE69"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B7E4E31"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78A84CC"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3815352A" w14:textId="77777777" w:rsidR="00381469" w:rsidRDefault="00381469">
            <w:pPr>
              <w:jc w:val="center"/>
              <w:rPr>
                <w:szCs w:val="24"/>
              </w:rPr>
            </w:pPr>
            <w:r>
              <w:rPr>
                <w:szCs w:val="24"/>
              </w:rPr>
              <w:t>–</w:t>
            </w:r>
          </w:p>
          <w:p w14:paraId="20A568CC" w14:textId="77777777" w:rsidR="00381469" w:rsidRDefault="00381469">
            <w:pPr>
              <w:jc w:val="center"/>
              <w:rPr>
                <w:szCs w:val="24"/>
              </w:rPr>
            </w:pPr>
          </w:p>
        </w:tc>
      </w:tr>
      <w:tr w:rsidR="00381469" w14:paraId="05806FB6"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3FA00F91"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7A820962" w14:textId="77777777" w:rsidR="00381469" w:rsidRDefault="00381469">
            <w:pPr>
              <w:rPr>
                <w:szCs w:val="24"/>
              </w:rPr>
            </w:pPr>
            <w:r>
              <w:t>1.7.</w:t>
            </w:r>
            <w:r>
              <w:rPr>
                <w:b/>
                <w:color w:val="FF0000"/>
              </w:rPr>
              <w:t xml:space="preserve"> </w:t>
            </w:r>
            <w:r>
              <w:t xml:space="preserve">informuoti apie skiepijimus šias pagrindines tikslines gyventojų grupes (bendroji populiacija, asmens ir visuomenės sveikatos </w:t>
            </w:r>
            <w:r>
              <w:lastRenderedPageBreak/>
              <w:t xml:space="preserve">specialistai, žiniasklaida); organizuoti tikslinių grupių požiūrio į skiepijimus </w:t>
            </w:r>
            <w:proofErr w:type="spellStart"/>
            <w:r>
              <w:t>stebėseną</w:t>
            </w:r>
            <w:proofErr w:type="spellEnd"/>
            <w:r>
              <w:t xml:space="preserve"> (periodinių gyventojų apklausų būdu)</w:t>
            </w:r>
          </w:p>
        </w:tc>
        <w:tc>
          <w:tcPr>
            <w:tcW w:w="3118" w:type="dxa"/>
            <w:tcBorders>
              <w:top w:val="single" w:sz="4" w:space="0" w:color="auto"/>
              <w:left w:val="single" w:sz="4" w:space="0" w:color="auto"/>
              <w:bottom w:val="single" w:sz="4" w:space="0" w:color="auto"/>
              <w:right w:val="single" w:sz="4" w:space="0" w:color="auto"/>
            </w:tcBorders>
            <w:hideMark/>
          </w:tcPr>
          <w:p w14:paraId="69AF0164" w14:textId="77777777" w:rsidR="00381469" w:rsidRDefault="00381469">
            <w:pPr>
              <w:rPr>
                <w:szCs w:val="24"/>
              </w:rPr>
            </w:pPr>
            <w:r>
              <w:rPr>
                <w:szCs w:val="24"/>
              </w:rPr>
              <w:lastRenderedPageBreak/>
              <w:t>Sveikatos apsaugos ministerija,</w:t>
            </w:r>
          </w:p>
          <w:p w14:paraId="79D53EDA" w14:textId="77777777" w:rsidR="00381469" w:rsidRDefault="00381469">
            <w:pPr>
              <w:rPr>
                <w:szCs w:val="24"/>
              </w:rPr>
            </w:pPr>
            <w:r>
              <w:rPr>
                <w:szCs w:val="24"/>
              </w:rPr>
              <w:t>Užkrečiamųjų ligų ir AIDS centras,</w:t>
            </w:r>
          </w:p>
          <w:p w14:paraId="04D9361F" w14:textId="77777777" w:rsidR="00381469" w:rsidRDefault="00381469">
            <w:pPr>
              <w:rPr>
                <w:szCs w:val="24"/>
              </w:rPr>
            </w:pPr>
            <w:r>
              <w:rPr>
                <w:szCs w:val="24"/>
              </w:rPr>
              <w:t>Vilniaus universiteto Medicinos fakultetas,</w:t>
            </w:r>
          </w:p>
          <w:p w14:paraId="1BFDFF95" w14:textId="77777777" w:rsidR="00381469" w:rsidRDefault="00381469">
            <w:pPr>
              <w:rPr>
                <w:szCs w:val="24"/>
              </w:rPr>
            </w:pPr>
            <w:r>
              <w:rPr>
                <w:szCs w:val="24"/>
              </w:rPr>
              <w:lastRenderedPageBreak/>
              <w:t>Lietuvos sveikatos mokslų universitetas,</w:t>
            </w:r>
          </w:p>
          <w:p w14:paraId="7A42B311" w14:textId="77777777" w:rsidR="00381469" w:rsidRDefault="00381469">
            <w:pPr>
              <w:rPr>
                <w:szCs w:val="24"/>
              </w:rPr>
            </w:pPr>
            <w:r>
              <w:rPr>
                <w:szCs w:val="24"/>
              </w:rPr>
              <w:t>savivaldybių visuomenės sveikatos biurai</w:t>
            </w:r>
          </w:p>
        </w:tc>
        <w:tc>
          <w:tcPr>
            <w:tcW w:w="1134" w:type="dxa"/>
            <w:tcBorders>
              <w:top w:val="single" w:sz="4" w:space="0" w:color="auto"/>
              <w:left w:val="single" w:sz="4" w:space="0" w:color="auto"/>
              <w:bottom w:val="single" w:sz="4" w:space="0" w:color="auto"/>
              <w:right w:val="single" w:sz="4" w:space="0" w:color="auto"/>
            </w:tcBorders>
            <w:hideMark/>
          </w:tcPr>
          <w:p w14:paraId="6BDC9F5D" w14:textId="77777777" w:rsidR="00381469" w:rsidRDefault="00381469">
            <w:pPr>
              <w:tabs>
                <w:tab w:val="left" w:pos="540"/>
              </w:tabs>
              <w:jc w:val="both"/>
              <w:rPr>
                <w:szCs w:val="24"/>
              </w:rPr>
            </w:pPr>
            <w:r>
              <w:rPr>
                <w:szCs w:val="24"/>
              </w:rPr>
              <w:lastRenderedPageBreak/>
              <w:t>2019–2021 metai</w:t>
            </w:r>
          </w:p>
        </w:tc>
        <w:tc>
          <w:tcPr>
            <w:tcW w:w="1276" w:type="dxa"/>
            <w:tcBorders>
              <w:top w:val="single" w:sz="4" w:space="0" w:color="auto"/>
              <w:left w:val="single" w:sz="4" w:space="0" w:color="auto"/>
              <w:bottom w:val="single" w:sz="4" w:space="0" w:color="auto"/>
              <w:right w:val="single" w:sz="4" w:space="0" w:color="auto"/>
            </w:tcBorders>
            <w:hideMark/>
          </w:tcPr>
          <w:p w14:paraId="09DAAD4C"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536EF7D"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478E4EB3"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396DFD06" w14:textId="77777777" w:rsidR="00381469" w:rsidRDefault="00381469">
            <w:pPr>
              <w:jc w:val="center"/>
              <w:rPr>
                <w:szCs w:val="24"/>
              </w:rPr>
            </w:pPr>
            <w:r>
              <w:rPr>
                <w:szCs w:val="24"/>
              </w:rPr>
              <w:t>–</w:t>
            </w:r>
          </w:p>
          <w:p w14:paraId="4B909A68" w14:textId="77777777" w:rsidR="00381469" w:rsidRDefault="00381469">
            <w:pPr>
              <w:jc w:val="center"/>
              <w:rPr>
                <w:szCs w:val="24"/>
              </w:rPr>
            </w:pPr>
          </w:p>
        </w:tc>
      </w:tr>
      <w:tr w:rsidR="00381469" w14:paraId="74F676B1"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2B4A4A1F"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5C0A5928" w14:textId="77777777" w:rsidR="00381469" w:rsidRDefault="00381469">
            <w:pPr>
              <w:rPr>
                <w:szCs w:val="24"/>
              </w:rPr>
            </w:pPr>
            <w:r>
              <w:rPr>
                <w:szCs w:val="24"/>
              </w:rPr>
              <w:t xml:space="preserve">1.8. reguliariai informuoti visuomenę apie skiepijimą nuo užkrečiamųjų ligų; įtraukiant į Lietuvos Respublikos vaikų profilaktinių skiepijimų kalendorių naujas vakcinas organizuoti tikslinių gyventojų grupių informavimo apie pradedamus skiepijimus kampaniją </w:t>
            </w:r>
          </w:p>
        </w:tc>
        <w:tc>
          <w:tcPr>
            <w:tcW w:w="3118" w:type="dxa"/>
            <w:tcBorders>
              <w:top w:val="single" w:sz="4" w:space="0" w:color="auto"/>
              <w:left w:val="single" w:sz="4" w:space="0" w:color="auto"/>
              <w:bottom w:val="single" w:sz="4" w:space="0" w:color="auto"/>
              <w:right w:val="single" w:sz="4" w:space="0" w:color="auto"/>
            </w:tcBorders>
            <w:hideMark/>
          </w:tcPr>
          <w:p w14:paraId="140B41D4" w14:textId="77777777" w:rsidR="00381469" w:rsidRDefault="00381469">
            <w:pPr>
              <w:tabs>
                <w:tab w:val="left" w:pos="540"/>
              </w:tabs>
              <w:rPr>
                <w:szCs w:val="24"/>
              </w:rPr>
            </w:pPr>
            <w:r>
              <w:rPr>
                <w:szCs w:val="24"/>
              </w:rPr>
              <w:t>Sveikatos apsaugos ministerija,</w:t>
            </w:r>
          </w:p>
          <w:p w14:paraId="0EE923E2" w14:textId="77777777" w:rsidR="00381469" w:rsidRDefault="00381469">
            <w:pPr>
              <w:tabs>
                <w:tab w:val="left" w:pos="540"/>
              </w:tabs>
              <w:rPr>
                <w:szCs w:val="24"/>
              </w:rPr>
            </w:pPr>
            <w:r>
              <w:rPr>
                <w:szCs w:val="24"/>
              </w:rPr>
              <w:t>Užkrečiamųjų ligų ir AIDS centras,</w:t>
            </w:r>
          </w:p>
          <w:p w14:paraId="21123B9E" w14:textId="77777777" w:rsidR="00381469" w:rsidRDefault="00381469">
            <w:pPr>
              <w:tabs>
                <w:tab w:val="left" w:pos="540"/>
              </w:tabs>
              <w:rPr>
                <w:szCs w:val="24"/>
              </w:rPr>
            </w:pPr>
            <w:r>
              <w:rPr>
                <w:szCs w:val="24"/>
              </w:rPr>
              <w:t>Nacionalinis visuomenės sveikatos centras prie Sveikatos apsaugos ministerijos,</w:t>
            </w:r>
          </w:p>
          <w:p w14:paraId="5385DDCF" w14:textId="77777777" w:rsidR="00381469" w:rsidRDefault="00381469">
            <w:pPr>
              <w:tabs>
                <w:tab w:val="left" w:pos="540"/>
              </w:tabs>
              <w:rPr>
                <w:szCs w:val="24"/>
              </w:rPr>
            </w:pPr>
            <w:r>
              <w:rPr>
                <w:szCs w:val="24"/>
              </w:rPr>
              <w:t>savivaldybių visuomenės sveikatos biurai,</w:t>
            </w:r>
          </w:p>
          <w:p w14:paraId="519B3DFE" w14:textId="77777777" w:rsidR="00381469" w:rsidRDefault="00381469">
            <w:pPr>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4BA61369" w14:textId="77777777" w:rsidR="00381469" w:rsidRDefault="00381469">
            <w:pPr>
              <w:tabs>
                <w:tab w:val="left" w:pos="540"/>
              </w:tabs>
              <w:rPr>
                <w:szCs w:val="24"/>
                <w:highlight w:val="yellow"/>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3D4390B1"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4129F34"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97283FA"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793DF1D9" w14:textId="77777777" w:rsidR="00381469" w:rsidRDefault="00381469">
            <w:pPr>
              <w:jc w:val="center"/>
              <w:rPr>
                <w:szCs w:val="24"/>
              </w:rPr>
            </w:pPr>
            <w:r>
              <w:rPr>
                <w:szCs w:val="24"/>
              </w:rPr>
              <w:t>–</w:t>
            </w:r>
          </w:p>
          <w:p w14:paraId="5873FE7A" w14:textId="77777777" w:rsidR="00381469" w:rsidRDefault="00381469">
            <w:pPr>
              <w:jc w:val="center"/>
              <w:rPr>
                <w:szCs w:val="24"/>
              </w:rPr>
            </w:pPr>
          </w:p>
        </w:tc>
      </w:tr>
      <w:tr w:rsidR="00381469" w14:paraId="27CFCFFD"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2E34657B"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2B25D8DB" w14:textId="77777777" w:rsidR="00381469" w:rsidRDefault="00381469">
            <w:pPr>
              <w:rPr>
                <w:szCs w:val="24"/>
              </w:rPr>
            </w:pPr>
            <w:r>
              <w:rPr>
                <w:szCs w:val="24"/>
              </w:rPr>
              <w:t xml:space="preserve">1.9. vykdyti asmens ir visuomenės sveikatos priežiūros įstaigų specialistų mokymus skiepijimais valdomų užkrečiamųjų ligų epidemiologinės priežiūros, kontrolės, imunoprofilaktikos klausimais  </w:t>
            </w:r>
          </w:p>
        </w:tc>
        <w:tc>
          <w:tcPr>
            <w:tcW w:w="3118" w:type="dxa"/>
            <w:tcBorders>
              <w:top w:val="single" w:sz="4" w:space="0" w:color="auto"/>
              <w:left w:val="single" w:sz="4" w:space="0" w:color="auto"/>
              <w:bottom w:val="single" w:sz="4" w:space="0" w:color="auto"/>
              <w:right w:val="single" w:sz="4" w:space="0" w:color="auto"/>
            </w:tcBorders>
          </w:tcPr>
          <w:p w14:paraId="65FD13BC" w14:textId="77777777" w:rsidR="00381469" w:rsidRDefault="00381469">
            <w:pPr>
              <w:tabs>
                <w:tab w:val="left" w:pos="540"/>
              </w:tabs>
              <w:rPr>
                <w:color w:val="000000"/>
                <w:szCs w:val="24"/>
              </w:rPr>
            </w:pPr>
            <w:r>
              <w:rPr>
                <w:color w:val="000000"/>
                <w:szCs w:val="24"/>
              </w:rPr>
              <w:t>Sveikatos apsaugos ministerija,</w:t>
            </w:r>
          </w:p>
          <w:p w14:paraId="38EB0CC2" w14:textId="77777777" w:rsidR="00381469" w:rsidRDefault="00381469">
            <w:pPr>
              <w:tabs>
                <w:tab w:val="left" w:pos="540"/>
              </w:tabs>
              <w:rPr>
                <w:color w:val="000000"/>
                <w:szCs w:val="24"/>
              </w:rPr>
            </w:pPr>
            <w:r>
              <w:rPr>
                <w:color w:val="000000"/>
                <w:szCs w:val="24"/>
              </w:rPr>
              <w:t>Užkrečiamųjų ligų ir AIDS centras,</w:t>
            </w:r>
          </w:p>
          <w:p w14:paraId="2C5532D0" w14:textId="77777777" w:rsidR="00381469" w:rsidRDefault="00381469">
            <w:pPr>
              <w:tabs>
                <w:tab w:val="left" w:pos="540"/>
              </w:tabs>
              <w:rPr>
                <w:szCs w:val="24"/>
              </w:rPr>
            </w:pPr>
            <w:r>
              <w:rPr>
                <w:szCs w:val="24"/>
              </w:rPr>
              <w:t>Nacionalinis visuomenės sveikatos centras prie Sveikatos apsaugos ministerijos,</w:t>
            </w:r>
          </w:p>
          <w:p w14:paraId="5B8B2236" w14:textId="77777777" w:rsidR="00381469" w:rsidRDefault="00381469">
            <w:pPr>
              <w:tabs>
                <w:tab w:val="left" w:pos="540"/>
              </w:tabs>
              <w:rPr>
                <w:szCs w:val="24"/>
              </w:rPr>
            </w:pPr>
            <w:r>
              <w:rPr>
                <w:szCs w:val="24"/>
              </w:rPr>
              <w:t>asmens sveikatos priežiūros įstaigos</w:t>
            </w:r>
          </w:p>
          <w:p w14:paraId="03AC6ADB" w14:textId="77777777" w:rsidR="00381469" w:rsidRDefault="00381469">
            <w:pPr>
              <w:tabs>
                <w:tab w:val="left" w:pos="540"/>
              </w:tabs>
              <w:rPr>
                <w:color w:val="FF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088C02FE"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7E5B7CEC"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16D461D9"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CBA7BE6"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9301DFD" w14:textId="77777777" w:rsidR="00381469" w:rsidRDefault="00381469">
            <w:pPr>
              <w:jc w:val="center"/>
              <w:rPr>
                <w:szCs w:val="24"/>
              </w:rPr>
            </w:pPr>
            <w:r>
              <w:rPr>
                <w:szCs w:val="24"/>
              </w:rPr>
              <w:t>–</w:t>
            </w:r>
          </w:p>
          <w:p w14:paraId="55FB6147" w14:textId="77777777" w:rsidR="00381469" w:rsidRDefault="00381469">
            <w:pPr>
              <w:jc w:val="center"/>
              <w:rPr>
                <w:szCs w:val="24"/>
              </w:rPr>
            </w:pPr>
          </w:p>
        </w:tc>
      </w:tr>
      <w:tr w:rsidR="00381469" w14:paraId="2B65BD2B"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6A6AE5AA"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21F992E9" w14:textId="77777777" w:rsidR="00381469" w:rsidRDefault="00381469">
            <w:pPr>
              <w:rPr>
                <w:szCs w:val="24"/>
              </w:rPr>
            </w:pPr>
            <w:r>
              <w:t xml:space="preserve">1.10. įtraukti suaugusiųjų skiepijimą (skiepijimai nuo difterijos ir stabligės, rizikos grupių skiepijimai nuo pneumokokinės infekcijos) į paslaugų, už kurias mokamas skatinamasis priedas, sąrašą </w:t>
            </w:r>
          </w:p>
        </w:tc>
        <w:tc>
          <w:tcPr>
            <w:tcW w:w="3118" w:type="dxa"/>
            <w:tcBorders>
              <w:top w:val="single" w:sz="4" w:space="0" w:color="auto"/>
              <w:left w:val="single" w:sz="4" w:space="0" w:color="auto"/>
              <w:bottom w:val="single" w:sz="4" w:space="0" w:color="auto"/>
              <w:right w:val="single" w:sz="4" w:space="0" w:color="auto"/>
            </w:tcBorders>
            <w:hideMark/>
          </w:tcPr>
          <w:p w14:paraId="7E85BA8D" w14:textId="77777777" w:rsidR="00381469" w:rsidRDefault="00381469">
            <w:pPr>
              <w:tabs>
                <w:tab w:val="left" w:pos="540"/>
              </w:tabs>
              <w:rPr>
                <w:szCs w:val="24"/>
              </w:rPr>
            </w:pPr>
            <w:r>
              <w:rPr>
                <w:szCs w:val="24"/>
              </w:rPr>
              <w:t>Sveikatos apsaugos ministerija,</w:t>
            </w:r>
          </w:p>
          <w:p w14:paraId="6B529F1E" w14:textId="77777777" w:rsidR="00381469" w:rsidRDefault="00381469">
            <w:pPr>
              <w:tabs>
                <w:tab w:val="left" w:pos="540"/>
              </w:tabs>
              <w:rPr>
                <w:szCs w:val="24"/>
              </w:rPr>
            </w:pPr>
            <w:r>
              <w:rPr>
                <w:szCs w:val="24"/>
              </w:rPr>
              <w:t>Valstybinė ligonių kasa prie Sveikatos apsaugos ministerijos,</w:t>
            </w:r>
          </w:p>
          <w:p w14:paraId="5BAF3151" w14:textId="77777777" w:rsidR="00381469" w:rsidRDefault="00381469">
            <w:pPr>
              <w:tabs>
                <w:tab w:val="left" w:pos="540"/>
              </w:tabs>
              <w:rPr>
                <w:szCs w:val="24"/>
              </w:rPr>
            </w:pPr>
            <w:r>
              <w:rPr>
                <w:szCs w:val="24"/>
              </w:rPr>
              <w:t>Užkrečiamųjų ligų ir AIDS centras</w:t>
            </w:r>
          </w:p>
        </w:tc>
        <w:tc>
          <w:tcPr>
            <w:tcW w:w="1134" w:type="dxa"/>
            <w:tcBorders>
              <w:top w:val="single" w:sz="4" w:space="0" w:color="auto"/>
              <w:left w:val="single" w:sz="4" w:space="0" w:color="auto"/>
              <w:bottom w:val="single" w:sz="4" w:space="0" w:color="auto"/>
              <w:right w:val="single" w:sz="4" w:space="0" w:color="auto"/>
            </w:tcBorders>
            <w:hideMark/>
          </w:tcPr>
          <w:p w14:paraId="6B03CE29"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0C08DDA7" w14:textId="77777777" w:rsidR="00381469" w:rsidRDefault="00381469">
            <w:pPr>
              <w:jc w:val="center"/>
              <w:rPr>
                <w:szCs w:val="24"/>
              </w:rPr>
            </w:pPr>
            <w:r>
              <w:rPr>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4B2C1294" w14:textId="77777777" w:rsidR="00381469" w:rsidRDefault="00381469">
            <w:pPr>
              <w:jc w:val="center"/>
              <w:rPr>
                <w:szCs w:val="24"/>
              </w:rPr>
            </w:pPr>
            <w:r>
              <w:rPr>
                <w:szCs w:val="24"/>
              </w:rPr>
              <w:t>100</w:t>
            </w:r>
          </w:p>
        </w:tc>
        <w:tc>
          <w:tcPr>
            <w:tcW w:w="1275" w:type="dxa"/>
            <w:tcBorders>
              <w:top w:val="single" w:sz="4" w:space="0" w:color="auto"/>
              <w:left w:val="single" w:sz="4" w:space="0" w:color="auto"/>
              <w:bottom w:val="single" w:sz="4" w:space="0" w:color="auto"/>
              <w:right w:val="single" w:sz="4" w:space="0" w:color="auto"/>
            </w:tcBorders>
            <w:hideMark/>
          </w:tcPr>
          <w:p w14:paraId="74D19978" w14:textId="77777777" w:rsidR="00381469" w:rsidRDefault="00381469">
            <w:pPr>
              <w:jc w:val="center"/>
              <w:rPr>
                <w:szCs w:val="24"/>
              </w:rPr>
            </w:pPr>
            <w:r>
              <w:rPr>
                <w:szCs w:val="24"/>
              </w:rPr>
              <w:t>100</w:t>
            </w:r>
          </w:p>
        </w:tc>
        <w:tc>
          <w:tcPr>
            <w:tcW w:w="1985" w:type="dxa"/>
            <w:tcBorders>
              <w:top w:val="single" w:sz="4" w:space="0" w:color="auto"/>
              <w:left w:val="single" w:sz="4" w:space="0" w:color="auto"/>
              <w:bottom w:val="single" w:sz="4" w:space="0" w:color="auto"/>
              <w:right w:val="single" w:sz="4" w:space="0" w:color="auto"/>
            </w:tcBorders>
            <w:hideMark/>
          </w:tcPr>
          <w:p w14:paraId="27F98B67" w14:textId="77777777" w:rsidR="00381469" w:rsidRDefault="00381469">
            <w:pPr>
              <w:jc w:val="center"/>
              <w:rPr>
                <w:szCs w:val="24"/>
              </w:rPr>
            </w:pPr>
            <w:r>
              <w:rPr>
                <w:szCs w:val="24"/>
              </w:rPr>
              <w:t>300</w:t>
            </w:r>
          </w:p>
        </w:tc>
      </w:tr>
      <w:tr w:rsidR="00381469" w14:paraId="6BEA3791"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7916F0C9"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00204AE1" w14:textId="77777777" w:rsidR="00381469" w:rsidRDefault="00381469">
            <w:pPr>
              <w:rPr>
                <w:szCs w:val="24"/>
              </w:rPr>
            </w:pPr>
            <w:r>
              <w:t>1.11. sudaryti P</w:t>
            </w:r>
            <w:r>
              <w:rPr>
                <w:szCs w:val="24"/>
              </w:rPr>
              <w:t xml:space="preserve">rogramos </w:t>
            </w:r>
            <w:r>
              <w:t>Nepriklausomų ekspertų (patarėjų, konsultantų) grupę</w:t>
            </w:r>
          </w:p>
        </w:tc>
        <w:tc>
          <w:tcPr>
            <w:tcW w:w="3118" w:type="dxa"/>
            <w:tcBorders>
              <w:top w:val="single" w:sz="4" w:space="0" w:color="auto"/>
              <w:left w:val="single" w:sz="4" w:space="0" w:color="auto"/>
              <w:bottom w:val="single" w:sz="4" w:space="0" w:color="auto"/>
              <w:right w:val="single" w:sz="4" w:space="0" w:color="auto"/>
            </w:tcBorders>
            <w:hideMark/>
          </w:tcPr>
          <w:p w14:paraId="71E556F4" w14:textId="77777777" w:rsidR="00381469" w:rsidRDefault="00381469">
            <w:pPr>
              <w:tabs>
                <w:tab w:val="left" w:pos="540"/>
              </w:tabs>
              <w:rPr>
                <w:szCs w:val="24"/>
              </w:rPr>
            </w:pPr>
            <w:r>
              <w:rPr>
                <w:szCs w:val="24"/>
              </w:rPr>
              <w:t>Sveikatos apsaugos ministerija,</w:t>
            </w:r>
          </w:p>
          <w:p w14:paraId="0645B7D8" w14:textId="77777777" w:rsidR="00381469" w:rsidRDefault="00381469">
            <w:pPr>
              <w:tabs>
                <w:tab w:val="left" w:pos="540"/>
              </w:tabs>
              <w:rPr>
                <w:szCs w:val="24"/>
              </w:rPr>
            </w:pPr>
            <w:r>
              <w:rPr>
                <w:szCs w:val="24"/>
              </w:rPr>
              <w:t>Vilniaus universiteto Medicinos fakultetas,</w:t>
            </w:r>
          </w:p>
          <w:p w14:paraId="3BAA9C3B" w14:textId="77777777" w:rsidR="00381469" w:rsidRDefault="00381469">
            <w:pPr>
              <w:tabs>
                <w:tab w:val="left" w:pos="540"/>
              </w:tabs>
              <w:rPr>
                <w:szCs w:val="24"/>
              </w:rPr>
            </w:pPr>
            <w:r>
              <w:rPr>
                <w:szCs w:val="24"/>
              </w:rPr>
              <w:t>Lietuvos sveikatos mokslų universitetas</w:t>
            </w:r>
          </w:p>
        </w:tc>
        <w:tc>
          <w:tcPr>
            <w:tcW w:w="1134" w:type="dxa"/>
            <w:tcBorders>
              <w:top w:val="single" w:sz="4" w:space="0" w:color="auto"/>
              <w:left w:val="single" w:sz="4" w:space="0" w:color="auto"/>
              <w:bottom w:val="single" w:sz="4" w:space="0" w:color="auto"/>
              <w:right w:val="single" w:sz="4" w:space="0" w:color="auto"/>
            </w:tcBorders>
            <w:hideMark/>
          </w:tcPr>
          <w:p w14:paraId="1B385735" w14:textId="77777777" w:rsidR="00381469" w:rsidRDefault="00381469">
            <w:pPr>
              <w:tabs>
                <w:tab w:val="left" w:pos="540"/>
              </w:tabs>
              <w:rPr>
                <w:szCs w:val="24"/>
              </w:rPr>
            </w:pPr>
            <w:r>
              <w:rPr>
                <w:szCs w:val="24"/>
              </w:rPr>
              <w:t>2019 metai</w:t>
            </w:r>
          </w:p>
        </w:tc>
        <w:tc>
          <w:tcPr>
            <w:tcW w:w="1276" w:type="dxa"/>
            <w:tcBorders>
              <w:top w:val="single" w:sz="4" w:space="0" w:color="auto"/>
              <w:left w:val="single" w:sz="4" w:space="0" w:color="auto"/>
              <w:bottom w:val="single" w:sz="4" w:space="0" w:color="auto"/>
              <w:right w:val="single" w:sz="4" w:space="0" w:color="auto"/>
            </w:tcBorders>
            <w:hideMark/>
          </w:tcPr>
          <w:p w14:paraId="5B764293"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2E4F5B0"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04B25D8C"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9BB79F5" w14:textId="77777777" w:rsidR="00381469" w:rsidRDefault="00381469">
            <w:pPr>
              <w:jc w:val="center"/>
              <w:rPr>
                <w:szCs w:val="24"/>
              </w:rPr>
            </w:pPr>
            <w:r>
              <w:rPr>
                <w:szCs w:val="24"/>
              </w:rPr>
              <w:t>–</w:t>
            </w:r>
          </w:p>
          <w:p w14:paraId="38428B63" w14:textId="77777777" w:rsidR="00381469" w:rsidRDefault="00381469">
            <w:pPr>
              <w:jc w:val="center"/>
              <w:rPr>
                <w:szCs w:val="24"/>
              </w:rPr>
            </w:pPr>
          </w:p>
        </w:tc>
      </w:tr>
      <w:tr w:rsidR="00381469" w14:paraId="6231F240"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1362B761"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4D21C7E6" w14:textId="77777777" w:rsidR="00381469" w:rsidRDefault="00381469">
            <w:pPr>
              <w:rPr>
                <w:szCs w:val="24"/>
              </w:rPr>
            </w:pPr>
            <w:r>
              <w:rPr>
                <w:szCs w:val="24"/>
              </w:rPr>
              <w:t>1.12. vertinti Programos priemonių vykdymo eigą ir teikti siūlymus dėl jos tobulinimo</w:t>
            </w:r>
          </w:p>
        </w:tc>
        <w:tc>
          <w:tcPr>
            <w:tcW w:w="3118" w:type="dxa"/>
            <w:tcBorders>
              <w:top w:val="single" w:sz="4" w:space="0" w:color="auto"/>
              <w:left w:val="single" w:sz="4" w:space="0" w:color="auto"/>
              <w:bottom w:val="single" w:sz="4" w:space="0" w:color="auto"/>
              <w:right w:val="single" w:sz="4" w:space="0" w:color="auto"/>
            </w:tcBorders>
            <w:hideMark/>
          </w:tcPr>
          <w:p w14:paraId="23FE9D38" w14:textId="77777777" w:rsidR="00381469" w:rsidRDefault="00381469">
            <w:pPr>
              <w:tabs>
                <w:tab w:val="left" w:pos="540"/>
              </w:tabs>
              <w:rPr>
                <w:szCs w:val="24"/>
              </w:rPr>
            </w:pPr>
            <w:r>
              <w:rPr>
                <w:szCs w:val="24"/>
              </w:rPr>
              <w:t>Sveikatos apsaugos ministerija,</w:t>
            </w:r>
          </w:p>
          <w:p w14:paraId="79E23EF0" w14:textId="77777777" w:rsidR="00381469" w:rsidRDefault="00381469">
            <w:pPr>
              <w:tabs>
                <w:tab w:val="left" w:pos="540"/>
              </w:tabs>
              <w:rPr>
                <w:szCs w:val="24"/>
              </w:rPr>
            </w:pPr>
            <w:r>
              <w:rPr>
                <w:szCs w:val="24"/>
              </w:rPr>
              <w:t>Valstybinė ligonių kasa prie Sveikatos apsaugos ministerijos,</w:t>
            </w:r>
          </w:p>
          <w:p w14:paraId="779575F8" w14:textId="77777777" w:rsidR="00381469" w:rsidRDefault="00381469">
            <w:pPr>
              <w:tabs>
                <w:tab w:val="left" w:pos="540"/>
              </w:tabs>
              <w:rPr>
                <w:szCs w:val="24"/>
              </w:rPr>
            </w:pPr>
            <w:r>
              <w:rPr>
                <w:szCs w:val="24"/>
              </w:rPr>
              <w:t>Užkrečiamųjų ligų ir AIDS centras,</w:t>
            </w:r>
          </w:p>
          <w:p w14:paraId="3BDBA3CE" w14:textId="77777777" w:rsidR="00381469" w:rsidRDefault="00381469">
            <w:pPr>
              <w:tabs>
                <w:tab w:val="left" w:pos="540"/>
              </w:tabs>
              <w:rPr>
                <w:szCs w:val="24"/>
              </w:rPr>
            </w:pPr>
            <w:r>
              <w:rPr>
                <w:szCs w:val="24"/>
              </w:rPr>
              <w:t>Nacionalinis visuomenės sveikatos centras prie Sveikatos apsaugos ministerijos,</w:t>
            </w:r>
          </w:p>
          <w:p w14:paraId="7427E149" w14:textId="77777777" w:rsidR="00381469" w:rsidRDefault="00381469">
            <w:pPr>
              <w:tabs>
                <w:tab w:val="left" w:pos="540"/>
              </w:tabs>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38FAAA5A"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036609B4"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C8EEB0B"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1DC0F18"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23BB634" w14:textId="77777777" w:rsidR="00381469" w:rsidRDefault="00381469">
            <w:pPr>
              <w:jc w:val="center"/>
              <w:rPr>
                <w:szCs w:val="24"/>
              </w:rPr>
            </w:pPr>
            <w:r>
              <w:rPr>
                <w:szCs w:val="24"/>
              </w:rPr>
              <w:t>–</w:t>
            </w:r>
          </w:p>
          <w:p w14:paraId="07C9C25C" w14:textId="77777777" w:rsidR="00381469" w:rsidRDefault="00381469">
            <w:pPr>
              <w:jc w:val="center"/>
              <w:rPr>
                <w:szCs w:val="24"/>
              </w:rPr>
            </w:pPr>
          </w:p>
        </w:tc>
      </w:tr>
      <w:tr w:rsidR="00381469" w14:paraId="2858453A"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31276F3F"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50E3903D" w14:textId="77777777" w:rsidR="00381469" w:rsidRDefault="00381469">
            <w:pPr>
              <w:rPr>
                <w:szCs w:val="24"/>
              </w:rPr>
            </w:pPr>
            <w:r>
              <w:rPr>
                <w:szCs w:val="24"/>
              </w:rPr>
              <w:t>1.13. vertinti galimybę vakcinoms, įsigyjamoms už valstybės lėšas, taikyti kompensuojamųjų vaistų įsigijimo modelį, atsisakant arba iš dalies atsisakant centralizuotų vakcinų pirkimų</w:t>
            </w:r>
          </w:p>
        </w:tc>
        <w:tc>
          <w:tcPr>
            <w:tcW w:w="3118" w:type="dxa"/>
            <w:tcBorders>
              <w:top w:val="single" w:sz="4" w:space="0" w:color="auto"/>
              <w:left w:val="single" w:sz="4" w:space="0" w:color="auto"/>
              <w:bottom w:val="single" w:sz="4" w:space="0" w:color="auto"/>
              <w:right w:val="single" w:sz="4" w:space="0" w:color="auto"/>
            </w:tcBorders>
            <w:hideMark/>
          </w:tcPr>
          <w:p w14:paraId="45215185" w14:textId="77777777" w:rsidR="00381469" w:rsidRDefault="00381469">
            <w:pPr>
              <w:tabs>
                <w:tab w:val="left" w:pos="540"/>
              </w:tabs>
              <w:rPr>
                <w:szCs w:val="24"/>
              </w:rPr>
            </w:pPr>
            <w:r>
              <w:rPr>
                <w:szCs w:val="24"/>
              </w:rPr>
              <w:t>Sveikatos apsaugos ministerija,</w:t>
            </w:r>
          </w:p>
          <w:p w14:paraId="2A414198" w14:textId="77777777" w:rsidR="00381469" w:rsidRDefault="00381469">
            <w:pPr>
              <w:tabs>
                <w:tab w:val="left" w:pos="540"/>
              </w:tabs>
              <w:rPr>
                <w:szCs w:val="24"/>
              </w:rPr>
            </w:pPr>
            <w:r>
              <w:rPr>
                <w:szCs w:val="24"/>
              </w:rPr>
              <w:t>Valstybinė ligonių kasa prie Sveikatos apsaugos ministerijos,</w:t>
            </w:r>
          </w:p>
          <w:p w14:paraId="247E3BBD" w14:textId="77777777" w:rsidR="00381469" w:rsidRDefault="00381469">
            <w:pPr>
              <w:tabs>
                <w:tab w:val="left" w:pos="540"/>
              </w:tabs>
              <w:rPr>
                <w:szCs w:val="24"/>
              </w:rPr>
            </w:pPr>
            <w:r>
              <w:rPr>
                <w:szCs w:val="24"/>
              </w:rPr>
              <w:t>Užkrečiamųjų ligų ir AIDS centras</w:t>
            </w:r>
          </w:p>
        </w:tc>
        <w:tc>
          <w:tcPr>
            <w:tcW w:w="1134" w:type="dxa"/>
            <w:tcBorders>
              <w:top w:val="single" w:sz="4" w:space="0" w:color="auto"/>
              <w:left w:val="single" w:sz="4" w:space="0" w:color="auto"/>
              <w:bottom w:val="single" w:sz="4" w:space="0" w:color="auto"/>
              <w:right w:val="single" w:sz="4" w:space="0" w:color="auto"/>
            </w:tcBorders>
            <w:hideMark/>
          </w:tcPr>
          <w:p w14:paraId="19C67B22"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6E6E870A"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13F739C"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A42ED95"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14A132AA" w14:textId="77777777" w:rsidR="00381469" w:rsidRDefault="00381469">
            <w:pPr>
              <w:jc w:val="center"/>
              <w:rPr>
                <w:szCs w:val="24"/>
              </w:rPr>
            </w:pPr>
            <w:r>
              <w:rPr>
                <w:szCs w:val="24"/>
              </w:rPr>
              <w:t>–</w:t>
            </w:r>
          </w:p>
          <w:p w14:paraId="07216CD1" w14:textId="77777777" w:rsidR="00381469" w:rsidRDefault="00381469">
            <w:pPr>
              <w:jc w:val="center"/>
              <w:rPr>
                <w:szCs w:val="24"/>
              </w:rPr>
            </w:pPr>
          </w:p>
        </w:tc>
      </w:tr>
      <w:tr w:rsidR="00381469" w14:paraId="0006D9EB"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5D64777E"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72490A2A" w14:textId="77777777" w:rsidR="00381469" w:rsidRDefault="00381469">
            <w:pPr>
              <w:rPr>
                <w:szCs w:val="24"/>
              </w:rPr>
            </w:pPr>
            <w:r>
              <w:rPr>
                <w:szCs w:val="24"/>
              </w:rPr>
              <w:t>1.14. sukurti gyventojų imunoprofilaktikos registrą (informacinę sistemą), sudarant galimybę integruoti duomenis į e. sveikatos sistemą</w:t>
            </w:r>
          </w:p>
        </w:tc>
        <w:tc>
          <w:tcPr>
            <w:tcW w:w="3118" w:type="dxa"/>
            <w:tcBorders>
              <w:top w:val="single" w:sz="4" w:space="0" w:color="auto"/>
              <w:left w:val="single" w:sz="4" w:space="0" w:color="auto"/>
              <w:bottom w:val="single" w:sz="4" w:space="0" w:color="auto"/>
              <w:right w:val="single" w:sz="4" w:space="0" w:color="auto"/>
            </w:tcBorders>
          </w:tcPr>
          <w:p w14:paraId="7717F4F3" w14:textId="77777777" w:rsidR="00381469" w:rsidRDefault="00381469">
            <w:pPr>
              <w:tabs>
                <w:tab w:val="left" w:pos="540"/>
              </w:tabs>
              <w:rPr>
                <w:szCs w:val="24"/>
              </w:rPr>
            </w:pPr>
            <w:r>
              <w:rPr>
                <w:szCs w:val="24"/>
              </w:rPr>
              <w:t>Sveikatos apsaugos ministerija,</w:t>
            </w:r>
          </w:p>
          <w:p w14:paraId="6D1D0CAE" w14:textId="77777777" w:rsidR="00381469" w:rsidRDefault="00381469">
            <w:pPr>
              <w:tabs>
                <w:tab w:val="left" w:pos="540"/>
              </w:tabs>
              <w:rPr>
                <w:szCs w:val="24"/>
              </w:rPr>
            </w:pPr>
            <w:r>
              <w:rPr>
                <w:szCs w:val="24"/>
              </w:rPr>
              <w:t xml:space="preserve">Užkrečiamųjų ligų ir AIDS centras </w:t>
            </w:r>
          </w:p>
          <w:p w14:paraId="0E7C598A" w14:textId="77777777" w:rsidR="00381469" w:rsidRDefault="00381469">
            <w:pPr>
              <w:tabs>
                <w:tab w:val="left" w:pos="540"/>
              </w:tabs>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5383AD04"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tcPr>
          <w:p w14:paraId="7D9160E5" w14:textId="77777777" w:rsidR="00381469" w:rsidRDefault="00381469">
            <w:pPr>
              <w:jc w:val="center"/>
              <w:rPr>
                <w:szCs w:val="24"/>
              </w:rPr>
            </w:pPr>
            <w:r>
              <w:rPr>
                <w:szCs w:val="24"/>
              </w:rPr>
              <w:t>100</w:t>
            </w:r>
          </w:p>
          <w:p w14:paraId="4D3F275A" w14:textId="77777777" w:rsidR="00381469" w:rsidRDefault="00381469">
            <w:pPr>
              <w:jc w:val="center"/>
              <w:rPr>
                <w:szCs w:val="24"/>
              </w:rPr>
            </w:pPr>
          </w:p>
        </w:tc>
        <w:tc>
          <w:tcPr>
            <w:tcW w:w="1276" w:type="dxa"/>
            <w:tcBorders>
              <w:top w:val="single" w:sz="4" w:space="0" w:color="auto"/>
              <w:left w:val="single" w:sz="4" w:space="0" w:color="auto"/>
              <w:bottom w:val="single" w:sz="4" w:space="0" w:color="auto"/>
              <w:right w:val="single" w:sz="4" w:space="0" w:color="auto"/>
            </w:tcBorders>
            <w:hideMark/>
          </w:tcPr>
          <w:p w14:paraId="0AD592C5" w14:textId="77777777" w:rsidR="00381469" w:rsidRDefault="00381469">
            <w:pPr>
              <w:jc w:val="center"/>
              <w:rPr>
                <w:szCs w:val="24"/>
              </w:rPr>
            </w:pPr>
            <w:r>
              <w:rPr>
                <w:szCs w:val="24"/>
              </w:rPr>
              <w:t>100</w:t>
            </w:r>
          </w:p>
        </w:tc>
        <w:tc>
          <w:tcPr>
            <w:tcW w:w="1275" w:type="dxa"/>
            <w:tcBorders>
              <w:top w:val="single" w:sz="4" w:space="0" w:color="auto"/>
              <w:left w:val="single" w:sz="4" w:space="0" w:color="auto"/>
              <w:bottom w:val="single" w:sz="4" w:space="0" w:color="auto"/>
              <w:right w:val="single" w:sz="4" w:space="0" w:color="auto"/>
            </w:tcBorders>
            <w:hideMark/>
          </w:tcPr>
          <w:p w14:paraId="3E6C58B2" w14:textId="77777777" w:rsidR="00381469" w:rsidRDefault="00381469">
            <w:pPr>
              <w:jc w:val="center"/>
              <w:rPr>
                <w:szCs w:val="24"/>
              </w:rPr>
            </w:pPr>
            <w:r>
              <w:rPr>
                <w:szCs w:val="24"/>
              </w:rPr>
              <w:t>100</w:t>
            </w:r>
          </w:p>
        </w:tc>
        <w:tc>
          <w:tcPr>
            <w:tcW w:w="1985" w:type="dxa"/>
            <w:tcBorders>
              <w:top w:val="single" w:sz="4" w:space="0" w:color="auto"/>
              <w:left w:val="single" w:sz="4" w:space="0" w:color="auto"/>
              <w:bottom w:val="single" w:sz="4" w:space="0" w:color="auto"/>
              <w:right w:val="single" w:sz="4" w:space="0" w:color="auto"/>
            </w:tcBorders>
            <w:hideMark/>
          </w:tcPr>
          <w:p w14:paraId="5D93894B" w14:textId="77777777" w:rsidR="00381469" w:rsidRDefault="00381469">
            <w:pPr>
              <w:jc w:val="center"/>
              <w:rPr>
                <w:szCs w:val="24"/>
              </w:rPr>
            </w:pPr>
            <w:r>
              <w:rPr>
                <w:szCs w:val="24"/>
              </w:rPr>
              <w:t>300</w:t>
            </w:r>
          </w:p>
        </w:tc>
      </w:tr>
      <w:tr w:rsidR="00381469" w14:paraId="29BBD331"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21E2AD6B"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10239953" w14:textId="77777777" w:rsidR="00381469" w:rsidRDefault="00381469">
            <w:pPr>
              <w:rPr>
                <w:szCs w:val="24"/>
              </w:rPr>
            </w:pPr>
            <w:r>
              <w:t>1.15. nustatyti vakcinų įtraukimo į Programą vertinimo tvarką</w:t>
            </w:r>
          </w:p>
        </w:tc>
        <w:tc>
          <w:tcPr>
            <w:tcW w:w="3118" w:type="dxa"/>
            <w:tcBorders>
              <w:top w:val="single" w:sz="4" w:space="0" w:color="auto"/>
              <w:left w:val="single" w:sz="4" w:space="0" w:color="auto"/>
              <w:bottom w:val="single" w:sz="4" w:space="0" w:color="auto"/>
              <w:right w:val="single" w:sz="4" w:space="0" w:color="auto"/>
            </w:tcBorders>
            <w:hideMark/>
          </w:tcPr>
          <w:p w14:paraId="40BDAFC9" w14:textId="77777777" w:rsidR="00381469" w:rsidRDefault="00381469">
            <w:pPr>
              <w:tabs>
                <w:tab w:val="left" w:pos="540"/>
              </w:tabs>
              <w:rPr>
                <w:szCs w:val="24"/>
              </w:rPr>
            </w:pPr>
            <w:r>
              <w:rPr>
                <w:szCs w:val="24"/>
              </w:rPr>
              <w:t>Sveikatos apsaugos ministerija,</w:t>
            </w:r>
          </w:p>
          <w:p w14:paraId="480D996C" w14:textId="77777777" w:rsidR="00381469" w:rsidRDefault="00381469">
            <w:pPr>
              <w:tabs>
                <w:tab w:val="left" w:pos="540"/>
              </w:tabs>
              <w:rPr>
                <w:szCs w:val="24"/>
              </w:rPr>
            </w:pPr>
            <w:r>
              <w:rPr>
                <w:szCs w:val="24"/>
              </w:rPr>
              <w:t>Valstybinė ligonių kasa prie Sveikatos apsaugos ministerijos,</w:t>
            </w:r>
          </w:p>
          <w:p w14:paraId="4CC3912F" w14:textId="77777777" w:rsidR="00381469" w:rsidRDefault="00381469">
            <w:pPr>
              <w:tabs>
                <w:tab w:val="left" w:pos="540"/>
              </w:tabs>
              <w:rPr>
                <w:szCs w:val="24"/>
              </w:rPr>
            </w:pPr>
            <w:r>
              <w:rPr>
                <w:szCs w:val="24"/>
              </w:rPr>
              <w:t>Užkrečiamųjų ligų ir AIDS centras</w:t>
            </w:r>
          </w:p>
        </w:tc>
        <w:tc>
          <w:tcPr>
            <w:tcW w:w="1134" w:type="dxa"/>
            <w:tcBorders>
              <w:top w:val="single" w:sz="4" w:space="0" w:color="auto"/>
              <w:left w:val="single" w:sz="4" w:space="0" w:color="auto"/>
              <w:bottom w:val="single" w:sz="4" w:space="0" w:color="auto"/>
              <w:right w:val="single" w:sz="4" w:space="0" w:color="auto"/>
            </w:tcBorders>
            <w:hideMark/>
          </w:tcPr>
          <w:p w14:paraId="05A5A6D2" w14:textId="77777777" w:rsidR="00381469" w:rsidRDefault="00381469">
            <w:pPr>
              <w:tabs>
                <w:tab w:val="left" w:pos="540"/>
              </w:tabs>
              <w:rPr>
                <w:szCs w:val="24"/>
              </w:rPr>
            </w:pPr>
            <w:r>
              <w:rPr>
                <w:szCs w:val="24"/>
              </w:rPr>
              <w:t>2019–2020 metai</w:t>
            </w:r>
          </w:p>
        </w:tc>
        <w:tc>
          <w:tcPr>
            <w:tcW w:w="1276" w:type="dxa"/>
            <w:tcBorders>
              <w:top w:val="single" w:sz="4" w:space="0" w:color="auto"/>
              <w:left w:val="single" w:sz="4" w:space="0" w:color="auto"/>
              <w:bottom w:val="single" w:sz="4" w:space="0" w:color="auto"/>
              <w:right w:val="single" w:sz="4" w:space="0" w:color="auto"/>
            </w:tcBorders>
            <w:hideMark/>
          </w:tcPr>
          <w:p w14:paraId="3EFD8B99"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1FE14719"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20714DBF"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35C04CB0" w14:textId="77777777" w:rsidR="00381469" w:rsidRDefault="00381469">
            <w:pPr>
              <w:jc w:val="center"/>
              <w:rPr>
                <w:szCs w:val="24"/>
              </w:rPr>
            </w:pPr>
            <w:r>
              <w:rPr>
                <w:szCs w:val="24"/>
              </w:rPr>
              <w:t>–</w:t>
            </w:r>
          </w:p>
          <w:p w14:paraId="2D4ACD89" w14:textId="77777777" w:rsidR="00381469" w:rsidRDefault="00381469">
            <w:pPr>
              <w:jc w:val="center"/>
              <w:rPr>
                <w:szCs w:val="24"/>
              </w:rPr>
            </w:pPr>
          </w:p>
        </w:tc>
      </w:tr>
      <w:tr w:rsidR="00381469" w14:paraId="78C15F01" w14:textId="77777777" w:rsidTr="00381469">
        <w:trPr>
          <w:trHeight w:val="20"/>
        </w:trPr>
        <w:tc>
          <w:tcPr>
            <w:tcW w:w="2093" w:type="dxa"/>
            <w:vMerge w:val="restart"/>
            <w:tcBorders>
              <w:top w:val="nil"/>
              <w:left w:val="single" w:sz="4" w:space="0" w:color="auto"/>
              <w:bottom w:val="single" w:sz="4" w:space="0" w:color="auto"/>
              <w:right w:val="single" w:sz="4" w:space="0" w:color="auto"/>
            </w:tcBorders>
          </w:tcPr>
          <w:p w14:paraId="25A1D126"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4BE16A2F" w14:textId="77777777" w:rsidR="00381469" w:rsidRDefault="00381469">
            <w:r>
              <w:t>1.16. vertinti naujai įtraukiamų vakcinų į Programą ekonominį efektyvumą</w:t>
            </w:r>
          </w:p>
        </w:tc>
        <w:tc>
          <w:tcPr>
            <w:tcW w:w="3118" w:type="dxa"/>
            <w:tcBorders>
              <w:top w:val="single" w:sz="4" w:space="0" w:color="auto"/>
              <w:left w:val="single" w:sz="4" w:space="0" w:color="auto"/>
              <w:bottom w:val="single" w:sz="4" w:space="0" w:color="auto"/>
              <w:right w:val="single" w:sz="4" w:space="0" w:color="auto"/>
            </w:tcBorders>
            <w:hideMark/>
          </w:tcPr>
          <w:p w14:paraId="21B35C93" w14:textId="77777777" w:rsidR="00381469" w:rsidRDefault="00381469">
            <w:pPr>
              <w:tabs>
                <w:tab w:val="left" w:pos="540"/>
              </w:tabs>
              <w:rPr>
                <w:szCs w:val="24"/>
              </w:rPr>
            </w:pPr>
            <w:r>
              <w:rPr>
                <w:szCs w:val="24"/>
              </w:rPr>
              <w:t>Sveikatos apsaugos ministerija,</w:t>
            </w:r>
          </w:p>
          <w:p w14:paraId="78F34286" w14:textId="77777777" w:rsidR="00381469" w:rsidRDefault="00381469">
            <w:pPr>
              <w:tabs>
                <w:tab w:val="left" w:pos="540"/>
              </w:tabs>
              <w:rPr>
                <w:szCs w:val="24"/>
              </w:rPr>
            </w:pPr>
            <w:r>
              <w:rPr>
                <w:szCs w:val="24"/>
              </w:rPr>
              <w:t>Valstybinė ligonių kasa prie Sveikatos apsaugos ministerijos,</w:t>
            </w:r>
          </w:p>
          <w:p w14:paraId="274C07B1" w14:textId="77777777" w:rsidR="00381469" w:rsidRDefault="00381469">
            <w:pPr>
              <w:tabs>
                <w:tab w:val="left" w:pos="540"/>
              </w:tabs>
              <w:rPr>
                <w:szCs w:val="24"/>
              </w:rPr>
            </w:pPr>
            <w:r>
              <w:rPr>
                <w:szCs w:val="24"/>
              </w:rPr>
              <w:t>Užkrečiamųjų ligų ir AIDS centras,</w:t>
            </w:r>
          </w:p>
          <w:p w14:paraId="2ACFD244" w14:textId="77777777" w:rsidR="00381469" w:rsidRDefault="00381469">
            <w:pPr>
              <w:tabs>
                <w:tab w:val="left" w:pos="540"/>
              </w:tabs>
              <w:rPr>
                <w:szCs w:val="24"/>
              </w:rPr>
            </w:pPr>
            <w:r>
              <w:rPr>
                <w:szCs w:val="24"/>
              </w:rPr>
              <w:lastRenderedPageBreak/>
              <w:t>Nacionalinis visuomenės sveikatos centras prie Sveikatos apsaugos ministerijos</w:t>
            </w:r>
          </w:p>
        </w:tc>
        <w:tc>
          <w:tcPr>
            <w:tcW w:w="1134" w:type="dxa"/>
            <w:tcBorders>
              <w:top w:val="single" w:sz="4" w:space="0" w:color="auto"/>
              <w:left w:val="single" w:sz="4" w:space="0" w:color="auto"/>
              <w:bottom w:val="single" w:sz="4" w:space="0" w:color="auto"/>
              <w:right w:val="single" w:sz="4" w:space="0" w:color="auto"/>
            </w:tcBorders>
            <w:hideMark/>
          </w:tcPr>
          <w:p w14:paraId="01C240B1" w14:textId="77777777" w:rsidR="00381469" w:rsidRDefault="00381469">
            <w:pPr>
              <w:tabs>
                <w:tab w:val="left" w:pos="540"/>
              </w:tabs>
              <w:rPr>
                <w:szCs w:val="24"/>
              </w:rPr>
            </w:pPr>
            <w:r>
              <w:rPr>
                <w:szCs w:val="24"/>
              </w:rPr>
              <w:lastRenderedPageBreak/>
              <w:t>2019–2020 metai</w:t>
            </w:r>
          </w:p>
        </w:tc>
        <w:tc>
          <w:tcPr>
            <w:tcW w:w="1276" w:type="dxa"/>
            <w:tcBorders>
              <w:top w:val="single" w:sz="4" w:space="0" w:color="auto"/>
              <w:left w:val="single" w:sz="4" w:space="0" w:color="auto"/>
              <w:bottom w:val="single" w:sz="4" w:space="0" w:color="auto"/>
              <w:right w:val="single" w:sz="4" w:space="0" w:color="auto"/>
            </w:tcBorders>
            <w:hideMark/>
          </w:tcPr>
          <w:p w14:paraId="14386C71"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3A4EFFC"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79978B95"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5D2C8B1" w14:textId="77777777" w:rsidR="00381469" w:rsidRDefault="00381469">
            <w:pPr>
              <w:jc w:val="center"/>
              <w:rPr>
                <w:szCs w:val="24"/>
              </w:rPr>
            </w:pPr>
            <w:r>
              <w:rPr>
                <w:szCs w:val="24"/>
              </w:rPr>
              <w:t>–</w:t>
            </w:r>
          </w:p>
          <w:p w14:paraId="426A07FD" w14:textId="77777777" w:rsidR="00381469" w:rsidRDefault="00381469">
            <w:pPr>
              <w:jc w:val="center"/>
              <w:rPr>
                <w:szCs w:val="24"/>
              </w:rPr>
            </w:pPr>
          </w:p>
        </w:tc>
      </w:tr>
      <w:tr w:rsidR="00381469" w14:paraId="7EF6729F" w14:textId="77777777" w:rsidTr="00381469">
        <w:trPr>
          <w:trHeight w:val="20"/>
        </w:trPr>
        <w:tc>
          <w:tcPr>
            <w:tcW w:w="2093" w:type="dxa"/>
            <w:vMerge/>
            <w:tcBorders>
              <w:top w:val="nil"/>
              <w:left w:val="single" w:sz="4" w:space="0" w:color="auto"/>
              <w:bottom w:val="single" w:sz="4" w:space="0" w:color="auto"/>
              <w:right w:val="single" w:sz="4" w:space="0" w:color="auto"/>
            </w:tcBorders>
            <w:vAlign w:val="center"/>
            <w:hideMark/>
          </w:tcPr>
          <w:p w14:paraId="2D66B15C"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57AEE3F9" w14:textId="77777777" w:rsidR="00381469" w:rsidRDefault="00381469">
            <w:r>
              <w:t xml:space="preserve">1.17. parengti Lietuvos Respublikos skiepijimų kalendorių, apimantį vaikų ir suaugusiųjų skiepijimus </w:t>
            </w:r>
          </w:p>
        </w:tc>
        <w:tc>
          <w:tcPr>
            <w:tcW w:w="3118" w:type="dxa"/>
            <w:tcBorders>
              <w:top w:val="single" w:sz="4" w:space="0" w:color="auto"/>
              <w:left w:val="single" w:sz="4" w:space="0" w:color="auto"/>
              <w:bottom w:val="single" w:sz="4" w:space="0" w:color="auto"/>
              <w:right w:val="single" w:sz="4" w:space="0" w:color="auto"/>
            </w:tcBorders>
            <w:hideMark/>
          </w:tcPr>
          <w:p w14:paraId="6B6CA138" w14:textId="77777777" w:rsidR="00381469" w:rsidRDefault="00381469">
            <w:pPr>
              <w:tabs>
                <w:tab w:val="left" w:pos="540"/>
              </w:tabs>
              <w:rPr>
                <w:szCs w:val="24"/>
              </w:rPr>
            </w:pPr>
            <w:r>
              <w:rPr>
                <w:szCs w:val="24"/>
              </w:rPr>
              <w:t>Sveikatos apsaugos misterija</w:t>
            </w:r>
          </w:p>
        </w:tc>
        <w:tc>
          <w:tcPr>
            <w:tcW w:w="1134" w:type="dxa"/>
            <w:tcBorders>
              <w:top w:val="single" w:sz="4" w:space="0" w:color="auto"/>
              <w:left w:val="single" w:sz="4" w:space="0" w:color="auto"/>
              <w:bottom w:val="single" w:sz="4" w:space="0" w:color="auto"/>
              <w:right w:val="single" w:sz="4" w:space="0" w:color="auto"/>
            </w:tcBorders>
            <w:hideMark/>
          </w:tcPr>
          <w:p w14:paraId="4171D269" w14:textId="77777777" w:rsidR="00381469" w:rsidRDefault="00381469">
            <w:pPr>
              <w:tabs>
                <w:tab w:val="left" w:pos="540"/>
              </w:tabs>
              <w:rPr>
                <w:szCs w:val="24"/>
              </w:rPr>
            </w:pPr>
            <w:r>
              <w:rPr>
                <w:szCs w:val="24"/>
              </w:rPr>
              <w:t>2020 metai</w:t>
            </w:r>
          </w:p>
        </w:tc>
        <w:tc>
          <w:tcPr>
            <w:tcW w:w="1276" w:type="dxa"/>
            <w:tcBorders>
              <w:top w:val="single" w:sz="4" w:space="0" w:color="auto"/>
              <w:left w:val="single" w:sz="4" w:space="0" w:color="auto"/>
              <w:bottom w:val="single" w:sz="4" w:space="0" w:color="auto"/>
              <w:right w:val="single" w:sz="4" w:space="0" w:color="auto"/>
            </w:tcBorders>
            <w:hideMark/>
          </w:tcPr>
          <w:p w14:paraId="46A1E3BB"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BAA51C1"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00F2444"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3FEF25A9" w14:textId="77777777" w:rsidR="00381469" w:rsidRDefault="00381469">
            <w:pPr>
              <w:jc w:val="center"/>
              <w:rPr>
                <w:szCs w:val="24"/>
              </w:rPr>
            </w:pPr>
            <w:r>
              <w:rPr>
                <w:szCs w:val="24"/>
              </w:rPr>
              <w:t>–</w:t>
            </w:r>
          </w:p>
          <w:p w14:paraId="54849FE2" w14:textId="77777777" w:rsidR="00381469" w:rsidRDefault="00381469">
            <w:pPr>
              <w:jc w:val="center"/>
              <w:rPr>
                <w:szCs w:val="24"/>
              </w:rPr>
            </w:pPr>
          </w:p>
        </w:tc>
      </w:tr>
      <w:tr w:rsidR="00381469" w14:paraId="0ACF81FD" w14:textId="77777777" w:rsidTr="00381469">
        <w:trPr>
          <w:trHeight w:val="2421"/>
        </w:trPr>
        <w:tc>
          <w:tcPr>
            <w:tcW w:w="2093" w:type="dxa"/>
            <w:vMerge w:val="restart"/>
            <w:tcBorders>
              <w:top w:val="single" w:sz="4" w:space="0" w:color="auto"/>
              <w:left w:val="single" w:sz="4" w:space="0" w:color="auto"/>
              <w:bottom w:val="nil"/>
              <w:right w:val="single" w:sz="4" w:space="0" w:color="auto"/>
            </w:tcBorders>
            <w:hideMark/>
          </w:tcPr>
          <w:p w14:paraId="4F982F94" w14:textId="77777777" w:rsidR="00381469" w:rsidRDefault="00381469">
            <w:pPr>
              <w:rPr>
                <w:szCs w:val="24"/>
              </w:rPr>
            </w:pPr>
            <w:r>
              <w:rPr>
                <w:szCs w:val="24"/>
              </w:rPr>
              <w:t>2. S</w:t>
            </w:r>
            <w:r>
              <w:t xml:space="preserve">ustiprinti vakcinomis valdomų užkrečiamųjų ligų epidemiologinę priežiūrą ir skiepijimo aprėpčių </w:t>
            </w:r>
            <w:proofErr w:type="spellStart"/>
            <w:r>
              <w:t>stebėseną</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1C66174F" w14:textId="77777777" w:rsidR="00381469" w:rsidRDefault="00381469">
            <w:pPr>
              <w:rPr>
                <w:szCs w:val="24"/>
              </w:rPr>
            </w:pPr>
            <w:r>
              <w:rPr>
                <w:szCs w:val="24"/>
              </w:rPr>
              <w:t xml:space="preserve">2.1. įvertinti užkrečiamųjų ligų, nuo kurių skiepijama (hepatito B, difterijos, stabligės, kokliušo, B tipo </w:t>
            </w:r>
            <w:proofErr w:type="spellStart"/>
            <w:r>
              <w:rPr>
                <w:i/>
                <w:szCs w:val="24"/>
              </w:rPr>
              <w:t>Haemophilus</w:t>
            </w:r>
            <w:proofErr w:type="spellEnd"/>
            <w:r>
              <w:rPr>
                <w:i/>
                <w:szCs w:val="24"/>
              </w:rPr>
              <w:t xml:space="preserve"> </w:t>
            </w:r>
            <w:proofErr w:type="spellStart"/>
            <w:r>
              <w:rPr>
                <w:i/>
                <w:szCs w:val="24"/>
              </w:rPr>
              <w:t>influenzae</w:t>
            </w:r>
            <w:proofErr w:type="spellEnd"/>
            <w:r>
              <w:rPr>
                <w:i/>
                <w:szCs w:val="24"/>
              </w:rPr>
              <w:t xml:space="preserve"> </w:t>
            </w:r>
            <w:r>
              <w:rPr>
                <w:szCs w:val="24"/>
              </w:rPr>
              <w:t xml:space="preserve">infekcijos, pneumokokinės infekcijos, poliomielito (ūmaus vangaus paralyžiaus), tymų, raudonukės, epideminio parotito, </w:t>
            </w:r>
            <w:r>
              <w:rPr>
                <w:b/>
                <w:color w:val="FF0000"/>
                <w:szCs w:val="24"/>
              </w:rPr>
              <w:t xml:space="preserve"> </w:t>
            </w:r>
            <w:r>
              <w:rPr>
                <w:szCs w:val="24"/>
              </w:rPr>
              <w:t xml:space="preserve">gripo), epidemiologinės priežiūros sistemą (atvejų išaiškinimą (diagnostiką), informavimą,  duomenų tvarkymą, analizę, interpretavimą, naudojimą ir keitimąsi su epidemiologinėje priežiūroje </w:t>
            </w:r>
            <w:r>
              <w:rPr>
                <w:szCs w:val="24"/>
              </w:rPr>
              <w:lastRenderedPageBreak/>
              <w:t xml:space="preserve">dalyvaujančiomis ir kitomis institucijomis </w:t>
            </w:r>
          </w:p>
        </w:tc>
        <w:tc>
          <w:tcPr>
            <w:tcW w:w="3118" w:type="dxa"/>
            <w:tcBorders>
              <w:top w:val="single" w:sz="4" w:space="0" w:color="auto"/>
              <w:left w:val="single" w:sz="4" w:space="0" w:color="auto"/>
              <w:bottom w:val="single" w:sz="4" w:space="0" w:color="auto"/>
              <w:right w:val="single" w:sz="4" w:space="0" w:color="auto"/>
            </w:tcBorders>
            <w:hideMark/>
          </w:tcPr>
          <w:p w14:paraId="139903AC" w14:textId="77777777" w:rsidR="00381469" w:rsidRDefault="00381469">
            <w:pPr>
              <w:tabs>
                <w:tab w:val="left" w:pos="540"/>
              </w:tabs>
              <w:rPr>
                <w:szCs w:val="24"/>
              </w:rPr>
            </w:pPr>
            <w:r>
              <w:rPr>
                <w:szCs w:val="24"/>
              </w:rPr>
              <w:lastRenderedPageBreak/>
              <w:t xml:space="preserve">Sveikatos apsaugos ministerija, </w:t>
            </w:r>
          </w:p>
          <w:p w14:paraId="702EAC62" w14:textId="77777777" w:rsidR="00381469" w:rsidRDefault="00381469">
            <w:pPr>
              <w:tabs>
                <w:tab w:val="left" w:pos="540"/>
              </w:tabs>
              <w:rPr>
                <w:szCs w:val="24"/>
              </w:rPr>
            </w:pPr>
            <w:r>
              <w:rPr>
                <w:szCs w:val="24"/>
              </w:rPr>
              <w:t>Užkrečiamųjų ligų ir AIDS centras,</w:t>
            </w:r>
          </w:p>
          <w:p w14:paraId="49980FB5" w14:textId="77777777" w:rsidR="00381469" w:rsidRDefault="00381469">
            <w:pPr>
              <w:tabs>
                <w:tab w:val="left" w:pos="540"/>
              </w:tabs>
              <w:rPr>
                <w:szCs w:val="24"/>
              </w:rPr>
            </w:pPr>
            <w:r>
              <w:rPr>
                <w:szCs w:val="24"/>
              </w:rPr>
              <w:t>Nacionalinė visuomenės sveikatos priežiūros laboratorija,</w:t>
            </w:r>
          </w:p>
          <w:p w14:paraId="699F6001" w14:textId="77777777" w:rsidR="00381469" w:rsidRDefault="00381469">
            <w:pPr>
              <w:tabs>
                <w:tab w:val="left" w:pos="540"/>
              </w:tabs>
              <w:rPr>
                <w:szCs w:val="24"/>
              </w:rPr>
            </w:pPr>
            <w:r>
              <w:rPr>
                <w:szCs w:val="24"/>
              </w:rPr>
              <w:t>Nacionalinis visuomenės sveikatos centras prie Sveikatos apsaugos ministerijos,</w:t>
            </w:r>
          </w:p>
          <w:p w14:paraId="2232EA9F" w14:textId="77777777" w:rsidR="00381469" w:rsidRDefault="00381469">
            <w:pPr>
              <w:tabs>
                <w:tab w:val="left" w:pos="540"/>
              </w:tabs>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165F8A97" w14:textId="77777777" w:rsidR="00381469" w:rsidRDefault="00381469">
            <w:pPr>
              <w:tabs>
                <w:tab w:val="left" w:pos="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6A547880"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59FC8CD"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DE73572"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9FA0924" w14:textId="77777777" w:rsidR="00381469" w:rsidRDefault="00381469">
            <w:pPr>
              <w:jc w:val="center"/>
              <w:rPr>
                <w:szCs w:val="24"/>
              </w:rPr>
            </w:pPr>
            <w:r>
              <w:rPr>
                <w:szCs w:val="24"/>
              </w:rPr>
              <w:t>–</w:t>
            </w:r>
          </w:p>
          <w:p w14:paraId="183D82CC" w14:textId="77777777" w:rsidR="00381469" w:rsidRDefault="00381469">
            <w:pPr>
              <w:jc w:val="center"/>
              <w:rPr>
                <w:szCs w:val="24"/>
              </w:rPr>
            </w:pPr>
          </w:p>
        </w:tc>
      </w:tr>
      <w:tr w:rsidR="00381469" w14:paraId="43929ED2"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55BA6B06"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6BA8B425" w14:textId="77777777" w:rsidR="00381469" w:rsidRDefault="00381469">
            <w:pPr>
              <w:rPr>
                <w:szCs w:val="24"/>
              </w:rPr>
            </w:pPr>
            <w:r>
              <w:rPr>
                <w:szCs w:val="24"/>
              </w:rPr>
              <w:t xml:space="preserve">2.2. vykdyti skiepijimo aprėpčių </w:t>
            </w:r>
            <w:proofErr w:type="spellStart"/>
            <w:r>
              <w:rPr>
                <w:szCs w:val="24"/>
              </w:rPr>
              <w:t>stebėseną</w:t>
            </w:r>
            <w:proofErr w:type="spellEnd"/>
            <w:r>
              <w:rPr>
                <w:szCs w:val="24"/>
              </w:rPr>
              <w:t xml:space="preserve"> (monitoringą), analizę ir kontrolę</w:t>
            </w:r>
          </w:p>
        </w:tc>
        <w:tc>
          <w:tcPr>
            <w:tcW w:w="3118" w:type="dxa"/>
            <w:tcBorders>
              <w:top w:val="single" w:sz="4" w:space="0" w:color="auto"/>
              <w:left w:val="single" w:sz="4" w:space="0" w:color="auto"/>
              <w:bottom w:val="single" w:sz="4" w:space="0" w:color="auto"/>
              <w:right w:val="single" w:sz="4" w:space="0" w:color="auto"/>
            </w:tcBorders>
            <w:hideMark/>
          </w:tcPr>
          <w:p w14:paraId="4213F005" w14:textId="77777777" w:rsidR="00381469" w:rsidRDefault="00381469">
            <w:pPr>
              <w:tabs>
                <w:tab w:val="left" w:pos="540"/>
              </w:tabs>
              <w:rPr>
                <w:szCs w:val="24"/>
              </w:rPr>
            </w:pPr>
            <w:r>
              <w:rPr>
                <w:szCs w:val="24"/>
              </w:rPr>
              <w:t>Užkrečiamųjų ligų ir AIDS centras,</w:t>
            </w:r>
          </w:p>
          <w:p w14:paraId="11EBBDF8" w14:textId="77777777" w:rsidR="00381469" w:rsidRDefault="00381469">
            <w:pPr>
              <w:tabs>
                <w:tab w:val="left" w:pos="540"/>
              </w:tabs>
              <w:rPr>
                <w:szCs w:val="24"/>
              </w:rPr>
            </w:pPr>
            <w:r>
              <w:rPr>
                <w:szCs w:val="24"/>
              </w:rPr>
              <w:t>Nacionalinis visuomenės sveikatos centras prie Sveikatos apsaugos ministerijos,</w:t>
            </w:r>
          </w:p>
          <w:p w14:paraId="1BE397E1" w14:textId="77777777" w:rsidR="00381469" w:rsidRDefault="00381469">
            <w:pPr>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054662D7"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784A8C3F"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EF34B4A"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69C4035"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2358016E" w14:textId="77777777" w:rsidR="00381469" w:rsidRDefault="00381469">
            <w:pPr>
              <w:jc w:val="center"/>
              <w:rPr>
                <w:szCs w:val="24"/>
              </w:rPr>
            </w:pPr>
            <w:r>
              <w:rPr>
                <w:szCs w:val="24"/>
              </w:rPr>
              <w:t>–</w:t>
            </w:r>
          </w:p>
          <w:p w14:paraId="023B9A14" w14:textId="77777777" w:rsidR="00381469" w:rsidRDefault="00381469">
            <w:pPr>
              <w:jc w:val="center"/>
              <w:rPr>
                <w:szCs w:val="24"/>
              </w:rPr>
            </w:pPr>
          </w:p>
        </w:tc>
      </w:tr>
      <w:tr w:rsidR="00381469" w14:paraId="7315AA8E"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6AE3C8E9"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tcPr>
          <w:p w14:paraId="3F9F95B2" w14:textId="77777777" w:rsidR="00381469" w:rsidRDefault="00381469">
            <w:pPr>
              <w:rPr>
                <w:szCs w:val="24"/>
              </w:rPr>
            </w:pPr>
            <w:r>
              <w:rPr>
                <w:szCs w:val="24"/>
              </w:rPr>
              <w:t>2.3. vykdyti nepageidaujamų reakcijų į skiepus priežiūrą</w:t>
            </w:r>
          </w:p>
          <w:p w14:paraId="683E9BAA" w14:textId="77777777" w:rsidR="00381469" w:rsidRDefault="00381469">
            <w:pPr>
              <w:rPr>
                <w:szCs w:val="24"/>
              </w:rPr>
            </w:pPr>
          </w:p>
          <w:p w14:paraId="44E6A5F8" w14:textId="77777777" w:rsidR="00381469" w:rsidRDefault="00381469">
            <w:pPr>
              <w:rPr>
                <w:szCs w:val="24"/>
              </w:rPr>
            </w:pPr>
          </w:p>
          <w:p w14:paraId="5F79F36F" w14:textId="77777777" w:rsidR="00381469" w:rsidRDefault="00381469">
            <w:pPr>
              <w:rPr>
                <w:szCs w:val="24"/>
              </w:rPr>
            </w:pPr>
          </w:p>
          <w:p w14:paraId="647CC915" w14:textId="77777777" w:rsidR="00381469" w:rsidRDefault="00381469">
            <w:pPr>
              <w:rPr>
                <w:szCs w:val="24"/>
              </w:rPr>
            </w:pPr>
          </w:p>
        </w:tc>
        <w:tc>
          <w:tcPr>
            <w:tcW w:w="3118" w:type="dxa"/>
            <w:tcBorders>
              <w:top w:val="single" w:sz="4" w:space="0" w:color="auto"/>
              <w:left w:val="single" w:sz="4" w:space="0" w:color="auto"/>
              <w:bottom w:val="single" w:sz="4" w:space="0" w:color="auto"/>
              <w:right w:val="single" w:sz="4" w:space="0" w:color="auto"/>
            </w:tcBorders>
            <w:hideMark/>
          </w:tcPr>
          <w:p w14:paraId="223B09B7" w14:textId="77777777" w:rsidR="00381469" w:rsidRDefault="00381469">
            <w:pPr>
              <w:tabs>
                <w:tab w:val="left" w:pos="540"/>
              </w:tabs>
              <w:rPr>
                <w:szCs w:val="24"/>
              </w:rPr>
            </w:pPr>
            <w:r>
              <w:rPr>
                <w:szCs w:val="24"/>
              </w:rPr>
              <w:t xml:space="preserve">Užkrečiamųjų ligų ir AIDS centras, </w:t>
            </w:r>
          </w:p>
          <w:p w14:paraId="4DF07836" w14:textId="77777777" w:rsidR="00381469" w:rsidRDefault="00381469">
            <w:pPr>
              <w:tabs>
                <w:tab w:val="left" w:pos="540"/>
              </w:tabs>
              <w:rPr>
                <w:szCs w:val="24"/>
              </w:rPr>
            </w:pPr>
            <w:r>
              <w:rPr>
                <w:szCs w:val="24"/>
              </w:rPr>
              <w:t>Valstybinė vaistų kontrolės tarnyba prie Lietuvos Respublikos sveikatos apsaugos ministerijos,</w:t>
            </w:r>
          </w:p>
          <w:p w14:paraId="1D409B71" w14:textId="77777777" w:rsidR="00381469" w:rsidRDefault="00381469">
            <w:pPr>
              <w:tabs>
                <w:tab w:val="left" w:pos="540"/>
              </w:tabs>
              <w:rPr>
                <w:szCs w:val="24"/>
              </w:rPr>
            </w:pPr>
            <w:r>
              <w:rPr>
                <w:szCs w:val="24"/>
              </w:rPr>
              <w:t>Nacionalinis visuomenės sveikatos centras prie Sveikatos apsaugos ministerijos,</w:t>
            </w:r>
          </w:p>
          <w:p w14:paraId="52980023" w14:textId="77777777" w:rsidR="00381469" w:rsidRDefault="00381469">
            <w:pPr>
              <w:tabs>
                <w:tab w:val="left" w:pos="540"/>
              </w:tabs>
              <w:rPr>
                <w:szCs w:val="24"/>
              </w:rPr>
            </w:pPr>
            <w:r>
              <w:rPr>
                <w:szCs w:val="24"/>
              </w:rPr>
              <w:t xml:space="preserve">asmens sveikatos priežiūros </w:t>
            </w:r>
            <w:r>
              <w:rPr>
                <w:szCs w:val="24"/>
              </w:rPr>
              <w:lastRenderedPageBreak/>
              <w:t>įstaigos</w:t>
            </w:r>
          </w:p>
        </w:tc>
        <w:tc>
          <w:tcPr>
            <w:tcW w:w="1134" w:type="dxa"/>
            <w:tcBorders>
              <w:top w:val="single" w:sz="4" w:space="0" w:color="auto"/>
              <w:left w:val="single" w:sz="4" w:space="0" w:color="auto"/>
              <w:bottom w:val="single" w:sz="4" w:space="0" w:color="auto"/>
              <w:right w:val="single" w:sz="4" w:space="0" w:color="auto"/>
            </w:tcBorders>
            <w:hideMark/>
          </w:tcPr>
          <w:p w14:paraId="2C4A207F" w14:textId="77777777" w:rsidR="00381469" w:rsidRDefault="00381469">
            <w:pPr>
              <w:tabs>
                <w:tab w:val="left" w:pos="0"/>
              </w:tabs>
              <w:rPr>
                <w:szCs w:val="24"/>
              </w:rPr>
            </w:pPr>
            <w:r>
              <w:rPr>
                <w:szCs w:val="24"/>
              </w:rPr>
              <w:lastRenderedPageBreak/>
              <w:t>2019–2021 metai</w:t>
            </w:r>
          </w:p>
        </w:tc>
        <w:tc>
          <w:tcPr>
            <w:tcW w:w="1276" w:type="dxa"/>
            <w:tcBorders>
              <w:top w:val="single" w:sz="4" w:space="0" w:color="auto"/>
              <w:left w:val="single" w:sz="4" w:space="0" w:color="auto"/>
              <w:bottom w:val="single" w:sz="4" w:space="0" w:color="auto"/>
              <w:right w:val="single" w:sz="4" w:space="0" w:color="auto"/>
            </w:tcBorders>
            <w:hideMark/>
          </w:tcPr>
          <w:p w14:paraId="32CD838D"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113C82C8"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5971DBDE"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000CA9BF" w14:textId="77777777" w:rsidR="00381469" w:rsidRDefault="00381469">
            <w:pPr>
              <w:jc w:val="center"/>
              <w:rPr>
                <w:szCs w:val="24"/>
              </w:rPr>
            </w:pPr>
            <w:r>
              <w:rPr>
                <w:szCs w:val="24"/>
              </w:rPr>
              <w:t>–</w:t>
            </w:r>
          </w:p>
          <w:p w14:paraId="00D8AC8D" w14:textId="77777777" w:rsidR="00381469" w:rsidRDefault="00381469">
            <w:pPr>
              <w:jc w:val="center"/>
              <w:rPr>
                <w:szCs w:val="24"/>
              </w:rPr>
            </w:pPr>
          </w:p>
          <w:p w14:paraId="13605E7D" w14:textId="77777777" w:rsidR="00381469" w:rsidRDefault="00381469">
            <w:pPr>
              <w:jc w:val="center"/>
              <w:rPr>
                <w:szCs w:val="24"/>
              </w:rPr>
            </w:pPr>
          </w:p>
        </w:tc>
      </w:tr>
      <w:tr w:rsidR="00381469" w14:paraId="47E5CD3F"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213D0CBB"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3E1E2F09" w14:textId="77777777" w:rsidR="00381469" w:rsidRDefault="00381469">
            <w:pPr>
              <w:rPr>
                <w:szCs w:val="24"/>
              </w:rPr>
            </w:pPr>
            <w:r>
              <w:rPr>
                <w:szCs w:val="24"/>
              </w:rPr>
              <w:t xml:space="preserve">2.4. atlikti </w:t>
            </w:r>
            <w:proofErr w:type="spellStart"/>
            <w:r>
              <w:rPr>
                <w:szCs w:val="24"/>
              </w:rPr>
              <w:t>seroepidemiologinius</w:t>
            </w:r>
            <w:proofErr w:type="spellEnd"/>
            <w:r>
              <w:rPr>
                <w:szCs w:val="24"/>
              </w:rPr>
              <w:t xml:space="preserve"> skiepijimais valdomų užkrečiamųjų ligų tyrimus, pirmiausiai – išnaikinamų ligų (1 ir 3 tipų poliomielito, tymų, raudonukės)   </w:t>
            </w:r>
          </w:p>
        </w:tc>
        <w:tc>
          <w:tcPr>
            <w:tcW w:w="3118" w:type="dxa"/>
            <w:tcBorders>
              <w:top w:val="single" w:sz="4" w:space="0" w:color="auto"/>
              <w:left w:val="single" w:sz="4" w:space="0" w:color="auto"/>
              <w:bottom w:val="single" w:sz="4" w:space="0" w:color="auto"/>
              <w:right w:val="single" w:sz="4" w:space="0" w:color="auto"/>
            </w:tcBorders>
            <w:hideMark/>
          </w:tcPr>
          <w:p w14:paraId="26FF4297" w14:textId="77777777" w:rsidR="00381469" w:rsidRDefault="00381469">
            <w:pPr>
              <w:tabs>
                <w:tab w:val="left" w:pos="540"/>
              </w:tabs>
              <w:rPr>
                <w:szCs w:val="24"/>
              </w:rPr>
            </w:pPr>
            <w:r>
              <w:rPr>
                <w:szCs w:val="24"/>
              </w:rPr>
              <w:t>Sveikatos apsaugos ministerija,</w:t>
            </w:r>
          </w:p>
          <w:p w14:paraId="29AA57EC" w14:textId="77777777" w:rsidR="00381469" w:rsidRDefault="00381469">
            <w:pPr>
              <w:tabs>
                <w:tab w:val="left" w:pos="540"/>
              </w:tabs>
              <w:rPr>
                <w:szCs w:val="24"/>
              </w:rPr>
            </w:pPr>
            <w:r>
              <w:rPr>
                <w:szCs w:val="24"/>
              </w:rPr>
              <w:t>Užkrečiamųjų ligų ir AIDS centras,</w:t>
            </w:r>
          </w:p>
          <w:p w14:paraId="06FBD400" w14:textId="77777777" w:rsidR="00381469" w:rsidRDefault="00381469">
            <w:pPr>
              <w:tabs>
                <w:tab w:val="left" w:pos="540"/>
              </w:tabs>
              <w:rPr>
                <w:szCs w:val="24"/>
              </w:rPr>
            </w:pPr>
            <w:r>
              <w:rPr>
                <w:szCs w:val="24"/>
              </w:rPr>
              <w:t>Nacionalinė visuomenės sveikatos priežiūros laboratorija,</w:t>
            </w:r>
          </w:p>
          <w:p w14:paraId="0600C09F" w14:textId="77777777" w:rsidR="00381469" w:rsidRDefault="00381469">
            <w:pPr>
              <w:tabs>
                <w:tab w:val="left" w:pos="540"/>
              </w:tabs>
              <w:rPr>
                <w:szCs w:val="24"/>
              </w:rPr>
            </w:pPr>
            <w:r>
              <w:rPr>
                <w:szCs w:val="24"/>
              </w:rPr>
              <w:t>Vilniaus universiteto Medicinos fakultetas,</w:t>
            </w:r>
          </w:p>
          <w:p w14:paraId="65EA4536" w14:textId="77777777" w:rsidR="00381469" w:rsidRDefault="00381469">
            <w:pPr>
              <w:tabs>
                <w:tab w:val="left" w:pos="540"/>
              </w:tabs>
              <w:rPr>
                <w:szCs w:val="24"/>
              </w:rPr>
            </w:pPr>
            <w:r>
              <w:rPr>
                <w:szCs w:val="24"/>
              </w:rPr>
              <w:t>Lietuvos sveikatos mokslų universitetas,</w:t>
            </w:r>
          </w:p>
          <w:p w14:paraId="676E2452" w14:textId="77777777" w:rsidR="00381469" w:rsidRDefault="00381469">
            <w:pPr>
              <w:tabs>
                <w:tab w:val="left" w:pos="540"/>
              </w:tabs>
              <w:rPr>
                <w:szCs w:val="24"/>
              </w:rPr>
            </w:pPr>
            <w:r>
              <w:rPr>
                <w:szCs w:val="24"/>
              </w:rPr>
              <w:t>Nacionalinis visuomenės sveikatos centras prie Sveikatos apsaugos ministerijos,</w:t>
            </w:r>
          </w:p>
          <w:p w14:paraId="077459B9" w14:textId="77777777" w:rsidR="00381469" w:rsidRDefault="00381469">
            <w:pPr>
              <w:tabs>
                <w:tab w:val="left" w:pos="540"/>
              </w:tabs>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15A2D252" w14:textId="77777777" w:rsidR="00381469" w:rsidRDefault="00381469">
            <w:pPr>
              <w:tabs>
                <w:tab w:val="left" w:pos="0"/>
              </w:tabs>
              <w:rPr>
                <w:szCs w:val="24"/>
                <w:highlight w:val="yellow"/>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226B4B8A" w14:textId="77777777" w:rsidR="00381469" w:rsidRDefault="00381469">
            <w:pPr>
              <w:jc w:val="center"/>
              <w:rPr>
                <w:szCs w:val="24"/>
                <w:highlight w:val="yellow"/>
              </w:rPr>
            </w:pPr>
            <w:r>
              <w:t>–</w:t>
            </w:r>
          </w:p>
        </w:tc>
        <w:tc>
          <w:tcPr>
            <w:tcW w:w="1276" w:type="dxa"/>
            <w:tcBorders>
              <w:top w:val="single" w:sz="4" w:space="0" w:color="auto"/>
              <w:left w:val="single" w:sz="4" w:space="0" w:color="auto"/>
              <w:bottom w:val="single" w:sz="4" w:space="0" w:color="auto"/>
              <w:right w:val="single" w:sz="4" w:space="0" w:color="auto"/>
            </w:tcBorders>
            <w:hideMark/>
          </w:tcPr>
          <w:p w14:paraId="093DA602" w14:textId="77777777" w:rsidR="00381469" w:rsidRDefault="00381469">
            <w:pPr>
              <w:jc w:val="center"/>
              <w:rPr>
                <w:szCs w:val="24"/>
                <w:highlight w:val="yellow"/>
              </w:rPr>
            </w:pPr>
            <w:r>
              <w:t>–</w:t>
            </w:r>
          </w:p>
        </w:tc>
        <w:tc>
          <w:tcPr>
            <w:tcW w:w="1275" w:type="dxa"/>
            <w:tcBorders>
              <w:top w:val="single" w:sz="4" w:space="0" w:color="auto"/>
              <w:left w:val="single" w:sz="4" w:space="0" w:color="auto"/>
              <w:bottom w:val="single" w:sz="4" w:space="0" w:color="auto"/>
              <w:right w:val="single" w:sz="4" w:space="0" w:color="auto"/>
            </w:tcBorders>
            <w:hideMark/>
          </w:tcPr>
          <w:p w14:paraId="1D164909" w14:textId="77777777" w:rsidR="00381469" w:rsidRDefault="00381469">
            <w:pPr>
              <w:jc w:val="center"/>
              <w:rPr>
                <w:szCs w:val="24"/>
                <w:highlight w:val="yellow"/>
              </w:rPr>
            </w:pPr>
            <w:r>
              <w:t>–</w:t>
            </w:r>
          </w:p>
        </w:tc>
        <w:tc>
          <w:tcPr>
            <w:tcW w:w="1985" w:type="dxa"/>
            <w:tcBorders>
              <w:top w:val="single" w:sz="4" w:space="0" w:color="auto"/>
              <w:left w:val="single" w:sz="4" w:space="0" w:color="auto"/>
              <w:bottom w:val="single" w:sz="4" w:space="0" w:color="auto"/>
              <w:right w:val="single" w:sz="4" w:space="0" w:color="auto"/>
            </w:tcBorders>
            <w:hideMark/>
          </w:tcPr>
          <w:p w14:paraId="7AFC9B7C" w14:textId="77777777" w:rsidR="00381469" w:rsidRDefault="00381469">
            <w:pPr>
              <w:jc w:val="center"/>
              <w:rPr>
                <w:szCs w:val="24"/>
                <w:highlight w:val="yellow"/>
              </w:rPr>
            </w:pPr>
            <w:r>
              <w:t>–</w:t>
            </w:r>
          </w:p>
        </w:tc>
      </w:tr>
      <w:tr w:rsidR="00381469" w14:paraId="02CE2E9A"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55FFC4A0"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502706B1" w14:textId="77777777" w:rsidR="00381469" w:rsidRDefault="00381469">
            <w:pPr>
              <w:rPr>
                <w:szCs w:val="24"/>
              </w:rPr>
            </w:pPr>
            <w:r>
              <w:rPr>
                <w:szCs w:val="24"/>
              </w:rPr>
              <w:t>2.5. įvertinti Europos kokliušo laboratorijų tinklo (</w:t>
            </w:r>
            <w:proofErr w:type="spellStart"/>
            <w:r>
              <w:rPr>
                <w:szCs w:val="24"/>
              </w:rPr>
              <w:t>EUpert-LabNet)</w:t>
            </w:r>
            <w:proofErr w:type="spellEnd"/>
            <w:r>
              <w:rPr>
                <w:szCs w:val="24"/>
              </w:rPr>
              <w:t xml:space="preserve"> Lietuvos suaugusių asmenų </w:t>
            </w:r>
            <w:proofErr w:type="spellStart"/>
            <w:r>
              <w:rPr>
                <w:szCs w:val="24"/>
              </w:rPr>
              <w:t>seroepidemiologinių</w:t>
            </w:r>
            <w:proofErr w:type="spellEnd"/>
            <w:r>
              <w:rPr>
                <w:szCs w:val="24"/>
              </w:rPr>
              <w:t xml:space="preserve"> tyrimų rezultatus bei pateikti rekomendacijas kokliušo valdymui gerinti </w:t>
            </w:r>
          </w:p>
        </w:tc>
        <w:tc>
          <w:tcPr>
            <w:tcW w:w="3118" w:type="dxa"/>
            <w:tcBorders>
              <w:top w:val="single" w:sz="4" w:space="0" w:color="auto"/>
              <w:left w:val="single" w:sz="4" w:space="0" w:color="auto"/>
              <w:bottom w:val="single" w:sz="4" w:space="0" w:color="auto"/>
              <w:right w:val="single" w:sz="4" w:space="0" w:color="auto"/>
            </w:tcBorders>
            <w:hideMark/>
          </w:tcPr>
          <w:p w14:paraId="0438829B" w14:textId="77777777" w:rsidR="00381469" w:rsidRDefault="00381469">
            <w:pPr>
              <w:tabs>
                <w:tab w:val="left" w:pos="540"/>
              </w:tabs>
              <w:rPr>
                <w:szCs w:val="24"/>
              </w:rPr>
            </w:pPr>
            <w:r>
              <w:rPr>
                <w:szCs w:val="24"/>
              </w:rPr>
              <w:t>Nacionalinė visuomenės sveikatos priežiūros laboratorija,</w:t>
            </w:r>
          </w:p>
          <w:p w14:paraId="06F720AC" w14:textId="77777777" w:rsidR="00381469" w:rsidRDefault="00381469">
            <w:pPr>
              <w:tabs>
                <w:tab w:val="left" w:pos="540"/>
              </w:tabs>
              <w:rPr>
                <w:szCs w:val="24"/>
              </w:rPr>
            </w:pPr>
            <w:r>
              <w:rPr>
                <w:szCs w:val="24"/>
              </w:rPr>
              <w:t>Užkrečiamųjų ligų ir AIDS centras,</w:t>
            </w:r>
          </w:p>
          <w:p w14:paraId="51AD07FA" w14:textId="77777777" w:rsidR="00381469" w:rsidRDefault="00381469">
            <w:pPr>
              <w:tabs>
                <w:tab w:val="left" w:pos="540"/>
              </w:tabs>
              <w:rPr>
                <w:szCs w:val="24"/>
              </w:rPr>
            </w:pPr>
            <w:r>
              <w:rPr>
                <w:szCs w:val="24"/>
              </w:rPr>
              <w:t>Nacionalinis visuomenės sveikatos centras prie Sveikatos apsaugos ministerijos</w:t>
            </w:r>
          </w:p>
        </w:tc>
        <w:tc>
          <w:tcPr>
            <w:tcW w:w="1134" w:type="dxa"/>
            <w:tcBorders>
              <w:top w:val="single" w:sz="4" w:space="0" w:color="auto"/>
              <w:left w:val="single" w:sz="4" w:space="0" w:color="auto"/>
              <w:bottom w:val="single" w:sz="4" w:space="0" w:color="auto"/>
              <w:right w:val="single" w:sz="4" w:space="0" w:color="auto"/>
            </w:tcBorders>
            <w:hideMark/>
          </w:tcPr>
          <w:p w14:paraId="7617E313" w14:textId="77777777" w:rsidR="00381469" w:rsidRDefault="00381469">
            <w:pPr>
              <w:tabs>
                <w:tab w:val="left" w:pos="0"/>
              </w:tabs>
              <w:rPr>
                <w:szCs w:val="24"/>
                <w:highlight w:val="yellow"/>
              </w:rPr>
            </w:pPr>
            <w:r>
              <w:rPr>
                <w:szCs w:val="24"/>
              </w:rPr>
              <w:t>2019 metai</w:t>
            </w:r>
          </w:p>
        </w:tc>
        <w:tc>
          <w:tcPr>
            <w:tcW w:w="1276" w:type="dxa"/>
            <w:tcBorders>
              <w:top w:val="single" w:sz="4" w:space="0" w:color="auto"/>
              <w:left w:val="single" w:sz="4" w:space="0" w:color="auto"/>
              <w:bottom w:val="single" w:sz="4" w:space="0" w:color="auto"/>
              <w:right w:val="single" w:sz="4" w:space="0" w:color="auto"/>
            </w:tcBorders>
            <w:hideMark/>
          </w:tcPr>
          <w:p w14:paraId="0D6F4744" w14:textId="77777777" w:rsidR="00381469" w:rsidRDefault="00381469">
            <w:pPr>
              <w:jc w:val="center"/>
              <w:rPr>
                <w:lang w:val="en-US"/>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10DBCD2" w14:textId="77777777" w:rsidR="00381469" w:rsidRDefault="00381469">
            <w:pPr>
              <w:jc w:val="center"/>
              <w:rPr>
                <w:lang w:val="en-US"/>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071171D9" w14:textId="77777777" w:rsidR="00381469" w:rsidRDefault="00381469">
            <w:pPr>
              <w:jc w:val="center"/>
              <w:rPr>
                <w:lang w:val="en-US"/>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3495618" w14:textId="77777777" w:rsidR="00381469" w:rsidRDefault="00381469">
            <w:pPr>
              <w:jc w:val="center"/>
              <w:rPr>
                <w:szCs w:val="24"/>
              </w:rPr>
            </w:pPr>
            <w:r>
              <w:rPr>
                <w:szCs w:val="24"/>
              </w:rPr>
              <w:t>–</w:t>
            </w:r>
          </w:p>
          <w:p w14:paraId="6F78A7E7" w14:textId="77777777" w:rsidR="00381469" w:rsidRDefault="00381469">
            <w:pPr>
              <w:jc w:val="center"/>
              <w:rPr>
                <w:lang w:val="en-US"/>
              </w:rPr>
            </w:pPr>
          </w:p>
        </w:tc>
      </w:tr>
      <w:tr w:rsidR="00381469" w14:paraId="3D938871" w14:textId="77777777" w:rsidTr="00381469">
        <w:trPr>
          <w:trHeight w:val="20"/>
        </w:trPr>
        <w:tc>
          <w:tcPr>
            <w:tcW w:w="2093" w:type="dxa"/>
            <w:vMerge/>
            <w:tcBorders>
              <w:top w:val="single" w:sz="4" w:space="0" w:color="auto"/>
              <w:left w:val="single" w:sz="4" w:space="0" w:color="auto"/>
              <w:bottom w:val="nil"/>
              <w:right w:val="single" w:sz="4" w:space="0" w:color="auto"/>
            </w:tcBorders>
            <w:vAlign w:val="center"/>
            <w:hideMark/>
          </w:tcPr>
          <w:p w14:paraId="3ADE69CA"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tcPr>
          <w:p w14:paraId="018D4BCC" w14:textId="77777777" w:rsidR="00381469" w:rsidRDefault="00381469">
            <w:r>
              <w:t xml:space="preserve">2.6. peržiūrėti ir papildyti </w:t>
            </w:r>
            <w:r>
              <w:lastRenderedPageBreak/>
              <w:t xml:space="preserve">teisės aktus, reglamentuojančius tymų ir raudonukės epidemiologinę priežiūrą, profilaktiką ir kontrolę </w:t>
            </w:r>
          </w:p>
          <w:p w14:paraId="24A17A52" w14:textId="77777777" w:rsidR="00381469" w:rsidRDefault="00381469">
            <w:pPr>
              <w:rPr>
                <w:szCs w:val="24"/>
              </w:rPr>
            </w:pPr>
          </w:p>
        </w:tc>
        <w:tc>
          <w:tcPr>
            <w:tcW w:w="3118" w:type="dxa"/>
            <w:tcBorders>
              <w:top w:val="single" w:sz="4" w:space="0" w:color="auto"/>
              <w:left w:val="single" w:sz="4" w:space="0" w:color="auto"/>
              <w:bottom w:val="single" w:sz="4" w:space="0" w:color="auto"/>
              <w:right w:val="single" w:sz="4" w:space="0" w:color="auto"/>
            </w:tcBorders>
            <w:hideMark/>
          </w:tcPr>
          <w:p w14:paraId="61DE71E2" w14:textId="77777777" w:rsidR="00381469" w:rsidRDefault="00381469">
            <w:pPr>
              <w:tabs>
                <w:tab w:val="left" w:pos="540"/>
              </w:tabs>
              <w:rPr>
                <w:szCs w:val="24"/>
              </w:rPr>
            </w:pPr>
            <w:r>
              <w:rPr>
                <w:szCs w:val="24"/>
              </w:rPr>
              <w:lastRenderedPageBreak/>
              <w:t xml:space="preserve">Sveikatos apsaugos </w:t>
            </w:r>
            <w:r>
              <w:rPr>
                <w:szCs w:val="24"/>
              </w:rPr>
              <w:lastRenderedPageBreak/>
              <w:t>ministerija,</w:t>
            </w:r>
          </w:p>
          <w:p w14:paraId="2DC3C521" w14:textId="77777777" w:rsidR="00381469" w:rsidRDefault="00381469">
            <w:pPr>
              <w:tabs>
                <w:tab w:val="left" w:pos="540"/>
              </w:tabs>
              <w:rPr>
                <w:szCs w:val="24"/>
              </w:rPr>
            </w:pPr>
            <w:r>
              <w:rPr>
                <w:szCs w:val="24"/>
              </w:rPr>
              <w:t>Užkrečiamųjų ligų ir AIDS centras,</w:t>
            </w:r>
          </w:p>
          <w:p w14:paraId="4A6E52F0" w14:textId="77777777" w:rsidR="00381469" w:rsidRDefault="00381469">
            <w:pPr>
              <w:tabs>
                <w:tab w:val="left" w:pos="540"/>
              </w:tabs>
              <w:rPr>
                <w:szCs w:val="24"/>
              </w:rPr>
            </w:pPr>
            <w:r>
              <w:rPr>
                <w:szCs w:val="24"/>
              </w:rPr>
              <w:t>Nacionalinis visuomenės sveikatos centras prie Sveikatos apsaugos ministerijos,</w:t>
            </w:r>
          </w:p>
          <w:p w14:paraId="057093C3" w14:textId="77777777" w:rsidR="00381469" w:rsidRDefault="00381469">
            <w:pPr>
              <w:tabs>
                <w:tab w:val="left" w:pos="540"/>
              </w:tabs>
              <w:rPr>
                <w:szCs w:val="24"/>
              </w:rPr>
            </w:pPr>
            <w:r>
              <w:rPr>
                <w:szCs w:val="24"/>
              </w:rPr>
              <w:t>Nacionalinė visuomenės sveikatos priežiūros laboratorija</w:t>
            </w:r>
          </w:p>
        </w:tc>
        <w:tc>
          <w:tcPr>
            <w:tcW w:w="1134" w:type="dxa"/>
            <w:tcBorders>
              <w:top w:val="single" w:sz="4" w:space="0" w:color="auto"/>
              <w:left w:val="single" w:sz="4" w:space="0" w:color="auto"/>
              <w:bottom w:val="single" w:sz="4" w:space="0" w:color="auto"/>
              <w:right w:val="single" w:sz="4" w:space="0" w:color="auto"/>
            </w:tcBorders>
            <w:hideMark/>
          </w:tcPr>
          <w:p w14:paraId="4AE159C2" w14:textId="77777777" w:rsidR="00381469" w:rsidRDefault="00381469">
            <w:pPr>
              <w:tabs>
                <w:tab w:val="left" w:pos="0"/>
              </w:tabs>
              <w:rPr>
                <w:szCs w:val="24"/>
              </w:rPr>
            </w:pPr>
            <w:r>
              <w:rPr>
                <w:szCs w:val="24"/>
              </w:rPr>
              <w:lastRenderedPageBreak/>
              <w:t xml:space="preserve">2019 </w:t>
            </w:r>
            <w:r>
              <w:rPr>
                <w:szCs w:val="24"/>
              </w:rPr>
              <w:lastRenderedPageBreak/>
              <w:t>metai</w:t>
            </w:r>
          </w:p>
        </w:tc>
        <w:tc>
          <w:tcPr>
            <w:tcW w:w="1276" w:type="dxa"/>
            <w:tcBorders>
              <w:top w:val="single" w:sz="4" w:space="0" w:color="auto"/>
              <w:left w:val="single" w:sz="4" w:space="0" w:color="auto"/>
              <w:bottom w:val="single" w:sz="4" w:space="0" w:color="auto"/>
              <w:right w:val="single" w:sz="4" w:space="0" w:color="auto"/>
            </w:tcBorders>
            <w:hideMark/>
          </w:tcPr>
          <w:p w14:paraId="423D50FA" w14:textId="77777777" w:rsidR="00381469" w:rsidRDefault="00381469">
            <w:pPr>
              <w:jc w:val="center"/>
              <w:rPr>
                <w:szCs w:val="24"/>
              </w:rPr>
            </w:pPr>
            <w:r>
              <w:rPr>
                <w:szCs w:val="24"/>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14:paraId="45585712"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911159E"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4F77448F" w14:textId="77777777" w:rsidR="00381469" w:rsidRDefault="00381469">
            <w:pPr>
              <w:jc w:val="center"/>
              <w:rPr>
                <w:szCs w:val="24"/>
              </w:rPr>
            </w:pPr>
            <w:r>
              <w:rPr>
                <w:szCs w:val="24"/>
              </w:rPr>
              <w:t>–</w:t>
            </w:r>
          </w:p>
          <w:p w14:paraId="2D8E0CF3" w14:textId="77777777" w:rsidR="00381469" w:rsidRDefault="00381469">
            <w:pPr>
              <w:jc w:val="center"/>
              <w:rPr>
                <w:szCs w:val="24"/>
              </w:rPr>
            </w:pPr>
          </w:p>
        </w:tc>
      </w:tr>
      <w:tr w:rsidR="00381469" w14:paraId="5F9A9333" w14:textId="77777777" w:rsidTr="00381469">
        <w:trPr>
          <w:trHeight w:val="20"/>
        </w:trPr>
        <w:tc>
          <w:tcPr>
            <w:tcW w:w="2093" w:type="dxa"/>
            <w:vMerge w:val="restart"/>
            <w:tcBorders>
              <w:top w:val="nil"/>
              <w:left w:val="single" w:sz="4" w:space="0" w:color="auto"/>
              <w:bottom w:val="nil"/>
              <w:right w:val="single" w:sz="4" w:space="0" w:color="auto"/>
            </w:tcBorders>
          </w:tcPr>
          <w:p w14:paraId="5FE61970" w14:textId="77777777" w:rsidR="00381469" w:rsidRDefault="00381469">
            <w:pPr>
              <w:rPr>
                <w:lang w:val="en-US"/>
              </w:rPr>
            </w:pPr>
          </w:p>
        </w:tc>
        <w:tc>
          <w:tcPr>
            <w:tcW w:w="2977" w:type="dxa"/>
            <w:tcBorders>
              <w:top w:val="single" w:sz="4" w:space="0" w:color="auto"/>
              <w:left w:val="single" w:sz="4" w:space="0" w:color="auto"/>
              <w:bottom w:val="single" w:sz="4" w:space="0" w:color="auto"/>
              <w:right w:val="single" w:sz="4" w:space="0" w:color="auto"/>
            </w:tcBorders>
            <w:hideMark/>
          </w:tcPr>
          <w:p w14:paraId="196AB4FB" w14:textId="77777777" w:rsidR="00381469" w:rsidRDefault="00381469">
            <w:pPr>
              <w:rPr>
                <w:szCs w:val="24"/>
              </w:rPr>
            </w:pPr>
            <w:r>
              <w:rPr>
                <w:szCs w:val="24"/>
              </w:rPr>
              <w:t>2.7. atlikti vaikų nepaskiepijimo priežasčių nustatymo tyrimą, parengti rekomendacijas skiepijimo aprėptims didinti</w:t>
            </w:r>
          </w:p>
        </w:tc>
        <w:tc>
          <w:tcPr>
            <w:tcW w:w="3118" w:type="dxa"/>
            <w:tcBorders>
              <w:top w:val="single" w:sz="4" w:space="0" w:color="auto"/>
              <w:left w:val="single" w:sz="4" w:space="0" w:color="auto"/>
              <w:bottom w:val="single" w:sz="4" w:space="0" w:color="auto"/>
              <w:right w:val="single" w:sz="4" w:space="0" w:color="auto"/>
            </w:tcBorders>
            <w:hideMark/>
          </w:tcPr>
          <w:p w14:paraId="2DADCC1D" w14:textId="77777777" w:rsidR="00381469" w:rsidRDefault="00381469">
            <w:pPr>
              <w:tabs>
                <w:tab w:val="left" w:pos="540"/>
              </w:tabs>
              <w:rPr>
                <w:szCs w:val="24"/>
              </w:rPr>
            </w:pPr>
            <w:r>
              <w:rPr>
                <w:szCs w:val="24"/>
              </w:rPr>
              <w:t>Nacionalinis visuomenės sveikatos centras prie Sveikatos apsaugos ministerijos,</w:t>
            </w:r>
          </w:p>
          <w:p w14:paraId="7F7C4095" w14:textId="77777777" w:rsidR="00381469" w:rsidRDefault="00381469">
            <w:pPr>
              <w:tabs>
                <w:tab w:val="left" w:pos="540"/>
              </w:tabs>
              <w:rPr>
                <w:szCs w:val="24"/>
              </w:rPr>
            </w:pPr>
            <w:r>
              <w:rPr>
                <w:szCs w:val="24"/>
              </w:rPr>
              <w:t>Užkrečiamųjų ligų ir AIDS centras</w:t>
            </w:r>
          </w:p>
        </w:tc>
        <w:tc>
          <w:tcPr>
            <w:tcW w:w="1134" w:type="dxa"/>
            <w:tcBorders>
              <w:top w:val="single" w:sz="4" w:space="0" w:color="auto"/>
              <w:left w:val="single" w:sz="4" w:space="0" w:color="auto"/>
              <w:bottom w:val="single" w:sz="4" w:space="0" w:color="auto"/>
              <w:right w:val="single" w:sz="4" w:space="0" w:color="auto"/>
            </w:tcBorders>
            <w:hideMark/>
          </w:tcPr>
          <w:p w14:paraId="5CC6A257" w14:textId="77777777" w:rsidR="00381469" w:rsidRDefault="00381469">
            <w:pPr>
              <w:tabs>
                <w:tab w:val="left" w:pos="0"/>
              </w:tabs>
              <w:rPr>
                <w:szCs w:val="24"/>
                <w:highlight w:val="yellow"/>
              </w:rPr>
            </w:pPr>
            <w:r>
              <w:rPr>
                <w:szCs w:val="24"/>
              </w:rPr>
              <w:t>2019–2020 metai</w:t>
            </w:r>
          </w:p>
        </w:tc>
        <w:tc>
          <w:tcPr>
            <w:tcW w:w="1276" w:type="dxa"/>
            <w:tcBorders>
              <w:top w:val="single" w:sz="4" w:space="0" w:color="auto"/>
              <w:left w:val="single" w:sz="4" w:space="0" w:color="auto"/>
              <w:bottom w:val="single" w:sz="4" w:space="0" w:color="auto"/>
              <w:right w:val="single" w:sz="4" w:space="0" w:color="auto"/>
            </w:tcBorders>
            <w:hideMark/>
          </w:tcPr>
          <w:p w14:paraId="4B4EDA5E" w14:textId="77777777" w:rsidR="00381469" w:rsidRDefault="00381469">
            <w:pPr>
              <w:jc w:val="center"/>
              <w:rPr>
                <w:szCs w:val="24"/>
                <w:highlight w:val="yellow"/>
              </w:rPr>
            </w:pPr>
            <w:r>
              <w:t>–</w:t>
            </w:r>
          </w:p>
        </w:tc>
        <w:tc>
          <w:tcPr>
            <w:tcW w:w="1276" w:type="dxa"/>
            <w:tcBorders>
              <w:top w:val="single" w:sz="4" w:space="0" w:color="auto"/>
              <w:left w:val="single" w:sz="4" w:space="0" w:color="auto"/>
              <w:bottom w:val="single" w:sz="4" w:space="0" w:color="auto"/>
              <w:right w:val="single" w:sz="4" w:space="0" w:color="auto"/>
            </w:tcBorders>
            <w:hideMark/>
          </w:tcPr>
          <w:p w14:paraId="2B1C1E2B" w14:textId="77777777" w:rsidR="00381469" w:rsidRDefault="00381469">
            <w:pPr>
              <w:jc w:val="center"/>
              <w:rPr>
                <w:szCs w:val="24"/>
                <w:highlight w:val="yellow"/>
              </w:rPr>
            </w:pPr>
            <w:r>
              <w:t>–</w:t>
            </w:r>
          </w:p>
        </w:tc>
        <w:tc>
          <w:tcPr>
            <w:tcW w:w="1275" w:type="dxa"/>
            <w:tcBorders>
              <w:top w:val="single" w:sz="4" w:space="0" w:color="auto"/>
              <w:left w:val="single" w:sz="4" w:space="0" w:color="auto"/>
              <w:bottom w:val="single" w:sz="4" w:space="0" w:color="auto"/>
              <w:right w:val="single" w:sz="4" w:space="0" w:color="auto"/>
            </w:tcBorders>
            <w:hideMark/>
          </w:tcPr>
          <w:p w14:paraId="70BE1F2D" w14:textId="77777777" w:rsidR="00381469" w:rsidRDefault="00381469">
            <w:pPr>
              <w:jc w:val="center"/>
              <w:rPr>
                <w:szCs w:val="24"/>
                <w:highlight w:val="yellow"/>
              </w:rPr>
            </w:pPr>
            <w:r>
              <w:t>–</w:t>
            </w:r>
          </w:p>
        </w:tc>
        <w:tc>
          <w:tcPr>
            <w:tcW w:w="1985" w:type="dxa"/>
            <w:tcBorders>
              <w:top w:val="single" w:sz="4" w:space="0" w:color="auto"/>
              <w:left w:val="single" w:sz="4" w:space="0" w:color="auto"/>
              <w:bottom w:val="single" w:sz="4" w:space="0" w:color="auto"/>
              <w:right w:val="single" w:sz="4" w:space="0" w:color="auto"/>
            </w:tcBorders>
            <w:hideMark/>
          </w:tcPr>
          <w:p w14:paraId="48BEED18" w14:textId="77777777" w:rsidR="00381469" w:rsidRDefault="00381469">
            <w:pPr>
              <w:jc w:val="center"/>
              <w:rPr>
                <w:szCs w:val="24"/>
                <w:highlight w:val="yellow"/>
              </w:rPr>
            </w:pPr>
            <w:r>
              <w:t>–</w:t>
            </w:r>
          </w:p>
        </w:tc>
      </w:tr>
      <w:tr w:rsidR="00381469" w14:paraId="4242FF06" w14:textId="77777777" w:rsidTr="00381469">
        <w:trPr>
          <w:trHeight w:val="20"/>
        </w:trPr>
        <w:tc>
          <w:tcPr>
            <w:tcW w:w="2093" w:type="dxa"/>
            <w:vMerge/>
            <w:tcBorders>
              <w:top w:val="nil"/>
              <w:left w:val="single" w:sz="4" w:space="0" w:color="auto"/>
              <w:bottom w:val="nil"/>
              <w:right w:val="single" w:sz="4" w:space="0" w:color="auto"/>
            </w:tcBorders>
            <w:vAlign w:val="center"/>
            <w:hideMark/>
          </w:tcPr>
          <w:p w14:paraId="480DF16E" w14:textId="77777777" w:rsidR="00381469" w:rsidRDefault="00381469">
            <w:pPr>
              <w:rPr>
                <w:lang w:val="en-US"/>
              </w:rPr>
            </w:pPr>
          </w:p>
        </w:tc>
        <w:tc>
          <w:tcPr>
            <w:tcW w:w="2977" w:type="dxa"/>
            <w:tcBorders>
              <w:top w:val="single" w:sz="4" w:space="0" w:color="auto"/>
              <w:left w:val="single" w:sz="4" w:space="0" w:color="auto"/>
              <w:bottom w:val="single" w:sz="4" w:space="0" w:color="auto"/>
              <w:right w:val="single" w:sz="4" w:space="0" w:color="auto"/>
            </w:tcBorders>
            <w:hideMark/>
          </w:tcPr>
          <w:p w14:paraId="59F3E3FF" w14:textId="77777777" w:rsidR="00381469" w:rsidRDefault="00381469">
            <w:pPr>
              <w:rPr>
                <w:szCs w:val="24"/>
              </w:rPr>
            </w:pPr>
            <w:r>
              <w:rPr>
                <w:szCs w:val="24"/>
              </w:rPr>
              <w:t xml:space="preserve">2.8. stiprinti invazinių bakterinių infekcijų (meningokokinė, pneumokokinė, </w:t>
            </w:r>
            <w:proofErr w:type="spellStart"/>
            <w:r>
              <w:rPr>
                <w:i/>
                <w:szCs w:val="24"/>
              </w:rPr>
              <w:t>Haemophilus</w:t>
            </w:r>
            <w:proofErr w:type="spellEnd"/>
            <w:r>
              <w:rPr>
                <w:i/>
                <w:szCs w:val="24"/>
              </w:rPr>
              <w:t xml:space="preserve"> </w:t>
            </w:r>
            <w:proofErr w:type="spellStart"/>
            <w:r>
              <w:rPr>
                <w:i/>
                <w:szCs w:val="24"/>
              </w:rPr>
              <w:t>influenzae</w:t>
            </w:r>
            <w:proofErr w:type="spellEnd"/>
            <w:r>
              <w:rPr>
                <w:szCs w:val="24"/>
              </w:rPr>
              <w:t xml:space="preserve"> infekcijos) laboratorinę priežiūrą ir užtikrinti sukėlėjų tipavimą ir (ar) </w:t>
            </w:r>
            <w:proofErr w:type="spellStart"/>
            <w:r>
              <w:rPr>
                <w:szCs w:val="24"/>
              </w:rPr>
              <w:t>genotipavimą</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7C7EA212" w14:textId="77777777" w:rsidR="00381469" w:rsidRDefault="00381469">
            <w:pPr>
              <w:tabs>
                <w:tab w:val="left" w:pos="540"/>
              </w:tabs>
              <w:rPr>
                <w:szCs w:val="24"/>
              </w:rPr>
            </w:pPr>
            <w:r>
              <w:rPr>
                <w:szCs w:val="24"/>
              </w:rPr>
              <w:t>Nacionalinė visuomenės sveikatos priežiūros laboratorija,</w:t>
            </w:r>
          </w:p>
          <w:p w14:paraId="211C9715" w14:textId="77777777" w:rsidR="00381469" w:rsidRDefault="00381469">
            <w:pPr>
              <w:tabs>
                <w:tab w:val="left" w:pos="540"/>
              </w:tabs>
              <w:rPr>
                <w:szCs w:val="24"/>
              </w:rPr>
            </w:pPr>
            <w:r>
              <w:rPr>
                <w:szCs w:val="24"/>
              </w:rPr>
              <w:t>Nacionalinis visuomenės sveikatos centras prie Sveikatos apsaugos ministerijos</w:t>
            </w:r>
          </w:p>
        </w:tc>
        <w:tc>
          <w:tcPr>
            <w:tcW w:w="1134" w:type="dxa"/>
            <w:tcBorders>
              <w:top w:val="single" w:sz="4" w:space="0" w:color="auto"/>
              <w:left w:val="single" w:sz="4" w:space="0" w:color="auto"/>
              <w:bottom w:val="single" w:sz="4" w:space="0" w:color="auto"/>
              <w:right w:val="single" w:sz="4" w:space="0" w:color="auto"/>
            </w:tcBorders>
            <w:hideMark/>
          </w:tcPr>
          <w:p w14:paraId="60DCD4EC" w14:textId="77777777" w:rsidR="00381469" w:rsidRDefault="00381469">
            <w:pPr>
              <w:tabs>
                <w:tab w:val="left" w:pos="0"/>
              </w:tabs>
              <w:rPr>
                <w:szCs w:val="24"/>
                <w:highlight w:val="yellow"/>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12E148D7" w14:textId="77777777" w:rsidR="00381469" w:rsidRDefault="00381469">
            <w:pPr>
              <w:jc w:val="center"/>
              <w:rPr>
                <w:szCs w:val="24"/>
                <w:highlight w:val="yellow"/>
              </w:rPr>
            </w:pPr>
            <w:r>
              <w:t>–</w:t>
            </w:r>
          </w:p>
        </w:tc>
        <w:tc>
          <w:tcPr>
            <w:tcW w:w="1276" w:type="dxa"/>
            <w:tcBorders>
              <w:top w:val="single" w:sz="4" w:space="0" w:color="auto"/>
              <w:left w:val="single" w:sz="4" w:space="0" w:color="auto"/>
              <w:bottom w:val="single" w:sz="4" w:space="0" w:color="auto"/>
              <w:right w:val="single" w:sz="4" w:space="0" w:color="auto"/>
            </w:tcBorders>
            <w:hideMark/>
          </w:tcPr>
          <w:p w14:paraId="67B4112E" w14:textId="77777777" w:rsidR="00381469" w:rsidRDefault="00381469">
            <w:pPr>
              <w:jc w:val="center"/>
              <w:rPr>
                <w:szCs w:val="24"/>
                <w:highlight w:val="yellow"/>
              </w:rPr>
            </w:pPr>
            <w:r>
              <w:t>–</w:t>
            </w:r>
          </w:p>
        </w:tc>
        <w:tc>
          <w:tcPr>
            <w:tcW w:w="1275" w:type="dxa"/>
            <w:tcBorders>
              <w:top w:val="single" w:sz="4" w:space="0" w:color="auto"/>
              <w:left w:val="single" w:sz="4" w:space="0" w:color="auto"/>
              <w:bottom w:val="single" w:sz="4" w:space="0" w:color="auto"/>
              <w:right w:val="single" w:sz="4" w:space="0" w:color="auto"/>
            </w:tcBorders>
            <w:hideMark/>
          </w:tcPr>
          <w:p w14:paraId="020410F1" w14:textId="77777777" w:rsidR="00381469" w:rsidRDefault="00381469">
            <w:pPr>
              <w:jc w:val="center"/>
              <w:rPr>
                <w:szCs w:val="24"/>
                <w:highlight w:val="yellow"/>
              </w:rPr>
            </w:pPr>
            <w:r>
              <w:t>–</w:t>
            </w:r>
          </w:p>
        </w:tc>
        <w:tc>
          <w:tcPr>
            <w:tcW w:w="1985" w:type="dxa"/>
            <w:tcBorders>
              <w:top w:val="single" w:sz="4" w:space="0" w:color="auto"/>
              <w:left w:val="single" w:sz="4" w:space="0" w:color="auto"/>
              <w:bottom w:val="single" w:sz="4" w:space="0" w:color="auto"/>
              <w:right w:val="single" w:sz="4" w:space="0" w:color="auto"/>
            </w:tcBorders>
            <w:hideMark/>
          </w:tcPr>
          <w:p w14:paraId="710AB15C" w14:textId="77777777" w:rsidR="00381469" w:rsidRDefault="00381469">
            <w:pPr>
              <w:jc w:val="center"/>
              <w:rPr>
                <w:szCs w:val="24"/>
                <w:highlight w:val="yellow"/>
              </w:rPr>
            </w:pPr>
            <w:r>
              <w:t>–</w:t>
            </w:r>
          </w:p>
        </w:tc>
      </w:tr>
      <w:tr w:rsidR="00381469" w14:paraId="4F34BA99" w14:textId="77777777" w:rsidTr="00381469">
        <w:trPr>
          <w:trHeight w:val="20"/>
        </w:trPr>
        <w:tc>
          <w:tcPr>
            <w:tcW w:w="2093" w:type="dxa"/>
            <w:tcBorders>
              <w:top w:val="nil"/>
              <w:left w:val="single" w:sz="4" w:space="0" w:color="auto"/>
              <w:bottom w:val="nil"/>
              <w:right w:val="single" w:sz="4" w:space="0" w:color="auto"/>
            </w:tcBorders>
          </w:tcPr>
          <w:p w14:paraId="1F3E6977"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3860BD5E" w14:textId="77777777" w:rsidR="00381469" w:rsidRDefault="00381469">
            <w:r>
              <w:t xml:space="preserve">2.9. atlikti gripo vakcinacijos aprėpčių didinimui taikomų </w:t>
            </w:r>
            <w:r>
              <w:lastRenderedPageBreak/>
              <w:t>intervencijų veiksmingumo vertinimą</w:t>
            </w:r>
          </w:p>
        </w:tc>
        <w:tc>
          <w:tcPr>
            <w:tcW w:w="3118" w:type="dxa"/>
            <w:tcBorders>
              <w:top w:val="single" w:sz="4" w:space="0" w:color="auto"/>
              <w:left w:val="single" w:sz="4" w:space="0" w:color="auto"/>
              <w:bottom w:val="single" w:sz="4" w:space="0" w:color="auto"/>
              <w:right w:val="single" w:sz="4" w:space="0" w:color="auto"/>
            </w:tcBorders>
            <w:hideMark/>
          </w:tcPr>
          <w:p w14:paraId="724D8F65" w14:textId="77777777" w:rsidR="00381469" w:rsidRDefault="00381469">
            <w:pPr>
              <w:tabs>
                <w:tab w:val="left" w:pos="540"/>
              </w:tabs>
              <w:rPr>
                <w:szCs w:val="24"/>
              </w:rPr>
            </w:pPr>
            <w:r>
              <w:rPr>
                <w:szCs w:val="24"/>
              </w:rPr>
              <w:lastRenderedPageBreak/>
              <w:t>Higienos institutas,</w:t>
            </w:r>
          </w:p>
          <w:p w14:paraId="24830423" w14:textId="77777777" w:rsidR="00381469" w:rsidRDefault="00381469">
            <w:pPr>
              <w:tabs>
                <w:tab w:val="left" w:pos="540"/>
              </w:tabs>
              <w:rPr>
                <w:szCs w:val="24"/>
              </w:rPr>
            </w:pPr>
            <w:r>
              <w:rPr>
                <w:szCs w:val="24"/>
              </w:rPr>
              <w:t xml:space="preserve">Užkrečiamųjų ligų ir AIDS centras, </w:t>
            </w:r>
          </w:p>
          <w:p w14:paraId="51428283" w14:textId="77777777" w:rsidR="00381469" w:rsidRDefault="00381469">
            <w:pPr>
              <w:tabs>
                <w:tab w:val="left" w:pos="540"/>
              </w:tabs>
              <w:rPr>
                <w:szCs w:val="24"/>
              </w:rPr>
            </w:pPr>
            <w:r>
              <w:rPr>
                <w:szCs w:val="24"/>
              </w:rPr>
              <w:lastRenderedPageBreak/>
              <w:t>Nacionalinis visuomenės sveikatos centras prie Sveikatos apsaugos ministerijos</w:t>
            </w:r>
          </w:p>
        </w:tc>
        <w:tc>
          <w:tcPr>
            <w:tcW w:w="1134" w:type="dxa"/>
            <w:tcBorders>
              <w:top w:val="single" w:sz="4" w:space="0" w:color="auto"/>
              <w:left w:val="single" w:sz="4" w:space="0" w:color="auto"/>
              <w:bottom w:val="single" w:sz="4" w:space="0" w:color="auto"/>
              <w:right w:val="single" w:sz="4" w:space="0" w:color="auto"/>
            </w:tcBorders>
            <w:hideMark/>
          </w:tcPr>
          <w:p w14:paraId="7F95C695" w14:textId="77777777" w:rsidR="00381469" w:rsidRDefault="00381469">
            <w:pPr>
              <w:tabs>
                <w:tab w:val="left" w:pos="540"/>
              </w:tabs>
              <w:rPr>
                <w:szCs w:val="24"/>
              </w:rPr>
            </w:pPr>
            <w:r>
              <w:rPr>
                <w:szCs w:val="24"/>
              </w:rPr>
              <w:lastRenderedPageBreak/>
              <w:t>2019–2021 metai</w:t>
            </w:r>
          </w:p>
        </w:tc>
        <w:tc>
          <w:tcPr>
            <w:tcW w:w="1276" w:type="dxa"/>
            <w:tcBorders>
              <w:top w:val="single" w:sz="4" w:space="0" w:color="auto"/>
              <w:left w:val="single" w:sz="4" w:space="0" w:color="auto"/>
              <w:bottom w:val="single" w:sz="4" w:space="0" w:color="auto"/>
              <w:right w:val="single" w:sz="4" w:space="0" w:color="auto"/>
            </w:tcBorders>
            <w:hideMark/>
          </w:tcPr>
          <w:p w14:paraId="2FF05105"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160EF47" w14:textId="77777777" w:rsidR="00381469" w:rsidRDefault="003814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EC8550D" w14:textId="77777777" w:rsidR="00381469" w:rsidRDefault="003814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tcPr>
          <w:p w14:paraId="1673C0E5" w14:textId="77777777" w:rsidR="00381469" w:rsidRDefault="00381469">
            <w:pPr>
              <w:jc w:val="center"/>
              <w:rPr>
                <w:szCs w:val="24"/>
              </w:rPr>
            </w:pPr>
            <w:r>
              <w:rPr>
                <w:szCs w:val="24"/>
              </w:rPr>
              <w:t>–</w:t>
            </w:r>
          </w:p>
          <w:p w14:paraId="71BBDDB1" w14:textId="77777777" w:rsidR="00381469" w:rsidRDefault="00381469">
            <w:pPr>
              <w:jc w:val="center"/>
              <w:rPr>
                <w:szCs w:val="24"/>
              </w:rPr>
            </w:pPr>
          </w:p>
        </w:tc>
      </w:tr>
      <w:tr w:rsidR="00381469" w14:paraId="63F94606" w14:textId="77777777" w:rsidTr="00381469">
        <w:trPr>
          <w:trHeight w:val="20"/>
        </w:trPr>
        <w:tc>
          <w:tcPr>
            <w:tcW w:w="2093" w:type="dxa"/>
            <w:tcBorders>
              <w:top w:val="nil"/>
              <w:left w:val="single" w:sz="4" w:space="0" w:color="auto"/>
              <w:bottom w:val="single" w:sz="4" w:space="0" w:color="auto"/>
              <w:right w:val="single" w:sz="4" w:space="0" w:color="auto"/>
            </w:tcBorders>
          </w:tcPr>
          <w:p w14:paraId="34E75D9E"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2AFF4EAA" w14:textId="77777777" w:rsidR="00381469" w:rsidRDefault="00381469">
            <w:pPr>
              <w:rPr>
                <w:szCs w:val="24"/>
              </w:rPr>
            </w:pPr>
            <w:r>
              <w:rPr>
                <w:szCs w:val="24"/>
              </w:rPr>
              <w:t xml:space="preserve">2.10. atlikti skiepijimo efektyvumo vertinimą, pirmiausiai – B tipo meningokokinės infekcijos </w:t>
            </w:r>
          </w:p>
        </w:tc>
        <w:tc>
          <w:tcPr>
            <w:tcW w:w="3118" w:type="dxa"/>
            <w:tcBorders>
              <w:top w:val="single" w:sz="4" w:space="0" w:color="auto"/>
              <w:left w:val="single" w:sz="4" w:space="0" w:color="auto"/>
              <w:bottom w:val="single" w:sz="4" w:space="0" w:color="auto"/>
              <w:right w:val="single" w:sz="4" w:space="0" w:color="auto"/>
            </w:tcBorders>
            <w:hideMark/>
          </w:tcPr>
          <w:p w14:paraId="1F79A88D" w14:textId="77777777" w:rsidR="00381469" w:rsidRDefault="00381469">
            <w:pPr>
              <w:tabs>
                <w:tab w:val="left" w:pos="540"/>
              </w:tabs>
              <w:rPr>
                <w:szCs w:val="24"/>
              </w:rPr>
            </w:pPr>
            <w:r>
              <w:rPr>
                <w:szCs w:val="24"/>
              </w:rPr>
              <w:t>Sveikatos apsaugos ministerija,</w:t>
            </w:r>
          </w:p>
          <w:p w14:paraId="1943E611" w14:textId="77777777" w:rsidR="00381469" w:rsidRDefault="00381469">
            <w:pPr>
              <w:tabs>
                <w:tab w:val="left" w:pos="540"/>
              </w:tabs>
              <w:rPr>
                <w:szCs w:val="24"/>
              </w:rPr>
            </w:pPr>
            <w:r>
              <w:rPr>
                <w:szCs w:val="24"/>
              </w:rPr>
              <w:t>Valstybinė ligonių kasa prie Sveikatos apsaugos ministerijos,</w:t>
            </w:r>
          </w:p>
          <w:p w14:paraId="5CDDE088" w14:textId="77777777" w:rsidR="00381469" w:rsidRDefault="00381469">
            <w:pPr>
              <w:tabs>
                <w:tab w:val="left" w:pos="540"/>
              </w:tabs>
              <w:rPr>
                <w:szCs w:val="24"/>
              </w:rPr>
            </w:pPr>
            <w:r>
              <w:rPr>
                <w:szCs w:val="24"/>
              </w:rPr>
              <w:t>Užkrečiamųjų ligų ir AIDS centras,</w:t>
            </w:r>
          </w:p>
          <w:p w14:paraId="46FBB0C0" w14:textId="77777777" w:rsidR="00381469" w:rsidRDefault="00381469">
            <w:pPr>
              <w:tabs>
                <w:tab w:val="left" w:pos="540"/>
              </w:tabs>
              <w:rPr>
                <w:szCs w:val="24"/>
              </w:rPr>
            </w:pPr>
            <w:r>
              <w:rPr>
                <w:szCs w:val="24"/>
              </w:rPr>
              <w:t>Nacionalinis visuomenės sveikatos centras prie Sveikatos apsaugos ministerijos,</w:t>
            </w:r>
          </w:p>
        </w:tc>
        <w:tc>
          <w:tcPr>
            <w:tcW w:w="1134" w:type="dxa"/>
            <w:tcBorders>
              <w:top w:val="single" w:sz="4" w:space="0" w:color="auto"/>
              <w:left w:val="single" w:sz="4" w:space="0" w:color="auto"/>
              <w:bottom w:val="single" w:sz="4" w:space="0" w:color="auto"/>
              <w:right w:val="single" w:sz="4" w:space="0" w:color="auto"/>
            </w:tcBorders>
            <w:hideMark/>
          </w:tcPr>
          <w:p w14:paraId="40B88C71" w14:textId="77777777" w:rsidR="00381469" w:rsidRDefault="00381469">
            <w:pPr>
              <w:tabs>
                <w:tab w:val="left" w:pos="0"/>
              </w:tabs>
              <w:rPr>
                <w:szCs w:val="24"/>
              </w:rPr>
            </w:pPr>
            <w:r>
              <w:rPr>
                <w:szCs w:val="24"/>
              </w:rPr>
              <w:t>2021 metai</w:t>
            </w:r>
          </w:p>
        </w:tc>
        <w:tc>
          <w:tcPr>
            <w:tcW w:w="1276" w:type="dxa"/>
            <w:tcBorders>
              <w:top w:val="single" w:sz="4" w:space="0" w:color="auto"/>
              <w:left w:val="single" w:sz="4" w:space="0" w:color="auto"/>
              <w:bottom w:val="single" w:sz="4" w:space="0" w:color="auto"/>
              <w:right w:val="single" w:sz="4" w:space="0" w:color="auto"/>
            </w:tcBorders>
            <w:hideMark/>
          </w:tcPr>
          <w:p w14:paraId="02F0AAF7" w14:textId="77777777" w:rsidR="00381469" w:rsidRDefault="00381469">
            <w:pPr>
              <w:jc w:val="center"/>
              <w:rPr>
                <w:szCs w:val="24"/>
                <w:highlight w:val="yellow"/>
              </w:rPr>
            </w:pPr>
            <w:r>
              <w:t>–</w:t>
            </w:r>
          </w:p>
        </w:tc>
        <w:tc>
          <w:tcPr>
            <w:tcW w:w="1276" w:type="dxa"/>
            <w:tcBorders>
              <w:top w:val="single" w:sz="4" w:space="0" w:color="auto"/>
              <w:left w:val="single" w:sz="4" w:space="0" w:color="auto"/>
              <w:bottom w:val="single" w:sz="4" w:space="0" w:color="auto"/>
              <w:right w:val="single" w:sz="4" w:space="0" w:color="auto"/>
            </w:tcBorders>
            <w:hideMark/>
          </w:tcPr>
          <w:p w14:paraId="65DB6606" w14:textId="77777777" w:rsidR="00381469" w:rsidRDefault="00381469">
            <w:pPr>
              <w:jc w:val="center"/>
              <w:rPr>
                <w:szCs w:val="24"/>
                <w:highlight w:val="yellow"/>
              </w:rPr>
            </w:pPr>
            <w:r>
              <w:t>–</w:t>
            </w:r>
          </w:p>
        </w:tc>
        <w:tc>
          <w:tcPr>
            <w:tcW w:w="1275" w:type="dxa"/>
            <w:tcBorders>
              <w:top w:val="single" w:sz="4" w:space="0" w:color="auto"/>
              <w:left w:val="single" w:sz="4" w:space="0" w:color="auto"/>
              <w:bottom w:val="single" w:sz="4" w:space="0" w:color="auto"/>
              <w:right w:val="single" w:sz="4" w:space="0" w:color="auto"/>
            </w:tcBorders>
            <w:hideMark/>
          </w:tcPr>
          <w:p w14:paraId="2CE5D909" w14:textId="77777777" w:rsidR="00381469" w:rsidRDefault="00381469">
            <w:pPr>
              <w:jc w:val="center"/>
              <w:rPr>
                <w:szCs w:val="24"/>
                <w:highlight w:val="yellow"/>
              </w:rPr>
            </w:pPr>
            <w:r>
              <w:t>–</w:t>
            </w:r>
          </w:p>
        </w:tc>
        <w:tc>
          <w:tcPr>
            <w:tcW w:w="1985" w:type="dxa"/>
            <w:tcBorders>
              <w:top w:val="single" w:sz="4" w:space="0" w:color="auto"/>
              <w:left w:val="single" w:sz="4" w:space="0" w:color="auto"/>
              <w:bottom w:val="single" w:sz="4" w:space="0" w:color="auto"/>
              <w:right w:val="single" w:sz="4" w:space="0" w:color="auto"/>
            </w:tcBorders>
            <w:hideMark/>
          </w:tcPr>
          <w:p w14:paraId="08C40B7C" w14:textId="77777777" w:rsidR="00381469" w:rsidRDefault="00381469">
            <w:pPr>
              <w:jc w:val="center"/>
              <w:rPr>
                <w:szCs w:val="24"/>
                <w:highlight w:val="yellow"/>
              </w:rPr>
            </w:pPr>
            <w:r>
              <w:t>–</w:t>
            </w:r>
          </w:p>
        </w:tc>
      </w:tr>
      <w:tr w:rsidR="00381469" w14:paraId="595FA985" w14:textId="77777777" w:rsidTr="00381469">
        <w:trPr>
          <w:trHeight w:val="20"/>
        </w:trPr>
        <w:tc>
          <w:tcPr>
            <w:tcW w:w="2093" w:type="dxa"/>
            <w:vMerge w:val="restart"/>
            <w:tcBorders>
              <w:top w:val="single" w:sz="4" w:space="0" w:color="auto"/>
              <w:left w:val="single" w:sz="4" w:space="0" w:color="auto"/>
              <w:bottom w:val="single" w:sz="4" w:space="0" w:color="auto"/>
              <w:right w:val="single" w:sz="4" w:space="0" w:color="auto"/>
            </w:tcBorders>
          </w:tcPr>
          <w:p w14:paraId="6D0033F0" w14:textId="77777777" w:rsidR="00381469" w:rsidRDefault="00381469">
            <w:pPr>
              <w:rPr>
                <w:szCs w:val="24"/>
              </w:rPr>
            </w:pPr>
            <w:r>
              <w:rPr>
                <w:szCs w:val="24"/>
              </w:rPr>
              <w:t xml:space="preserve">3. </w:t>
            </w:r>
            <w:r>
              <w:t>Mažinti užkrečiamųjų ligų ir jų komplikacijų riziką pažeidžiamose gyventojų grupėse</w:t>
            </w:r>
          </w:p>
          <w:p w14:paraId="3BD55D46" w14:textId="77777777" w:rsidR="00381469" w:rsidRDefault="00381469">
            <w:pPr>
              <w:rPr>
                <w:szCs w:val="24"/>
              </w:rPr>
            </w:pPr>
          </w:p>
          <w:p w14:paraId="03680D3E" w14:textId="77777777" w:rsidR="00381469" w:rsidRDefault="00381469">
            <w:pPr>
              <w:rPr>
                <w:szCs w:val="24"/>
              </w:rPr>
            </w:pPr>
          </w:p>
          <w:p w14:paraId="49D0A996"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6506C3D2" w14:textId="77777777" w:rsidR="00381469" w:rsidRDefault="00381469">
            <w:pPr>
              <w:rPr>
                <w:szCs w:val="24"/>
              </w:rPr>
            </w:pPr>
            <w:r>
              <w:rPr>
                <w:szCs w:val="24"/>
              </w:rPr>
              <w:t>3.1. sudaryti galimybę pasiskiepyti nuo gripo didesniam asmenų, priklausančių rizikos grupėms (</w:t>
            </w:r>
            <w:r>
              <w:t>65 metų ir vyresni asmenys; asmenys, sergantys lėtinėmis ligomis; asmenys, gyvenantys slaugos ir globos įstaigose; sveikatos priežiūros įstaigų darbuotojai; nėščiosios)</w:t>
            </w:r>
            <w:r>
              <w:rPr>
                <w:szCs w:val="24"/>
              </w:rPr>
              <w:t>, skaičiui</w:t>
            </w:r>
          </w:p>
        </w:tc>
        <w:tc>
          <w:tcPr>
            <w:tcW w:w="3118" w:type="dxa"/>
            <w:tcBorders>
              <w:top w:val="single" w:sz="4" w:space="0" w:color="auto"/>
              <w:left w:val="single" w:sz="4" w:space="0" w:color="auto"/>
              <w:bottom w:val="single" w:sz="4" w:space="0" w:color="auto"/>
              <w:right w:val="single" w:sz="4" w:space="0" w:color="auto"/>
            </w:tcBorders>
            <w:hideMark/>
          </w:tcPr>
          <w:p w14:paraId="4F933172" w14:textId="77777777" w:rsidR="00381469" w:rsidRDefault="00381469">
            <w:pPr>
              <w:tabs>
                <w:tab w:val="left" w:pos="540"/>
              </w:tabs>
              <w:rPr>
                <w:szCs w:val="24"/>
              </w:rPr>
            </w:pPr>
            <w:r>
              <w:rPr>
                <w:szCs w:val="24"/>
              </w:rPr>
              <w:t>Sveikatos apsaugos ministerija,</w:t>
            </w:r>
          </w:p>
          <w:p w14:paraId="5CDCBA4E" w14:textId="77777777" w:rsidR="00381469" w:rsidRDefault="00381469">
            <w:pPr>
              <w:tabs>
                <w:tab w:val="left" w:pos="540"/>
              </w:tabs>
              <w:rPr>
                <w:szCs w:val="24"/>
              </w:rPr>
            </w:pPr>
            <w:r>
              <w:rPr>
                <w:szCs w:val="24"/>
              </w:rPr>
              <w:t>Valstybinė ligonių kasa prie Sveikatos apsaugos ministerijos,</w:t>
            </w:r>
          </w:p>
          <w:p w14:paraId="1AE41EA6" w14:textId="77777777" w:rsidR="00381469" w:rsidRDefault="00381469">
            <w:pPr>
              <w:tabs>
                <w:tab w:val="left" w:pos="540"/>
              </w:tabs>
              <w:rPr>
                <w:szCs w:val="24"/>
              </w:rPr>
            </w:pPr>
            <w:r>
              <w:rPr>
                <w:szCs w:val="24"/>
              </w:rPr>
              <w:t>Užkrečiamųjų ligų ir AIDS centras,</w:t>
            </w:r>
          </w:p>
          <w:p w14:paraId="3C7897C1" w14:textId="77777777" w:rsidR="00381469" w:rsidRDefault="00381469">
            <w:pPr>
              <w:tabs>
                <w:tab w:val="left" w:pos="540"/>
              </w:tabs>
              <w:rPr>
                <w:szCs w:val="24"/>
              </w:rPr>
            </w:pPr>
            <w:r>
              <w:rPr>
                <w:szCs w:val="24"/>
              </w:rPr>
              <w:t>Nacionalinis visuomenės sveikatos centras prie Sveikatos apsaugos ministerijos,</w:t>
            </w:r>
          </w:p>
          <w:p w14:paraId="79628B98" w14:textId="77777777" w:rsidR="00381469" w:rsidRDefault="00381469">
            <w:pPr>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5492472B"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0AC12DB1"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0029673"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E5287A0"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6F29FAC3"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p w14:paraId="3885EB6C" w14:textId="77777777" w:rsidR="00381469" w:rsidRDefault="00381469">
            <w:pPr>
              <w:jc w:val="center"/>
              <w:rPr>
                <w:szCs w:val="24"/>
              </w:rPr>
            </w:pPr>
          </w:p>
          <w:p w14:paraId="04A56D53" w14:textId="77777777" w:rsidR="00381469" w:rsidRDefault="00381469">
            <w:pPr>
              <w:jc w:val="center"/>
              <w:rPr>
                <w:szCs w:val="24"/>
              </w:rPr>
            </w:pPr>
          </w:p>
        </w:tc>
      </w:tr>
      <w:tr w:rsidR="00381469" w14:paraId="03F436AB" w14:textId="77777777" w:rsidTr="00381469">
        <w:trPr>
          <w:trHeight w:val="20"/>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5F73F23"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393E0A2A" w14:textId="77777777" w:rsidR="00381469" w:rsidRDefault="00381469">
            <w:pPr>
              <w:rPr>
                <w:szCs w:val="24"/>
              </w:rPr>
            </w:pPr>
            <w:r>
              <w:rPr>
                <w:szCs w:val="24"/>
              </w:rPr>
              <w:t xml:space="preserve">3.2. įvertinus tarptautinių organizacijų rekomendacijas, mokslo įrodymus, papildyti gripo rizikos grupių, kurioms priklausantys asmenys skiepijami valstybės lėšomis, sąrašą bei atitinkamai koreguoti teisės aktus  </w:t>
            </w:r>
          </w:p>
        </w:tc>
        <w:tc>
          <w:tcPr>
            <w:tcW w:w="3118" w:type="dxa"/>
            <w:tcBorders>
              <w:top w:val="single" w:sz="4" w:space="0" w:color="auto"/>
              <w:left w:val="single" w:sz="4" w:space="0" w:color="auto"/>
              <w:bottom w:val="single" w:sz="4" w:space="0" w:color="auto"/>
              <w:right w:val="single" w:sz="4" w:space="0" w:color="auto"/>
            </w:tcBorders>
            <w:hideMark/>
          </w:tcPr>
          <w:p w14:paraId="1C18CF0B" w14:textId="77777777" w:rsidR="00381469" w:rsidRDefault="00381469">
            <w:pPr>
              <w:tabs>
                <w:tab w:val="left" w:pos="540"/>
              </w:tabs>
              <w:rPr>
                <w:szCs w:val="24"/>
              </w:rPr>
            </w:pPr>
            <w:r>
              <w:rPr>
                <w:szCs w:val="24"/>
              </w:rPr>
              <w:t>Sveikatos apsaugos ministerija,</w:t>
            </w:r>
          </w:p>
          <w:p w14:paraId="7ECB8E0B" w14:textId="77777777" w:rsidR="00381469" w:rsidRDefault="00381469">
            <w:pPr>
              <w:tabs>
                <w:tab w:val="left" w:pos="540"/>
              </w:tabs>
              <w:rPr>
                <w:szCs w:val="24"/>
              </w:rPr>
            </w:pPr>
            <w:r>
              <w:rPr>
                <w:szCs w:val="24"/>
              </w:rPr>
              <w:t>Valstybinė ligonių kasa prie Sveikatos apsaugos ministerijos,</w:t>
            </w:r>
          </w:p>
          <w:p w14:paraId="62152CE9" w14:textId="77777777" w:rsidR="00381469" w:rsidRDefault="00381469">
            <w:pPr>
              <w:tabs>
                <w:tab w:val="left" w:pos="540"/>
              </w:tabs>
              <w:rPr>
                <w:szCs w:val="24"/>
              </w:rPr>
            </w:pPr>
            <w:r>
              <w:rPr>
                <w:szCs w:val="24"/>
              </w:rPr>
              <w:t>Užkrečiamųjų ligų ir AIDS centras</w:t>
            </w:r>
          </w:p>
        </w:tc>
        <w:tc>
          <w:tcPr>
            <w:tcW w:w="1134" w:type="dxa"/>
            <w:tcBorders>
              <w:top w:val="single" w:sz="4" w:space="0" w:color="auto"/>
              <w:left w:val="single" w:sz="4" w:space="0" w:color="auto"/>
              <w:bottom w:val="single" w:sz="4" w:space="0" w:color="auto"/>
              <w:right w:val="single" w:sz="4" w:space="0" w:color="auto"/>
            </w:tcBorders>
            <w:hideMark/>
          </w:tcPr>
          <w:p w14:paraId="6168DCA8" w14:textId="77777777" w:rsidR="00381469" w:rsidRDefault="00381469">
            <w:pPr>
              <w:tabs>
                <w:tab w:val="left" w:pos="540"/>
              </w:tabs>
              <w:rPr>
                <w:szCs w:val="24"/>
              </w:rPr>
            </w:pPr>
            <w:r>
              <w:rPr>
                <w:szCs w:val="24"/>
              </w:rPr>
              <w:t>2019 metai</w:t>
            </w:r>
          </w:p>
        </w:tc>
        <w:tc>
          <w:tcPr>
            <w:tcW w:w="1276" w:type="dxa"/>
            <w:tcBorders>
              <w:top w:val="single" w:sz="4" w:space="0" w:color="auto"/>
              <w:left w:val="single" w:sz="4" w:space="0" w:color="auto"/>
              <w:bottom w:val="single" w:sz="4" w:space="0" w:color="auto"/>
              <w:right w:val="single" w:sz="4" w:space="0" w:color="auto"/>
            </w:tcBorders>
            <w:hideMark/>
          </w:tcPr>
          <w:p w14:paraId="0EE5F618"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71EC120"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1E3AA43"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7607AAAC"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p w14:paraId="1F2B7CA0" w14:textId="77777777" w:rsidR="00381469" w:rsidRDefault="00381469">
            <w:pPr>
              <w:jc w:val="center"/>
              <w:rPr>
                <w:szCs w:val="24"/>
              </w:rPr>
            </w:pPr>
          </w:p>
          <w:p w14:paraId="6258CE6E" w14:textId="77777777" w:rsidR="00381469" w:rsidRDefault="00381469">
            <w:pPr>
              <w:jc w:val="center"/>
              <w:rPr>
                <w:szCs w:val="24"/>
              </w:rPr>
            </w:pPr>
          </w:p>
        </w:tc>
      </w:tr>
      <w:tr w:rsidR="00381469" w14:paraId="79534294" w14:textId="77777777" w:rsidTr="00381469">
        <w:trPr>
          <w:trHeight w:val="20"/>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AE1F664"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59B643FA" w14:textId="77777777" w:rsidR="00381469" w:rsidRDefault="00381469">
            <w:pPr>
              <w:rPr>
                <w:szCs w:val="24"/>
              </w:rPr>
            </w:pPr>
            <w:r>
              <w:rPr>
                <w:szCs w:val="24"/>
              </w:rPr>
              <w:t xml:space="preserve">3.3. skiepyti rizikos grupių asmenis (vaikus ir suaugusiuosius) nuo pneumokokinės infekcijos </w:t>
            </w:r>
          </w:p>
        </w:tc>
        <w:tc>
          <w:tcPr>
            <w:tcW w:w="3118" w:type="dxa"/>
            <w:tcBorders>
              <w:top w:val="single" w:sz="4" w:space="0" w:color="auto"/>
              <w:left w:val="single" w:sz="4" w:space="0" w:color="auto"/>
              <w:bottom w:val="single" w:sz="4" w:space="0" w:color="auto"/>
              <w:right w:val="single" w:sz="4" w:space="0" w:color="auto"/>
            </w:tcBorders>
            <w:hideMark/>
          </w:tcPr>
          <w:p w14:paraId="405AAC01" w14:textId="77777777" w:rsidR="00381469" w:rsidRDefault="00381469">
            <w:pPr>
              <w:tabs>
                <w:tab w:val="left" w:pos="540"/>
              </w:tabs>
              <w:rPr>
                <w:szCs w:val="24"/>
              </w:rPr>
            </w:pPr>
            <w:r>
              <w:rPr>
                <w:szCs w:val="24"/>
              </w:rPr>
              <w:t xml:space="preserve">Sveikatos apsaugos ministerija, </w:t>
            </w:r>
          </w:p>
          <w:p w14:paraId="71858890" w14:textId="77777777" w:rsidR="00381469" w:rsidRDefault="00381469">
            <w:pPr>
              <w:tabs>
                <w:tab w:val="left" w:pos="540"/>
              </w:tabs>
              <w:rPr>
                <w:szCs w:val="24"/>
              </w:rPr>
            </w:pPr>
            <w:r>
              <w:rPr>
                <w:szCs w:val="24"/>
              </w:rPr>
              <w:t>Valstybinė ligonių kasa prie Sveikatos apsaugos ministerijos,</w:t>
            </w:r>
          </w:p>
          <w:p w14:paraId="2AD4F33A" w14:textId="77777777" w:rsidR="00381469" w:rsidRDefault="00381469">
            <w:pPr>
              <w:tabs>
                <w:tab w:val="left" w:pos="540"/>
              </w:tabs>
              <w:rPr>
                <w:szCs w:val="24"/>
              </w:rPr>
            </w:pPr>
            <w:r>
              <w:rPr>
                <w:szCs w:val="24"/>
              </w:rPr>
              <w:t>Užkrečiamųjų ligų ir AIDS centras,</w:t>
            </w:r>
          </w:p>
          <w:p w14:paraId="4683B5BC" w14:textId="77777777" w:rsidR="00381469" w:rsidRDefault="00381469">
            <w:pPr>
              <w:tabs>
                <w:tab w:val="left" w:pos="540"/>
              </w:tabs>
              <w:rPr>
                <w:szCs w:val="24"/>
              </w:rPr>
            </w:pPr>
            <w:r>
              <w:rPr>
                <w:szCs w:val="24"/>
              </w:rPr>
              <w:t>Nacionalinis visuomenės sveikatos centras prie Sveikatos apsaugos ministerijos,</w:t>
            </w:r>
          </w:p>
          <w:p w14:paraId="45DFD9F1" w14:textId="77777777" w:rsidR="00381469" w:rsidRDefault="00381469">
            <w:pPr>
              <w:tabs>
                <w:tab w:val="left" w:pos="540"/>
              </w:tabs>
              <w:rPr>
                <w:szCs w:val="24"/>
              </w:rPr>
            </w:pPr>
            <w:r>
              <w:rPr>
                <w:szCs w:val="24"/>
              </w:rPr>
              <w:t>asmens sveikatos priežiūros įstaigos</w:t>
            </w:r>
          </w:p>
        </w:tc>
        <w:tc>
          <w:tcPr>
            <w:tcW w:w="1134" w:type="dxa"/>
            <w:tcBorders>
              <w:top w:val="single" w:sz="4" w:space="0" w:color="auto"/>
              <w:left w:val="single" w:sz="4" w:space="0" w:color="auto"/>
              <w:bottom w:val="single" w:sz="4" w:space="0" w:color="auto"/>
              <w:right w:val="single" w:sz="4" w:space="0" w:color="auto"/>
            </w:tcBorders>
            <w:hideMark/>
          </w:tcPr>
          <w:p w14:paraId="37B8DAED" w14:textId="77777777" w:rsidR="00381469" w:rsidRDefault="00381469">
            <w:pPr>
              <w:tabs>
                <w:tab w:val="left" w:pos="540"/>
              </w:tabs>
              <w:rPr>
                <w:szCs w:val="24"/>
              </w:rPr>
            </w:pPr>
            <w:r>
              <w:rPr>
                <w:szCs w:val="24"/>
              </w:rPr>
              <w:t>2019–2021 metai</w:t>
            </w:r>
          </w:p>
        </w:tc>
        <w:tc>
          <w:tcPr>
            <w:tcW w:w="1276" w:type="dxa"/>
            <w:tcBorders>
              <w:top w:val="single" w:sz="4" w:space="0" w:color="auto"/>
              <w:left w:val="single" w:sz="4" w:space="0" w:color="auto"/>
              <w:bottom w:val="single" w:sz="4" w:space="0" w:color="auto"/>
              <w:right w:val="single" w:sz="4" w:space="0" w:color="auto"/>
            </w:tcBorders>
            <w:hideMark/>
          </w:tcPr>
          <w:p w14:paraId="49B390E9"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8CB1A2F"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72B820E3"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1CD29DED"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p w14:paraId="57015182" w14:textId="77777777" w:rsidR="00381469" w:rsidRDefault="00381469">
            <w:pPr>
              <w:jc w:val="center"/>
              <w:rPr>
                <w:szCs w:val="24"/>
              </w:rPr>
            </w:pPr>
          </w:p>
          <w:p w14:paraId="68A0BBD8" w14:textId="77777777" w:rsidR="00381469" w:rsidRDefault="00381469">
            <w:pPr>
              <w:jc w:val="center"/>
              <w:rPr>
                <w:szCs w:val="24"/>
              </w:rPr>
            </w:pPr>
          </w:p>
        </w:tc>
      </w:tr>
      <w:tr w:rsidR="00381469" w14:paraId="2BA28625" w14:textId="77777777" w:rsidTr="00381469">
        <w:trPr>
          <w:trHeight w:val="20"/>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0A2E244D"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27334D1B" w14:textId="77777777" w:rsidR="00381469" w:rsidRDefault="00381469">
            <w:pPr>
              <w:rPr>
                <w:szCs w:val="24"/>
              </w:rPr>
            </w:pPr>
            <w:r>
              <w:rPr>
                <w:szCs w:val="24"/>
              </w:rPr>
              <w:t xml:space="preserve">3.4. svarstyti 65 metų ir vyresnių asmenų skiepijimą nuo pneumokokinės infekcijos </w:t>
            </w:r>
          </w:p>
        </w:tc>
        <w:tc>
          <w:tcPr>
            <w:tcW w:w="3118" w:type="dxa"/>
            <w:tcBorders>
              <w:top w:val="single" w:sz="4" w:space="0" w:color="auto"/>
              <w:left w:val="single" w:sz="4" w:space="0" w:color="auto"/>
              <w:bottom w:val="single" w:sz="4" w:space="0" w:color="auto"/>
              <w:right w:val="single" w:sz="4" w:space="0" w:color="auto"/>
            </w:tcBorders>
            <w:hideMark/>
          </w:tcPr>
          <w:p w14:paraId="7621C1F2" w14:textId="77777777" w:rsidR="00381469" w:rsidRDefault="00381469">
            <w:r>
              <w:t>Sveikatos apsaugos ministerija,</w:t>
            </w:r>
          </w:p>
          <w:p w14:paraId="081A6983" w14:textId="77777777" w:rsidR="00381469" w:rsidRDefault="00381469">
            <w:pPr>
              <w:tabs>
                <w:tab w:val="left" w:pos="540"/>
              </w:tabs>
              <w:rPr>
                <w:szCs w:val="24"/>
              </w:rPr>
            </w:pPr>
            <w:r>
              <w:t xml:space="preserve">Programos nepriklausomų ekspertų (patarėjų, konsultantų) grupė </w:t>
            </w:r>
          </w:p>
        </w:tc>
        <w:tc>
          <w:tcPr>
            <w:tcW w:w="1134" w:type="dxa"/>
            <w:tcBorders>
              <w:top w:val="single" w:sz="4" w:space="0" w:color="auto"/>
              <w:left w:val="single" w:sz="4" w:space="0" w:color="auto"/>
              <w:bottom w:val="single" w:sz="4" w:space="0" w:color="auto"/>
              <w:right w:val="single" w:sz="4" w:space="0" w:color="auto"/>
            </w:tcBorders>
            <w:hideMark/>
          </w:tcPr>
          <w:p w14:paraId="784E7F28" w14:textId="77777777" w:rsidR="00381469" w:rsidRDefault="00381469">
            <w:pPr>
              <w:tabs>
                <w:tab w:val="left" w:pos="540"/>
              </w:tabs>
              <w:rPr>
                <w:szCs w:val="24"/>
              </w:rPr>
            </w:pPr>
            <w:r>
              <w:rPr>
                <w:szCs w:val="24"/>
              </w:rPr>
              <w:t>2020 metai</w:t>
            </w:r>
          </w:p>
        </w:tc>
        <w:tc>
          <w:tcPr>
            <w:tcW w:w="1276" w:type="dxa"/>
            <w:tcBorders>
              <w:top w:val="single" w:sz="4" w:space="0" w:color="auto"/>
              <w:left w:val="single" w:sz="4" w:space="0" w:color="auto"/>
              <w:bottom w:val="single" w:sz="4" w:space="0" w:color="auto"/>
              <w:right w:val="single" w:sz="4" w:space="0" w:color="auto"/>
            </w:tcBorders>
            <w:hideMark/>
          </w:tcPr>
          <w:p w14:paraId="7671270D"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DF411C9"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475B33CC"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10DEE29E"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p w14:paraId="51A88224" w14:textId="77777777" w:rsidR="00381469" w:rsidRDefault="00381469">
            <w:pPr>
              <w:jc w:val="center"/>
              <w:rPr>
                <w:szCs w:val="24"/>
              </w:rPr>
            </w:pPr>
          </w:p>
          <w:p w14:paraId="48958881" w14:textId="77777777" w:rsidR="00381469" w:rsidRDefault="00381469">
            <w:pPr>
              <w:jc w:val="center"/>
              <w:rPr>
                <w:szCs w:val="24"/>
              </w:rPr>
            </w:pPr>
            <w:r>
              <w:rPr>
                <w:szCs w:val="24"/>
              </w:rPr>
              <w:tab/>
            </w:r>
            <w:r>
              <w:rPr>
                <w:szCs w:val="24"/>
              </w:rPr>
              <w:tab/>
            </w:r>
          </w:p>
        </w:tc>
      </w:tr>
      <w:tr w:rsidR="00381469" w14:paraId="7455B17E" w14:textId="77777777" w:rsidTr="00381469">
        <w:trPr>
          <w:trHeight w:val="20"/>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150105A5" w14:textId="77777777" w:rsidR="00381469" w:rsidRDefault="00381469">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63425A5D" w14:textId="77777777" w:rsidR="00381469" w:rsidRDefault="00381469">
            <w:pPr>
              <w:rPr>
                <w:szCs w:val="24"/>
              </w:rPr>
            </w:pPr>
            <w:r>
              <w:rPr>
                <w:szCs w:val="24"/>
              </w:rPr>
              <w:t xml:space="preserve">3.5. nustatyti erkinio encefalito rizikos grupes, svarstyti jų skiepijimo galimybes </w:t>
            </w:r>
          </w:p>
        </w:tc>
        <w:tc>
          <w:tcPr>
            <w:tcW w:w="3118" w:type="dxa"/>
            <w:tcBorders>
              <w:top w:val="single" w:sz="4" w:space="0" w:color="auto"/>
              <w:left w:val="single" w:sz="4" w:space="0" w:color="auto"/>
              <w:bottom w:val="single" w:sz="4" w:space="0" w:color="auto"/>
              <w:right w:val="single" w:sz="4" w:space="0" w:color="auto"/>
            </w:tcBorders>
            <w:hideMark/>
          </w:tcPr>
          <w:p w14:paraId="0391904F" w14:textId="77777777" w:rsidR="00381469" w:rsidRDefault="00381469">
            <w:r>
              <w:t>Sveikatos apsaugos ministerija,</w:t>
            </w:r>
          </w:p>
          <w:p w14:paraId="0259D71B" w14:textId="77777777" w:rsidR="00381469" w:rsidRDefault="00381469">
            <w:pPr>
              <w:tabs>
                <w:tab w:val="left" w:pos="540"/>
              </w:tabs>
              <w:rPr>
                <w:szCs w:val="24"/>
              </w:rPr>
            </w:pPr>
            <w:r>
              <w:t>Programos nepriklausomų ekspertų (patarėjų, konsultantų) grupė</w:t>
            </w:r>
          </w:p>
        </w:tc>
        <w:tc>
          <w:tcPr>
            <w:tcW w:w="1134" w:type="dxa"/>
            <w:tcBorders>
              <w:top w:val="single" w:sz="4" w:space="0" w:color="auto"/>
              <w:left w:val="single" w:sz="4" w:space="0" w:color="auto"/>
              <w:bottom w:val="single" w:sz="4" w:space="0" w:color="auto"/>
              <w:right w:val="single" w:sz="4" w:space="0" w:color="auto"/>
            </w:tcBorders>
            <w:hideMark/>
          </w:tcPr>
          <w:p w14:paraId="4B9DE752" w14:textId="77777777" w:rsidR="00381469" w:rsidRDefault="00381469">
            <w:pPr>
              <w:tabs>
                <w:tab w:val="left" w:pos="540"/>
              </w:tabs>
              <w:rPr>
                <w:szCs w:val="24"/>
              </w:rPr>
            </w:pPr>
            <w:r>
              <w:rPr>
                <w:szCs w:val="24"/>
              </w:rPr>
              <w:t>2020 metai</w:t>
            </w:r>
          </w:p>
        </w:tc>
        <w:tc>
          <w:tcPr>
            <w:tcW w:w="1276" w:type="dxa"/>
            <w:tcBorders>
              <w:top w:val="single" w:sz="4" w:space="0" w:color="auto"/>
              <w:left w:val="single" w:sz="4" w:space="0" w:color="auto"/>
              <w:bottom w:val="single" w:sz="4" w:space="0" w:color="auto"/>
              <w:right w:val="single" w:sz="4" w:space="0" w:color="auto"/>
            </w:tcBorders>
            <w:hideMark/>
          </w:tcPr>
          <w:p w14:paraId="03C01DB2" w14:textId="77777777" w:rsidR="00381469" w:rsidRDefault="003814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C3FE52A"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A47829B"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tc>
        <w:tc>
          <w:tcPr>
            <w:tcW w:w="1985" w:type="dxa"/>
            <w:tcBorders>
              <w:top w:val="single" w:sz="4" w:space="0" w:color="auto"/>
              <w:left w:val="single" w:sz="4" w:space="0" w:color="auto"/>
              <w:bottom w:val="single" w:sz="4" w:space="0" w:color="auto"/>
              <w:right w:val="single" w:sz="4" w:space="0" w:color="auto"/>
            </w:tcBorders>
          </w:tcPr>
          <w:p w14:paraId="646A4202" w14:textId="77777777" w:rsidR="00381469" w:rsidRDefault="00381469">
            <w:pPr>
              <w:jc w:val="center"/>
              <w:rPr>
                <w:szCs w:val="24"/>
              </w:rPr>
            </w:pPr>
            <w:r>
              <w:rPr>
                <w:szCs w:val="24"/>
              </w:rPr>
              <w:t xml:space="preserve">1.1 </w:t>
            </w:r>
            <w:proofErr w:type="spellStart"/>
            <w:r>
              <w:rPr>
                <w:szCs w:val="24"/>
              </w:rPr>
              <w:t>p</w:t>
            </w:r>
            <w:proofErr w:type="spellEnd"/>
            <w:r>
              <w:rPr>
                <w:szCs w:val="24"/>
              </w:rPr>
              <w:t>.</w:t>
            </w:r>
          </w:p>
          <w:p w14:paraId="5B732E6D" w14:textId="77777777" w:rsidR="00381469" w:rsidRDefault="00381469">
            <w:pPr>
              <w:jc w:val="center"/>
              <w:rPr>
                <w:szCs w:val="24"/>
              </w:rPr>
            </w:pPr>
          </w:p>
          <w:p w14:paraId="6CC8F46C" w14:textId="77777777" w:rsidR="00381469" w:rsidRDefault="00381469">
            <w:pPr>
              <w:jc w:val="center"/>
              <w:rPr>
                <w:szCs w:val="24"/>
              </w:rPr>
            </w:pPr>
          </w:p>
        </w:tc>
      </w:tr>
    </w:tbl>
    <w:p w14:paraId="16871BF2" w14:textId="77777777" w:rsidR="00381469" w:rsidRDefault="00381469" w:rsidP="00381469">
      <w:pPr>
        <w:jc w:val="both"/>
        <w:rPr>
          <w:sz w:val="16"/>
          <w:szCs w:val="16"/>
        </w:rPr>
      </w:pPr>
    </w:p>
    <w:p w14:paraId="5847DF6A" w14:textId="77777777" w:rsidR="00381469" w:rsidRDefault="00381469" w:rsidP="00381469"/>
    <w:p w14:paraId="5852D0CE" w14:textId="69499C01" w:rsidR="00381469" w:rsidRDefault="00381469" w:rsidP="00381469">
      <w:pPr>
        <w:jc w:val="center"/>
        <w:rPr>
          <w:i/>
        </w:rPr>
      </w:pPr>
      <w:r>
        <w:rPr>
          <w:i/>
        </w:rPr>
        <w:t>___________________________________</w:t>
      </w:r>
    </w:p>
    <w:p w14:paraId="116980CE" w14:textId="6E3AE1D8" w:rsidR="00381469" w:rsidRDefault="00381469">
      <w:pPr>
        <w:spacing w:line="276" w:lineRule="auto"/>
        <w:ind w:firstLine="851"/>
        <w:jc w:val="both"/>
        <w:rPr>
          <w:szCs w:val="24"/>
        </w:rPr>
      </w:pPr>
    </w:p>
    <w:p w14:paraId="33AF8E46" w14:textId="77777777" w:rsidR="00381469" w:rsidRDefault="00381469">
      <w:pPr>
        <w:spacing w:line="276" w:lineRule="auto"/>
        <w:ind w:firstLine="851"/>
        <w:jc w:val="both"/>
        <w:rPr>
          <w:szCs w:val="24"/>
        </w:rPr>
        <w:sectPr w:rsidR="00381469" w:rsidSect="00381469">
          <w:pgSz w:w="16838" w:h="11906" w:orient="landscape" w:code="9"/>
          <w:pgMar w:top="1701" w:right="1812" w:bottom="567" w:left="1134" w:header="1134" w:footer="1134" w:gutter="0"/>
          <w:pgNumType w:start="1"/>
          <w:cols w:space="1296"/>
          <w:titlePg/>
          <w:docGrid w:linePitch="326"/>
        </w:sectPr>
      </w:pPr>
    </w:p>
    <w:p w14:paraId="714038A5" w14:textId="77777777" w:rsidR="00381469" w:rsidRDefault="00381469" w:rsidP="00381469">
      <w:pPr>
        <w:tabs>
          <w:tab w:val="left" w:pos="540"/>
          <w:tab w:val="left" w:pos="10915"/>
        </w:tabs>
        <w:ind w:firstLine="6096"/>
        <w:jc w:val="both"/>
        <w:rPr>
          <w:szCs w:val="24"/>
        </w:rPr>
      </w:pPr>
      <w:r>
        <w:rPr>
          <w:szCs w:val="24"/>
        </w:rPr>
        <w:lastRenderedPageBreak/>
        <w:t>Nacionalinės imunoprofilaktikos</w:t>
      </w:r>
    </w:p>
    <w:p w14:paraId="47CA03FB" w14:textId="77777777" w:rsidR="00381469" w:rsidRDefault="00381469" w:rsidP="00381469">
      <w:pPr>
        <w:tabs>
          <w:tab w:val="left" w:pos="540"/>
          <w:tab w:val="left" w:pos="10915"/>
        </w:tabs>
        <w:ind w:firstLine="6096"/>
        <w:jc w:val="both"/>
        <w:rPr>
          <w:szCs w:val="24"/>
        </w:rPr>
      </w:pPr>
      <w:r>
        <w:rPr>
          <w:szCs w:val="24"/>
        </w:rPr>
        <w:t xml:space="preserve">2019–2023 metų programos </w:t>
      </w:r>
    </w:p>
    <w:p w14:paraId="2C079F8F" w14:textId="77777777" w:rsidR="00381469" w:rsidRDefault="00381469" w:rsidP="00381469">
      <w:pPr>
        <w:tabs>
          <w:tab w:val="left" w:pos="540"/>
          <w:tab w:val="left" w:pos="10915"/>
        </w:tabs>
        <w:ind w:firstLine="6096"/>
        <w:jc w:val="both"/>
        <w:rPr>
          <w:szCs w:val="24"/>
        </w:rPr>
      </w:pPr>
      <w:r>
        <w:rPr>
          <w:szCs w:val="24"/>
        </w:rPr>
        <w:t>4 priedas</w:t>
      </w:r>
    </w:p>
    <w:p w14:paraId="3DA14973" w14:textId="77777777" w:rsidR="00381469" w:rsidRDefault="00381469" w:rsidP="00381469">
      <w:pPr>
        <w:tabs>
          <w:tab w:val="left" w:pos="540"/>
          <w:tab w:val="left" w:pos="10915"/>
        </w:tabs>
        <w:jc w:val="both"/>
        <w:rPr>
          <w:szCs w:val="24"/>
        </w:rPr>
      </w:pPr>
    </w:p>
    <w:p w14:paraId="6F8B96B8" w14:textId="77777777" w:rsidR="00381469" w:rsidRDefault="00381469" w:rsidP="00381469">
      <w:pPr>
        <w:jc w:val="both"/>
      </w:pPr>
    </w:p>
    <w:p w14:paraId="5921F7CB" w14:textId="77777777" w:rsidR="00381469" w:rsidRDefault="00381469" w:rsidP="00381469">
      <w:pPr>
        <w:jc w:val="center"/>
        <w:rPr>
          <w:b/>
          <w:szCs w:val="24"/>
        </w:rPr>
      </w:pPr>
      <w:bookmarkStart w:id="1" w:name="_GoBack"/>
      <w:r>
        <w:rPr>
          <w:b/>
          <w:szCs w:val="24"/>
        </w:rPr>
        <w:t>CENTRALIZUOTAI ĮSIGYJAMŲ IMUNINIŲ VAISTINIŲ PREPARATŲ NACIONALINEI IMUNOPROFILAKTIKOS 2019–2023 METŲ PROGRAMAI VYKDYTI SĄRAŠAS</w:t>
      </w:r>
    </w:p>
    <w:bookmarkEnd w:id="1"/>
    <w:p w14:paraId="072C169E" w14:textId="77777777" w:rsidR="00381469" w:rsidRDefault="00381469" w:rsidP="00381469">
      <w:pPr>
        <w:jc w:val="both"/>
      </w:pPr>
    </w:p>
    <w:tbl>
      <w:tblPr>
        <w:tblStyle w:val="Lentelstinklelis"/>
        <w:tblW w:w="0" w:type="auto"/>
        <w:tblInd w:w="0" w:type="dxa"/>
        <w:tblLook w:val="04A0" w:firstRow="1" w:lastRow="0" w:firstColumn="1" w:lastColumn="0" w:noHBand="0" w:noVBand="1"/>
      </w:tblPr>
      <w:tblGrid>
        <w:gridCol w:w="1129"/>
        <w:gridCol w:w="3402"/>
        <w:gridCol w:w="5097"/>
      </w:tblGrid>
      <w:tr w:rsidR="00381469" w:rsidRPr="00381469" w14:paraId="39F479A5"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416C6624" w14:textId="77777777" w:rsidR="00381469" w:rsidRPr="00381469" w:rsidRDefault="00381469">
            <w:pPr>
              <w:jc w:val="both"/>
              <w:rPr>
                <w:rFonts w:ascii="Times New Roman" w:eastAsia="Times New Roman" w:hAnsi="Times New Roman" w:cs="Times New Roman"/>
                <w:sz w:val="24"/>
                <w:szCs w:val="24"/>
              </w:rPr>
            </w:pPr>
            <w:proofErr w:type="spellStart"/>
            <w:r w:rsidRPr="00381469">
              <w:rPr>
                <w:rFonts w:ascii="Times New Roman" w:hAnsi="Times New Roman" w:cs="Times New Roman"/>
                <w:sz w:val="24"/>
                <w:szCs w:val="24"/>
              </w:rPr>
              <w:t>Eil</w:t>
            </w:r>
            <w:proofErr w:type="spellEnd"/>
            <w:r w:rsidRPr="00381469">
              <w:rPr>
                <w:rFonts w:ascii="Times New Roman" w:hAnsi="Times New Roman" w:cs="Times New Roman"/>
                <w:sz w:val="24"/>
                <w:szCs w:val="24"/>
              </w:rPr>
              <w:t xml:space="preserve">. </w:t>
            </w:r>
            <w:proofErr w:type="spellStart"/>
            <w:r w:rsidRPr="00381469">
              <w:rPr>
                <w:rFonts w:ascii="Times New Roman" w:hAnsi="Times New Roman" w:cs="Times New Roman"/>
                <w:sz w:val="24"/>
                <w:szCs w:val="24"/>
              </w:rPr>
              <w:t>Nr</w:t>
            </w:r>
            <w:proofErr w:type="spellEnd"/>
            <w:r w:rsidRPr="00381469">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76975C80" w14:textId="77777777" w:rsidR="00381469" w:rsidRPr="00381469" w:rsidRDefault="00381469">
            <w:pPr>
              <w:jc w:val="center"/>
              <w:rPr>
                <w:rFonts w:ascii="Times New Roman" w:eastAsia="Times New Roman" w:hAnsi="Times New Roman" w:cs="Times New Roman"/>
                <w:sz w:val="24"/>
                <w:szCs w:val="24"/>
              </w:rPr>
            </w:pPr>
            <w:r w:rsidRPr="00381469">
              <w:rPr>
                <w:rFonts w:ascii="Times New Roman" w:hAnsi="Times New Roman" w:cs="Times New Roman"/>
                <w:sz w:val="24"/>
                <w:szCs w:val="24"/>
              </w:rPr>
              <w:t>Imuninis vaistinis preparatas</w:t>
            </w:r>
          </w:p>
        </w:tc>
        <w:tc>
          <w:tcPr>
            <w:tcW w:w="5097" w:type="dxa"/>
            <w:tcBorders>
              <w:top w:val="single" w:sz="4" w:space="0" w:color="auto"/>
              <w:left w:val="single" w:sz="4" w:space="0" w:color="auto"/>
              <w:bottom w:val="single" w:sz="4" w:space="0" w:color="auto"/>
              <w:right w:val="single" w:sz="4" w:space="0" w:color="auto"/>
            </w:tcBorders>
            <w:hideMark/>
          </w:tcPr>
          <w:p w14:paraId="27C48A25" w14:textId="77777777" w:rsidR="00381469" w:rsidRPr="00381469" w:rsidRDefault="00381469">
            <w:pPr>
              <w:jc w:val="center"/>
              <w:rPr>
                <w:rFonts w:ascii="Times New Roman" w:eastAsia="Times New Roman" w:hAnsi="Times New Roman" w:cs="Times New Roman"/>
                <w:sz w:val="24"/>
                <w:szCs w:val="24"/>
              </w:rPr>
            </w:pPr>
            <w:r w:rsidRPr="00381469">
              <w:rPr>
                <w:rFonts w:ascii="Times New Roman" w:hAnsi="Times New Roman" w:cs="Times New Roman"/>
                <w:sz w:val="24"/>
                <w:szCs w:val="24"/>
              </w:rPr>
              <w:t>Skyrimo sąlygos</w:t>
            </w:r>
          </w:p>
        </w:tc>
      </w:tr>
      <w:tr w:rsidR="00381469" w:rsidRPr="00381469" w14:paraId="09BB1B2E"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72EB7E5D"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w:t>
            </w:r>
          </w:p>
        </w:tc>
        <w:tc>
          <w:tcPr>
            <w:tcW w:w="8499" w:type="dxa"/>
            <w:gridSpan w:val="2"/>
            <w:tcBorders>
              <w:top w:val="single" w:sz="4" w:space="0" w:color="auto"/>
              <w:left w:val="single" w:sz="4" w:space="0" w:color="auto"/>
              <w:bottom w:val="single" w:sz="4" w:space="0" w:color="auto"/>
              <w:right w:val="single" w:sz="4" w:space="0" w:color="auto"/>
            </w:tcBorders>
            <w:hideMark/>
          </w:tcPr>
          <w:p w14:paraId="4F5BA44E" w14:textId="77777777" w:rsidR="00381469" w:rsidRPr="00381469" w:rsidRDefault="00381469">
            <w:pPr>
              <w:jc w:val="center"/>
              <w:rPr>
                <w:rFonts w:ascii="Times New Roman" w:eastAsia="Times New Roman" w:hAnsi="Times New Roman" w:cs="Times New Roman"/>
                <w:sz w:val="24"/>
                <w:szCs w:val="24"/>
              </w:rPr>
            </w:pPr>
            <w:r w:rsidRPr="00381469">
              <w:rPr>
                <w:rFonts w:ascii="Times New Roman" w:hAnsi="Times New Roman" w:cs="Times New Roman"/>
                <w:sz w:val="24"/>
                <w:szCs w:val="24"/>
              </w:rPr>
              <w:t>Imuniniai vaistiniai preparatai skiepijimams pagal Lietuvos Respublikos vaikų profilaktinių skiepijimų kalendorių:</w:t>
            </w:r>
          </w:p>
        </w:tc>
      </w:tr>
      <w:tr w:rsidR="00381469" w:rsidRPr="00381469" w14:paraId="695B7C68"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6A0E7B31"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14:paraId="4898EB94"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tuberkuliozės (BCG) vakcina</w:t>
            </w:r>
          </w:p>
        </w:tc>
        <w:tc>
          <w:tcPr>
            <w:tcW w:w="5097" w:type="dxa"/>
            <w:vMerge w:val="restart"/>
            <w:tcBorders>
              <w:top w:val="single" w:sz="4" w:space="0" w:color="auto"/>
              <w:left w:val="single" w:sz="4" w:space="0" w:color="auto"/>
              <w:bottom w:val="single" w:sz="4" w:space="0" w:color="auto"/>
              <w:right w:val="single" w:sz="4" w:space="0" w:color="auto"/>
            </w:tcBorders>
            <w:vAlign w:val="center"/>
          </w:tcPr>
          <w:p w14:paraId="2D92725F"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skiriama pagal Lietuvos Respublikos vaikų profilaktinių skiepijimų kalendorių</w:t>
            </w:r>
          </w:p>
          <w:p w14:paraId="663A65AD" w14:textId="77777777" w:rsidR="00381469" w:rsidRPr="00381469" w:rsidRDefault="00381469">
            <w:pPr>
              <w:rPr>
                <w:rFonts w:ascii="Times New Roman" w:eastAsia="Times New Roman" w:hAnsi="Times New Roman" w:cs="Times New Roman"/>
                <w:sz w:val="24"/>
                <w:szCs w:val="24"/>
              </w:rPr>
            </w:pPr>
          </w:p>
        </w:tc>
      </w:tr>
      <w:tr w:rsidR="00381469" w:rsidRPr="00381469" w14:paraId="60BDD5B5"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75C08475"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14:paraId="75A6852C"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hepatito B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FCED1" w14:textId="77777777" w:rsidR="00381469" w:rsidRPr="00381469" w:rsidRDefault="00381469">
            <w:pPr>
              <w:rPr>
                <w:rFonts w:ascii="Times New Roman" w:eastAsia="Times New Roman" w:hAnsi="Times New Roman" w:cs="Times New Roman"/>
                <w:sz w:val="24"/>
                <w:szCs w:val="24"/>
              </w:rPr>
            </w:pPr>
          </w:p>
        </w:tc>
      </w:tr>
      <w:tr w:rsidR="00381469" w:rsidRPr="00381469" w14:paraId="4F3DCEB0"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6DBC59EB"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14:paraId="6DD26C0D"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kokliušo, difterijos, stabligės, poliomielito, </w:t>
            </w:r>
            <w:r w:rsidRPr="00381469">
              <w:rPr>
                <w:rFonts w:ascii="Times New Roman" w:hAnsi="Times New Roman" w:cs="Times New Roman"/>
                <w:i/>
                <w:sz w:val="24"/>
                <w:szCs w:val="24"/>
              </w:rPr>
              <w:t xml:space="preserve">B tipo </w:t>
            </w:r>
            <w:proofErr w:type="spellStart"/>
            <w:r w:rsidRPr="00381469">
              <w:rPr>
                <w:rFonts w:ascii="Times New Roman" w:hAnsi="Times New Roman" w:cs="Times New Roman"/>
                <w:i/>
                <w:sz w:val="24"/>
                <w:szCs w:val="24"/>
              </w:rPr>
              <w:t>Haemophilus</w:t>
            </w:r>
            <w:proofErr w:type="spellEnd"/>
            <w:r w:rsidRPr="00381469">
              <w:rPr>
                <w:rFonts w:ascii="Times New Roman" w:hAnsi="Times New Roman" w:cs="Times New Roman"/>
                <w:i/>
                <w:sz w:val="24"/>
                <w:szCs w:val="24"/>
              </w:rPr>
              <w:t xml:space="preserve"> </w:t>
            </w:r>
            <w:proofErr w:type="spellStart"/>
            <w:r w:rsidRPr="00381469">
              <w:rPr>
                <w:rFonts w:ascii="Times New Roman" w:hAnsi="Times New Roman" w:cs="Times New Roman"/>
                <w:i/>
                <w:sz w:val="24"/>
                <w:szCs w:val="24"/>
              </w:rPr>
              <w:t>influenzae</w:t>
            </w:r>
            <w:proofErr w:type="spellEnd"/>
            <w:r w:rsidRPr="00381469">
              <w:rPr>
                <w:rFonts w:ascii="Times New Roman" w:hAnsi="Times New Roman" w:cs="Times New Roman"/>
                <w:sz w:val="24"/>
                <w:szCs w:val="24"/>
              </w:rPr>
              <w:t xml:space="preserve"> infekcijos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82D47" w14:textId="77777777" w:rsidR="00381469" w:rsidRPr="00381469" w:rsidRDefault="00381469">
            <w:pPr>
              <w:rPr>
                <w:rFonts w:ascii="Times New Roman" w:eastAsia="Times New Roman" w:hAnsi="Times New Roman" w:cs="Times New Roman"/>
                <w:sz w:val="24"/>
                <w:szCs w:val="24"/>
              </w:rPr>
            </w:pPr>
          </w:p>
        </w:tc>
      </w:tr>
      <w:tr w:rsidR="00381469" w:rsidRPr="00381469" w14:paraId="49D289D8"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112F243C"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14:paraId="588DD3A8"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kokliušo, difterijos, stabligės, poliomielito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DC745" w14:textId="77777777" w:rsidR="00381469" w:rsidRPr="00381469" w:rsidRDefault="00381469">
            <w:pPr>
              <w:rPr>
                <w:rFonts w:ascii="Times New Roman" w:eastAsia="Times New Roman" w:hAnsi="Times New Roman" w:cs="Times New Roman"/>
                <w:sz w:val="24"/>
                <w:szCs w:val="24"/>
              </w:rPr>
            </w:pPr>
          </w:p>
        </w:tc>
      </w:tr>
      <w:tr w:rsidR="00381469" w:rsidRPr="00381469" w14:paraId="16E249BD"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2CFEECE6"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14:paraId="4AD30DB1"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B tipo meningokokinės infekcijos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12CD9" w14:textId="77777777" w:rsidR="00381469" w:rsidRPr="00381469" w:rsidRDefault="00381469">
            <w:pPr>
              <w:rPr>
                <w:rFonts w:ascii="Times New Roman" w:eastAsia="Times New Roman" w:hAnsi="Times New Roman" w:cs="Times New Roman"/>
                <w:sz w:val="24"/>
                <w:szCs w:val="24"/>
              </w:rPr>
            </w:pPr>
          </w:p>
        </w:tc>
      </w:tr>
      <w:tr w:rsidR="00381469" w:rsidRPr="00381469" w14:paraId="531D7EBB"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0233A763"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14:paraId="12A93EA2"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pneumokokinės infekcijos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49324" w14:textId="77777777" w:rsidR="00381469" w:rsidRPr="00381469" w:rsidRDefault="00381469">
            <w:pPr>
              <w:rPr>
                <w:rFonts w:ascii="Times New Roman" w:eastAsia="Times New Roman" w:hAnsi="Times New Roman" w:cs="Times New Roman"/>
                <w:sz w:val="24"/>
                <w:szCs w:val="24"/>
              </w:rPr>
            </w:pPr>
          </w:p>
        </w:tc>
      </w:tr>
      <w:tr w:rsidR="00381469" w:rsidRPr="00381469" w14:paraId="58034F00"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2D939DAF"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hideMark/>
          </w:tcPr>
          <w:p w14:paraId="13151393" w14:textId="77777777" w:rsidR="00381469" w:rsidRPr="00381469" w:rsidRDefault="00381469">
            <w:pPr>
              <w:ind w:firstLine="32"/>
              <w:rPr>
                <w:rFonts w:ascii="Times New Roman" w:eastAsia="Times New Roman" w:hAnsi="Times New Roman" w:cs="Times New Roman"/>
                <w:sz w:val="24"/>
                <w:szCs w:val="24"/>
              </w:rPr>
            </w:pPr>
            <w:proofErr w:type="spellStart"/>
            <w:r w:rsidRPr="00381469">
              <w:rPr>
                <w:rFonts w:ascii="Times New Roman" w:hAnsi="Times New Roman" w:cs="Times New Roman"/>
                <w:sz w:val="24"/>
                <w:szCs w:val="24"/>
              </w:rPr>
              <w:t>rotavirusinės</w:t>
            </w:r>
            <w:proofErr w:type="spellEnd"/>
            <w:r w:rsidRPr="00381469">
              <w:rPr>
                <w:rFonts w:ascii="Times New Roman" w:hAnsi="Times New Roman" w:cs="Times New Roman"/>
                <w:sz w:val="24"/>
                <w:szCs w:val="24"/>
              </w:rPr>
              <w:t xml:space="preserve"> infekcijos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CAF71" w14:textId="77777777" w:rsidR="00381469" w:rsidRPr="00381469" w:rsidRDefault="00381469">
            <w:pPr>
              <w:rPr>
                <w:rFonts w:ascii="Times New Roman" w:eastAsia="Times New Roman" w:hAnsi="Times New Roman" w:cs="Times New Roman"/>
                <w:sz w:val="24"/>
                <w:szCs w:val="24"/>
              </w:rPr>
            </w:pPr>
          </w:p>
        </w:tc>
      </w:tr>
      <w:tr w:rsidR="00381469" w:rsidRPr="00381469" w14:paraId="2F7A5C5F"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11FAA1BF"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hideMark/>
          </w:tcPr>
          <w:p w14:paraId="571BE1B2"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tymų, epideminio parotito raudonukės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E442D" w14:textId="77777777" w:rsidR="00381469" w:rsidRPr="00381469" w:rsidRDefault="00381469">
            <w:pPr>
              <w:rPr>
                <w:rFonts w:ascii="Times New Roman" w:eastAsia="Times New Roman" w:hAnsi="Times New Roman" w:cs="Times New Roman"/>
                <w:sz w:val="24"/>
                <w:szCs w:val="24"/>
              </w:rPr>
            </w:pPr>
          </w:p>
        </w:tc>
      </w:tr>
      <w:tr w:rsidR="00381469" w:rsidRPr="00381469" w14:paraId="4D898996"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0436832E"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14:paraId="3A5326F2"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žmogaus papilomos viruso infekcijos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9E456" w14:textId="77777777" w:rsidR="00381469" w:rsidRPr="00381469" w:rsidRDefault="00381469">
            <w:pPr>
              <w:rPr>
                <w:rFonts w:ascii="Times New Roman" w:eastAsia="Times New Roman" w:hAnsi="Times New Roman" w:cs="Times New Roman"/>
                <w:sz w:val="24"/>
                <w:szCs w:val="24"/>
              </w:rPr>
            </w:pPr>
          </w:p>
        </w:tc>
      </w:tr>
      <w:tr w:rsidR="00381469" w:rsidRPr="00381469" w14:paraId="19B524BC"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3070313C"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w:t>
            </w:r>
          </w:p>
        </w:tc>
        <w:tc>
          <w:tcPr>
            <w:tcW w:w="8499" w:type="dxa"/>
            <w:gridSpan w:val="2"/>
            <w:tcBorders>
              <w:top w:val="single" w:sz="4" w:space="0" w:color="auto"/>
              <w:left w:val="single" w:sz="4" w:space="0" w:color="auto"/>
              <w:bottom w:val="single" w:sz="4" w:space="0" w:color="auto"/>
              <w:right w:val="single" w:sz="4" w:space="0" w:color="auto"/>
            </w:tcBorders>
            <w:hideMark/>
          </w:tcPr>
          <w:p w14:paraId="5B1D9A4B" w14:textId="77777777" w:rsidR="00381469" w:rsidRPr="00381469" w:rsidRDefault="00381469">
            <w:pPr>
              <w:jc w:val="center"/>
              <w:rPr>
                <w:rFonts w:ascii="Times New Roman" w:eastAsia="Times New Roman" w:hAnsi="Times New Roman" w:cs="Times New Roman"/>
                <w:sz w:val="24"/>
                <w:szCs w:val="24"/>
              </w:rPr>
            </w:pPr>
            <w:r w:rsidRPr="00381469">
              <w:rPr>
                <w:rFonts w:ascii="Times New Roman" w:hAnsi="Times New Roman" w:cs="Times New Roman"/>
                <w:sz w:val="24"/>
                <w:szCs w:val="24"/>
              </w:rPr>
              <w:t>Kiti imuniniai vaistiniai preparatai</w:t>
            </w:r>
          </w:p>
        </w:tc>
      </w:tr>
      <w:tr w:rsidR="00381469" w:rsidRPr="00381469" w14:paraId="3F5F02D2"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554F12F1"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hideMark/>
          </w:tcPr>
          <w:p w14:paraId="55968ECD"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difterijos stabligės vakcina suaugusiesiems arba vakcina, kurios sudėtyje yra difterijos ir stabligės </w:t>
            </w:r>
            <w:proofErr w:type="spellStart"/>
            <w:r w:rsidRPr="00381469">
              <w:rPr>
                <w:rFonts w:ascii="Times New Roman" w:hAnsi="Times New Roman" w:cs="Times New Roman"/>
                <w:sz w:val="24"/>
                <w:szCs w:val="24"/>
              </w:rPr>
              <w:t>toksoidai</w:t>
            </w:r>
            <w:proofErr w:type="spellEnd"/>
            <w:r w:rsidRPr="00381469">
              <w:rPr>
                <w:rFonts w:ascii="Times New Roman" w:hAnsi="Times New Roman" w:cs="Times New Roman"/>
                <w:sz w:val="24"/>
                <w:szCs w:val="24"/>
              </w:rPr>
              <w:t xml:space="preserve"> suaugusiesiems </w:t>
            </w:r>
          </w:p>
        </w:tc>
        <w:tc>
          <w:tcPr>
            <w:tcW w:w="5097" w:type="dxa"/>
            <w:tcBorders>
              <w:top w:val="single" w:sz="4" w:space="0" w:color="auto"/>
              <w:left w:val="single" w:sz="4" w:space="0" w:color="auto"/>
              <w:bottom w:val="single" w:sz="4" w:space="0" w:color="auto"/>
              <w:right w:val="single" w:sz="4" w:space="0" w:color="auto"/>
            </w:tcBorders>
            <w:hideMark/>
          </w:tcPr>
          <w:p w14:paraId="0BF133DB"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suaugusiųjų </w:t>
            </w:r>
            <w:proofErr w:type="spellStart"/>
            <w:r w:rsidRPr="00381469">
              <w:rPr>
                <w:rFonts w:ascii="Times New Roman" w:hAnsi="Times New Roman" w:cs="Times New Roman"/>
                <w:sz w:val="24"/>
                <w:szCs w:val="24"/>
              </w:rPr>
              <w:t>revakcinacijai</w:t>
            </w:r>
            <w:proofErr w:type="spellEnd"/>
            <w:r w:rsidRPr="00381469">
              <w:rPr>
                <w:rFonts w:ascii="Times New Roman" w:hAnsi="Times New Roman" w:cs="Times New Roman"/>
                <w:sz w:val="24"/>
                <w:szCs w:val="24"/>
              </w:rPr>
              <w:t xml:space="preserve"> kas 10 metų po vakcinacijos ir (arba) stabligės </w:t>
            </w:r>
            <w:proofErr w:type="spellStart"/>
            <w:r w:rsidRPr="00381469">
              <w:rPr>
                <w:rFonts w:ascii="Times New Roman" w:hAnsi="Times New Roman" w:cs="Times New Roman"/>
                <w:sz w:val="24"/>
                <w:szCs w:val="24"/>
              </w:rPr>
              <w:t>poekspozicinei</w:t>
            </w:r>
            <w:proofErr w:type="spellEnd"/>
            <w:r w:rsidRPr="00381469">
              <w:rPr>
                <w:rFonts w:ascii="Times New Roman" w:hAnsi="Times New Roman" w:cs="Times New Roman"/>
                <w:sz w:val="24"/>
                <w:szCs w:val="24"/>
              </w:rPr>
              <w:t xml:space="preserve"> profilaktikai </w:t>
            </w:r>
          </w:p>
        </w:tc>
      </w:tr>
      <w:tr w:rsidR="00381469" w:rsidRPr="00381469" w14:paraId="13187354"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3AFBF6D9"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tcPr>
          <w:p w14:paraId="6F39C463"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gripo vakcina rizikos grupėms skiepyti</w:t>
            </w:r>
          </w:p>
          <w:p w14:paraId="162FF6D7" w14:textId="77777777" w:rsidR="00381469" w:rsidRPr="00381469" w:rsidRDefault="00381469">
            <w:pPr>
              <w:ind w:firstLine="32"/>
              <w:rPr>
                <w:rFonts w:ascii="Times New Roman" w:eastAsia="Times New Roman" w:hAnsi="Times New Roman" w:cs="Times New Roman"/>
                <w:sz w:val="24"/>
                <w:szCs w:val="24"/>
              </w:rPr>
            </w:pPr>
          </w:p>
        </w:tc>
        <w:tc>
          <w:tcPr>
            <w:tcW w:w="5097" w:type="dxa"/>
            <w:tcBorders>
              <w:top w:val="single" w:sz="4" w:space="0" w:color="auto"/>
              <w:left w:val="single" w:sz="4" w:space="0" w:color="auto"/>
              <w:bottom w:val="single" w:sz="4" w:space="0" w:color="auto"/>
              <w:right w:val="single" w:sz="4" w:space="0" w:color="auto"/>
            </w:tcBorders>
            <w:hideMark/>
          </w:tcPr>
          <w:p w14:paraId="491D46BC"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65 metų ir vyresni asmenims; </w:t>
            </w:r>
          </w:p>
          <w:p w14:paraId="032F6FB8" w14:textId="77777777" w:rsidR="00381469" w:rsidRPr="00381469" w:rsidRDefault="00381469">
            <w:pPr>
              <w:rPr>
                <w:rFonts w:ascii="Times New Roman" w:hAnsi="Times New Roman" w:cs="Times New Roman"/>
                <w:sz w:val="24"/>
                <w:szCs w:val="24"/>
              </w:rPr>
            </w:pPr>
            <w:r w:rsidRPr="00381469">
              <w:rPr>
                <w:rFonts w:ascii="Times New Roman" w:hAnsi="Times New Roman" w:cs="Times New Roman"/>
                <w:sz w:val="24"/>
                <w:szCs w:val="24"/>
              </w:rPr>
              <w:t>asmenims, sergantiems lėtinėmis ligomis;</w:t>
            </w:r>
          </w:p>
          <w:p w14:paraId="4DDD9C04" w14:textId="77777777" w:rsidR="00381469" w:rsidRPr="00381469" w:rsidRDefault="00381469">
            <w:pPr>
              <w:rPr>
                <w:rFonts w:ascii="Times New Roman" w:hAnsi="Times New Roman" w:cs="Times New Roman"/>
                <w:sz w:val="24"/>
                <w:szCs w:val="24"/>
              </w:rPr>
            </w:pPr>
            <w:r w:rsidRPr="00381469">
              <w:rPr>
                <w:rFonts w:ascii="Times New Roman" w:hAnsi="Times New Roman" w:cs="Times New Roman"/>
                <w:sz w:val="24"/>
                <w:szCs w:val="24"/>
              </w:rPr>
              <w:t xml:space="preserve">asmenims, gyvenantiems slaugos ir globos įstaigose; </w:t>
            </w:r>
          </w:p>
          <w:p w14:paraId="49B72BCF"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sveikatos priežiūros įstaigų darbuotojams; nėščiosioms</w:t>
            </w:r>
          </w:p>
        </w:tc>
      </w:tr>
      <w:tr w:rsidR="00381469" w:rsidRPr="00381469" w14:paraId="1470ED19"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2C0D09CD"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hideMark/>
          </w:tcPr>
          <w:p w14:paraId="0B3DBE5D"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pneumokokinės infekcijos vakcina rizikos grupėms skiepyti</w:t>
            </w:r>
          </w:p>
        </w:tc>
        <w:tc>
          <w:tcPr>
            <w:tcW w:w="5097" w:type="dxa"/>
            <w:tcBorders>
              <w:top w:val="single" w:sz="4" w:space="0" w:color="auto"/>
              <w:left w:val="single" w:sz="4" w:space="0" w:color="auto"/>
              <w:bottom w:val="single" w:sz="4" w:space="0" w:color="auto"/>
              <w:right w:val="single" w:sz="4" w:space="0" w:color="auto"/>
            </w:tcBorders>
            <w:hideMark/>
          </w:tcPr>
          <w:p w14:paraId="5ABCB4CC"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rizikos grupių asmenims pagal Lietuvos Respublikos sveikatos apsaugos ministro  2015 </w:t>
            </w:r>
            <w:proofErr w:type="spellStart"/>
            <w:r w:rsidRPr="00381469">
              <w:rPr>
                <w:rFonts w:ascii="Times New Roman" w:hAnsi="Times New Roman" w:cs="Times New Roman"/>
                <w:sz w:val="24"/>
                <w:szCs w:val="24"/>
              </w:rPr>
              <w:t>m</w:t>
            </w:r>
            <w:proofErr w:type="spellEnd"/>
            <w:r w:rsidRPr="00381469">
              <w:rPr>
                <w:rFonts w:ascii="Times New Roman" w:hAnsi="Times New Roman" w:cs="Times New Roman"/>
                <w:sz w:val="24"/>
                <w:szCs w:val="24"/>
              </w:rPr>
              <w:t xml:space="preserve">. spalio 8 </w:t>
            </w:r>
            <w:proofErr w:type="spellStart"/>
            <w:r w:rsidRPr="00381469">
              <w:rPr>
                <w:rFonts w:ascii="Times New Roman" w:hAnsi="Times New Roman" w:cs="Times New Roman"/>
                <w:sz w:val="24"/>
                <w:szCs w:val="24"/>
              </w:rPr>
              <w:t>d</w:t>
            </w:r>
            <w:proofErr w:type="spellEnd"/>
            <w:r w:rsidRPr="00381469">
              <w:rPr>
                <w:rFonts w:ascii="Times New Roman" w:hAnsi="Times New Roman" w:cs="Times New Roman"/>
                <w:sz w:val="24"/>
                <w:szCs w:val="24"/>
              </w:rPr>
              <w:t xml:space="preserve">. įsakymą </w:t>
            </w:r>
            <w:proofErr w:type="spellStart"/>
            <w:r w:rsidRPr="00381469">
              <w:rPr>
                <w:rFonts w:ascii="Times New Roman" w:hAnsi="Times New Roman" w:cs="Times New Roman"/>
                <w:sz w:val="24"/>
                <w:szCs w:val="24"/>
              </w:rPr>
              <w:t>Nr</w:t>
            </w:r>
            <w:proofErr w:type="spellEnd"/>
            <w:r w:rsidRPr="00381469">
              <w:rPr>
                <w:rFonts w:ascii="Times New Roman" w:hAnsi="Times New Roman" w:cs="Times New Roman"/>
                <w:sz w:val="24"/>
                <w:szCs w:val="24"/>
              </w:rPr>
              <w:t>. V-1130 ,,D</w:t>
            </w:r>
            <w:r w:rsidRPr="00381469">
              <w:rPr>
                <w:rFonts w:ascii="Times New Roman" w:hAnsi="Times New Roman" w:cs="Times New Roman"/>
                <w:bCs/>
                <w:sz w:val="24"/>
                <w:szCs w:val="24"/>
              </w:rPr>
              <w:t>ėl pneumokokinės infekcijos rizikos grupių patvirtinimo“</w:t>
            </w:r>
          </w:p>
        </w:tc>
      </w:tr>
      <w:tr w:rsidR="00381469" w:rsidRPr="00381469" w14:paraId="06601BA1"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4B449CA4"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14:paraId="223A2123"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pasiutligės imuniniai vaistiniai preparatai</w:t>
            </w:r>
          </w:p>
        </w:tc>
        <w:tc>
          <w:tcPr>
            <w:tcW w:w="5097" w:type="dxa"/>
            <w:vMerge w:val="restart"/>
            <w:tcBorders>
              <w:top w:val="single" w:sz="4" w:space="0" w:color="auto"/>
              <w:left w:val="single" w:sz="4" w:space="0" w:color="auto"/>
              <w:bottom w:val="single" w:sz="4" w:space="0" w:color="auto"/>
              <w:right w:val="single" w:sz="4" w:space="0" w:color="auto"/>
            </w:tcBorders>
            <w:hideMark/>
          </w:tcPr>
          <w:p w14:paraId="2B160239" w14:textId="77777777" w:rsidR="00381469" w:rsidRPr="00381469" w:rsidRDefault="00381469">
            <w:pPr>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pasiutligės </w:t>
            </w:r>
            <w:proofErr w:type="spellStart"/>
            <w:r w:rsidRPr="00381469">
              <w:rPr>
                <w:rFonts w:ascii="Times New Roman" w:hAnsi="Times New Roman" w:cs="Times New Roman"/>
                <w:sz w:val="24"/>
                <w:szCs w:val="24"/>
              </w:rPr>
              <w:t>poekspozicinei</w:t>
            </w:r>
            <w:proofErr w:type="spellEnd"/>
            <w:r w:rsidRPr="00381469">
              <w:rPr>
                <w:rFonts w:ascii="Times New Roman" w:hAnsi="Times New Roman" w:cs="Times New Roman"/>
                <w:sz w:val="24"/>
                <w:szCs w:val="24"/>
              </w:rPr>
              <w:t xml:space="preserve"> profilaktikai pagal indikacijas</w:t>
            </w:r>
          </w:p>
        </w:tc>
      </w:tr>
      <w:tr w:rsidR="00381469" w:rsidRPr="00381469" w14:paraId="3616C39B"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30109794"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lastRenderedPageBreak/>
              <w:t>2.4.1.</w:t>
            </w:r>
          </w:p>
        </w:tc>
        <w:tc>
          <w:tcPr>
            <w:tcW w:w="3402" w:type="dxa"/>
            <w:tcBorders>
              <w:top w:val="single" w:sz="4" w:space="0" w:color="auto"/>
              <w:left w:val="single" w:sz="4" w:space="0" w:color="auto"/>
              <w:bottom w:val="single" w:sz="4" w:space="0" w:color="auto"/>
              <w:right w:val="single" w:sz="4" w:space="0" w:color="auto"/>
            </w:tcBorders>
            <w:hideMark/>
          </w:tcPr>
          <w:p w14:paraId="0793C310"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pasiutligės vakcina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EFC6D" w14:textId="77777777" w:rsidR="00381469" w:rsidRPr="00381469" w:rsidRDefault="00381469">
            <w:pPr>
              <w:rPr>
                <w:rFonts w:ascii="Times New Roman" w:eastAsia="Times New Roman" w:hAnsi="Times New Roman" w:cs="Times New Roman"/>
                <w:sz w:val="24"/>
                <w:szCs w:val="24"/>
              </w:rPr>
            </w:pPr>
          </w:p>
        </w:tc>
      </w:tr>
      <w:tr w:rsidR="00381469" w:rsidRPr="00381469" w14:paraId="66C9185B"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225ADB44"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2.4.2.</w:t>
            </w:r>
          </w:p>
        </w:tc>
        <w:tc>
          <w:tcPr>
            <w:tcW w:w="3402" w:type="dxa"/>
            <w:tcBorders>
              <w:top w:val="single" w:sz="4" w:space="0" w:color="auto"/>
              <w:left w:val="single" w:sz="4" w:space="0" w:color="auto"/>
              <w:bottom w:val="single" w:sz="4" w:space="0" w:color="auto"/>
              <w:right w:val="single" w:sz="4" w:space="0" w:color="auto"/>
            </w:tcBorders>
            <w:hideMark/>
          </w:tcPr>
          <w:p w14:paraId="129A7DE6"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imunoglobulinas nuo pasiutligės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C8AE4" w14:textId="77777777" w:rsidR="00381469" w:rsidRPr="00381469" w:rsidRDefault="00381469">
            <w:pPr>
              <w:rPr>
                <w:rFonts w:ascii="Times New Roman" w:eastAsia="Times New Roman" w:hAnsi="Times New Roman" w:cs="Times New Roman"/>
                <w:sz w:val="24"/>
                <w:szCs w:val="24"/>
              </w:rPr>
            </w:pPr>
          </w:p>
        </w:tc>
      </w:tr>
      <w:tr w:rsidR="00381469" w:rsidRPr="00381469" w14:paraId="1987AB35" w14:textId="77777777" w:rsidTr="00381469">
        <w:tc>
          <w:tcPr>
            <w:tcW w:w="1129" w:type="dxa"/>
            <w:tcBorders>
              <w:top w:val="single" w:sz="4" w:space="0" w:color="auto"/>
              <w:left w:val="single" w:sz="4" w:space="0" w:color="auto"/>
              <w:bottom w:val="single" w:sz="4" w:space="0" w:color="auto"/>
              <w:right w:val="single" w:sz="4" w:space="0" w:color="auto"/>
            </w:tcBorders>
            <w:hideMark/>
          </w:tcPr>
          <w:p w14:paraId="4BB8387E" w14:textId="77777777" w:rsidR="00381469" w:rsidRPr="00381469" w:rsidRDefault="00381469">
            <w:pPr>
              <w:jc w:val="both"/>
              <w:rPr>
                <w:rFonts w:ascii="Times New Roman" w:eastAsia="Times New Roman" w:hAnsi="Times New Roman" w:cs="Times New Roman"/>
                <w:sz w:val="24"/>
                <w:szCs w:val="24"/>
              </w:rPr>
            </w:pPr>
            <w:r w:rsidRPr="00381469">
              <w:rPr>
                <w:rFonts w:ascii="Times New Roman" w:hAnsi="Times New Roman" w:cs="Times New Roman"/>
                <w:sz w:val="24"/>
                <w:szCs w:val="24"/>
              </w:rPr>
              <w:t>2.5.</w:t>
            </w:r>
          </w:p>
        </w:tc>
        <w:tc>
          <w:tcPr>
            <w:tcW w:w="3402" w:type="dxa"/>
            <w:tcBorders>
              <w:top w:val="single" w:sz="4" w:space="0" w:color="auto"/>
              <w:left w:val="single" w:sz="4" w:space="0" w:color="auto"/>
              <w:bottom w:val="single" w:sz="4" w:space="0" w:color="auto"/>
              <w:right w:val="single" w:sz="4" w:space="0" w:color="auto"/>
            </w:tcBorders>
            <w:hideMark/>
          </w:tcPr>
          <w:p w14:paraId="755C2704" w14:textId="77777777" w:rsidR="00381469" w:rsidRPr="00381469" w:rsidRDefault="00381469">
            <w:pPr>
              <w:ind w:firstLine="32"/>
              <w:rPr>
                <w:rFonts w:ascii="Times New Roman" w:eastAsia="Times New Roman" w:hAnsi="Times New Roman" w:cs="Times New Roman"/>
                <w:sz w:val="24"/>
                <w:szCs w:val="24"/>
              </w:rPr>
            </w:pPr>
            <w:r w:rsidRPr="00381469">
              <w:rPr>
                <w:rFonts w:ascii="Times New Roman" w:hAnsi="Times New Roman" w:cs="Times New Roman"/>
                <w:sz w:val="24"/>
                <w:szCs w:val="24"/>
              </w:rPr>
              <w:t xml:space="preserve">imunoglobulinas nuo respiracinio </w:t>
            </w:r>
            <w:proofErr w:type="spellStart"/>
            <w:r w:rsidRPr="00381469">
              <w:rPr>
                <w:rFonts w:ascii="Times New Roman" w:hAnsi="Times New Roman" w:cs="Times New Roman"/>
                <w:sz w:val="24"/>
                <w:szCs w:val="24"/>
              </w:rPr>
              <w:t>sincitinio</w:t>
            </w:r>
            <w:proofErr w:type="spellEnd"/>
            <w:r w:rsidRPr="00381469">
              <w:rPr>
                <w:rFonts w:ascii="Times New Roman" w:hAnsi="Times New Roman" w:cs="Times New Roman"/>
                <w:sz w:val="24"/>
                <w:szCs w:val="24"/>
              </w:rPr>
              <w:t xml:space="preserve"> viruso neišnešiotiems naujagimiams</w:t>
            </w:r>
          </w:p>
        </w:tc>
        <w:tc>
          <w:tcPr>
            <w:tcW w:w="5097" w:type="dxa"/>
            <w:tcBorders>
              <w:top w:val="single" w:sz="4" w:space="0" w:color="auto"/>
              <w:left w:val="single" w:sz="4" w:space="0" w:color="auto"/>
              <w:bottom w:val="single" w:sz="4" w:space="0" w:color="auto"/>
              <w:right w:val="single" w:sz="4" w:space="0" w:color="auto"/>
            </w:tcBorders>
            <w:hideMark/>
          </w:tcPr>
          <w:p w14:paraId="6B51BE36" w14:textId="77777777" w:rsidR="00381469" w:rsidRPr="00381469" w:rsidRDefault="00381469">
            <w:pPr>
              <w:pStyle w:val="Sraopastraipa"/>
              <w:ind w:left="29"/>
              <w:rPr>
                <w:rFonts w:ascii="Times New Roman" w:hAnsi="Times New Roman" w:cs="Times New Roman"/>
                <w:sz w:val="24"/>
                <w:szCs w:val="24"/>
              </w:rPr>
            </w:pPr>
            <w:r w:rsidRPr="00381469">
              <w:rPr>
                <w:rFonts w:ascii="Times New Roman" w:hAnsi="Times New Roman" w:cs="Times New Roman"/>
                <w:sz w:val="24"/>
                <w:szCs w:val="24"/>
              </w:rPr>
              <w:t xml:space="preserve">1. ≤28 </w:t>
            </w:r>
            <w:proofErr w:type="spellStart"/>
            <w:r w:rsidRPr="00381469">
              <w:rPr>
                <w:rFonts w:ascii="Times New Roman" w:hAnsi="Times New Roman" w:cs="Times New Roman"/>
                <w:sz w:val="24"/>
                <w:szCs w:val="24"/>
              </w:rPr>
              <w:t>sav</w:t>
            </w:r>
            <w:proofErr w:type="spellEnd"/>
            <w:r w:rsidRPr="00381469">
              <w:rPr>
                <w:rFonts w:ascii="Times New Roman" w:hAnsi="Times New Roman" w:cs="Times New Roman"/>
                <w:sz w:val="24"/>
                <w:szCs w:val="24"/>
              </w:rPr>
              <w:t xml:space="preserve">. </w:t>
            </w:r>
            <w:proofErr w:type="spellStart"/>
            <w:r w:rsidRPr="00381469">
              <w:rPr>
                <w:rFonts w:ascii="Times New Roman" w:hAnsi="Times New Roman" w:cs="Times New Roman"/>
                <w:sz w:val="24"/>
                <w:szCs w:val="24"/>
              </w:rPr>
              <w:t>gestacinio</w:t>
            </w:r>
            <w:proofErr w:type="spellEnd"/>
            <w:r w:rsidRPr="00381469">
              <w:rPr>
                <w:rFonts w:ascii="Times New Roman" w:hAnsi="Times New Roman" w:cs="Times New Roman"/>
                <w:sz w:val="24"/>
                <w:szCs w:val="24"/>
              </w:rPr>
              <w:t xml:space="preserve"> amžiaus neišnešiotiems naujagimiams, kurie respiracinio </w:t>
            </w:r>
            <w:proofErr w:type="spellStart"/>
            <w:r w:rsidRPr="00381469">
              <w:rPr>
                <w:rFonts w:ascii="Times New Roman" w:hAnsi="Times New Roman" w:cs="Times New Roman"/>
                <w:sz w:val="24"/>
                <w:szCs w:val="24"/>
              </w:rPr>
              <w:t>sincitinio</w:t>
            </w:r>
            <w:proofErr w:type="spellEnd"/>
            <w:r w:rsidRPr="00381469">
              <w:rPr>
                <w:rFonts w:ascii="Times New Roman" w:hAnsi="Times New Roman" w:cs="Times New Roman"/>
                <w:sz w:val="24"/>
                <w:szCs w:val="24"/>
              </w:rPr>
              <w:t xml:space="preserve"> viruso sukeliamos infekcijos sezono pradžioje yra ≤12 </w:t>
            </w:r>
            <w:proofErr w:type="spellStart"/>
            <w:r w:rsidRPr="00381469">
              <w:rPr>
                <w:rFonts w:ascii="Times New Roman" w:hAnsi="Times New Roman" w:cs="Times New Roman"/>
                <w:sz w:val="24"/>
                <w:szCs w:val="24"/>
              </w:rPr>
              <w:t>mėn</w:t>
            </w:r>
            <w:proofErr w:type="spellEnd"/>
            <w:r w:rsidRPr="00381469">
              <w:rPr>
                <w:rFonts w:ascii="Times New Roman" w:hAnsi="Times New Roman" w:cs="Times New Roman"/>
                <w:sz w:val="24"/>
                <w:szCs w:val="24"/>
              </w:rPr>
              <w:t xml:space="preserve">.; </w:t>
            </w:r>
          </w:p>
          <w:p w14:paraId="39FAFDE7" w14:textId="77777777" w:rsidR="00381469" w:rsidRPr="00381469" w:rsidRDefault="00381469">
            <w:pPr>
              <w:pStyle w:val="Sraopastraipa"/>
              <w:ind w:left="29"/>
              <w:rPr>
                <w:rFonts w:ascii="Times New Roman" w:hAnsi="Times New Roman" w:cs="Times New Roman"/>
                <w:sz w:val="24"/>
                <w:szCs w:val="24"/>
              </w:rPr>
            </w:pPr>
            <w:r w:rsidRPr="00381469">
              <w:rPr>
                <w:rFonts w:ascii="Times New Roman" w:hAnsi="Times New Roman" w:cs="Times New Roman"/>
                <w:sz w:val="24"/>
                <w:szCs w:val="24"/>
              </w:rPr>
              <w:t xml:space="preserve">2. 29–30 </w:t>
            </w:r>
            <w:proofErr w:type="spellStart"/>
            <w:r w:rsidRPr="00381469">
              <w:rPr>
                <w:rFonts w:ascii="Times New Roman" w:hAnsi="Times New Roman" w:cs="Times New Roman"/>
                <w:sz w:val="24"/>
                <w:szCs w:val="24"/>
              </w:rPr>
              <w:t>sav</w:t>
            </w:r>
            <w:proofErr w:type="spellEnd"/>
            <w:r w:rsidRPr="00381469">
              <w:rPr>
                <w:rFonts w:ascii="Times New Roman" w:hAnsi="Times New Roman" w:cs="Times New Roman"/>
                <w:sz w:val="24"/>
                <w:szCs w:val="24"/>
              </w:rPr>
              <w:t xml:space="preserve">. </w:t>
            </w:r>
            <w:proofErr w:type="spellStart"/>
            <w:r w:rsidRPr="00381469">
              <w:rPr>
                <w:rFonts w:ascii="Times New Roman" w:hAnsi="Times New Roman" w:cs="Times New Roman"/>
                <w:sz w:val="24"/>
                <w:szCs w:val="24"/>
              </w:rPr>
              <w:t>gestacinio</w:t>
            </w:r>
            <w:proofErr w:type="spellEnd"/>
            <w:r w:rsidRPr="00381469">
              <w:rPr>
                <w:rFonts w:ascii="Times New Roman" w:hAnsi="Times New Roman" w:cs="Times New Roman"/>
                <w:sz w:val="24"/>
                <w:szCs w:val="24"/>
              </w:rPr>
              <w:t xml:space="preserve"> amžiaus neišnešiotiems naujagimiams, kuriems respiracinio </w:t>
            </w:r>
            <w:proofErr w:type="spellStart"/>
            <w:r w:rsidRPr="00381469">
              <w:rPr>
                <w:rFonts w:ascii="Times New Roman" w:hAnsi="Times New Roman" w:cs="Times New Roman"/>
                <w:sz w:val="24"/>
                <w:szCs w:val="24"/>
              </w:rPr>
              <w:t>sincitinio</w:t>
            </w:r>
            <w:proofErr w:type="spellEnd"/>
            <w:r w:rsidRPr="00381469">
              <w:rPr>
                <w:rFonts w:ascii="Times New Roman" w:hAnsi="Times New Roman" w:cs="Times New Roman"/>
                <w:sz w:val="24"/>
                <w:szCs w:val="24"/>
              </w:rPr>
              <w:t xml:space="preserve"> viruso sukeliamos infekcijos sezono pradžioje yra ≤6 </w:t>
            </w:r>
            <w:proofErr w:type="spellStart"/>
            <w:r w:rsidRPr="00381469">
              <w:rPr>
                <w:rFonts w:ascii="Times New Roman" w:hAnsi="Times New Roman" w:cs="Times New Roman"/>
                <w:sz w:val="24"/>
                <w:szCs w:val="24"/>
              </w:rPr>
              <w:t>mėn</w:t>
            </w:r>
            <w:proofErr w:type="spellEnd"/>
            <w:r w:rsidRPr="00381469">
              <w:rPr>
                <w:rFonts w:ascii="Times New Roman" w:hAnsi="Times New Roman" w:cs="Times New Roman"/>
                <w:sz w:val="24"/>
                <w:szCs w:val="24"/>
              </w:rPr>
              <w:t xml:space="preserve">.; </w:t>
            </w:r>
          </w:p>
          <w:p w14:paraId="6CEB4A20" w14:textId="77777777" w:rsidR="00381469" w:rsidRPr="00381469" w:rsidRDefault="00381469">
            <w:pPr>
              <w:pStyle w:val="Sraopastraipa"/>
              <w:ind w:left="29"/>
              <w:rPr>
                <w:rFonts w:ascii="Times New Roman" w:hAnsi="Times New Roman" w:cs="Times New Roman"/>
                <w:sz w:val="24"/>
                <w:szCs w:val="24"/>
              </w:rPr>
            </w:pPr>
            <w:r w:rsidRPr="00381469">
              <w:rPr>
                <w:rFonts w:ascii="Times New Roman" w:hAnsi="Times New Roman" w:cs="Times New Roman"/>
                <w:sz w:val="24"/>
                <w:szCs w:val="24"/>
              </w:rPr>
              <w:t xml:space="preserve">3. konsiliumo sprendimu – ir vyresnio </w:t>
            </w:r>
            <w:proofErr w:type="spellStart"/>
            <w:r w:rsidRPr="00381469">
              <w:rPr>
                <w:rFonts w:ascii="Times New Roman" w:hAnsi="Times New Roman" w:cs="Times New Roman"/>
                <w:sz w:val="24"/>
                <w:szCs w:val="24"/>
              </w:rPr>
              <w:t>gestacinio</w:t>
            </w:r>
            <w:proofErr w:type="spellEnd"/>
            <w:r w:rsidRPr="00381469">
              <w:rPr>
                <w:rFonts w:ascii="Times New Roman" w:hAnsi="Times New Roman" w:cs="Times New Roman"/>
                <w:sz w:val="24"/>
                <w:szCs w:val="24"/>
              </w:rPr>
              <w:t xml:space="preserve"> amžiaus (&gt;30 </w:t>
            </w:r>
            <w:proofErr w:type="spellStart"/>
            <w:r w:rsidRPr="00381469">
              <w:rPr>
                <w:rFonts w:ascii="Times New Roman" w:hAnsi="Times New Roman" w:cs="Times New Roman"/>
                <w:sz w:val="24"/>
                <w:szCs w:val="24"/>
              </w:rPr>
              <w:t>sav</w:t>
            </w:r>
            <w:proofErr w:type="spellEnd"/>
            <w:r w:rsidRPr="00381469">
              <w:rPr>
                <w:rFonts w:ascii="Times New Roman" w:hAnsi="Times New Roman" w:cs="Times New Roman"/>
                <w:sz w:val="24"/>
                <w:szCs w:val="24"/>
              </w:rPr>
              <w:t xml:space="preserve">.) neišnešiotiems naujagimiams, jei yra papildomų sunkios respiracinio </w:t>
            </w:r>
            <w:proofErr w:type="spellStart"/>
            <w:r w:rsidRPr="00381469">
              <w:rPr>
                <w:rFonts w:ascii="Times New Roman" w:hAnsi="Times New Roman" w:cs="Times New Roman"/>
                <w:sz w:val="24"/>
                <w:szCs w:val="24"/>
              </w:rPr>
              <w:t>sincitinio</w:t>
            </w:r>
            <w:proofErr w:type="spellEnd"/>
            <w:r w:rsidRPr="00381469">
              <w:rPr>
                <w:rFonts w:ascii="Times New Roman" w:hAnsi="Times New Roman" w:cs="Times New Roman"/>
                <w:sz w:val="24"/>
                <w:szCs w:val="24"/>
              </w:rPr>
              <w:t xml:space="preserve"> viruso sukeliamos infekcijos rizikos veiksnių</w:t>
            </w:r>
          </w:p>
        </w:tc>
      </w:tr>
    </w:tbl>
    <w:p w14:paraId="04BFD438" w14:textId="77777777" w:rsidR="00381469" w:rsidRDefault="00381469" w:rsidP="00381469">
      <w:pPr>
        <w:jc w:val="center"/>
      </w:pPr>
      <w:r>
        <w:t>_____________</w:t>
      </w:r>
    </w:p>
    <w:p w14:paraId="31BDA7C4" w14:textId="25B53499" w:rsidR="00381469" w:rsidRDefault="00381469">
      <w:pPr>
        <w:spacing w:line="276" w:lineRule="auto"/>
        <w:ind w:firstLine="851"/>
        <w:jc w:val="both"/>
        <w:rPr>
          <w:szCs w:val="24"/>
        </w:rPr>
      </w:pPr>
    </w:p>
    <w:p w14:paraId="3CDA236F" w14:textId="27FE9F88" w:rsidR="00EE0A39" w:rsidRDefault="00381469">
      <w:pPr>
        <w:spacing w:line="276" w:lineRule="auto"/>
        <w:jc w:val="center"/>
        <w:rPr>
          <w:szCs w:val="24"/>
          <w:lang w:val="en-US"/>
        </w:rPr>
      </w:pPr>
    </w:p>
    <w:sectPr w:rsidR="00EE0A39" w:rsidSect="00381469">
      <w:pgSz w:w="11906" w:h="16838" w:code="9"/>
      <w:pgMar w:top="1812" w:right="567" w:bottom="1134" w:left="1701" w:header="1134" w:footer="113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2373" w14:textId="77777777" w:rsidR="00EE0A39" w:rsidRDefault="00D5119C">
      <w:pPr>
        <w:rPr>
          <w:szCs w:val="24"/>
        </w:rPr>
      </w:pPr>
      <w:r>
        <w:rPr>
          <w:szCs w:val="24"/>
        </w:rPr>
        <w:separator/>
      </w:r>
    </w:p>
  </w:endnote>
  <w:endnote w:type="continuationSeparator" w:id="0">
    <w:p w14:paraId="3CDA2374" w14:textId="77777777" w:rsidR="00EE0A39" w:rsidRDefault="00D5119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2379" w14:textId="77777777" w:rsidR="00EE0A39" w:rsidRDefault="00EE0A39">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5FCD" w14:textId="77777777" w:rsidR="00EE0A39" w:rsidRDefault="00EE0A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237E" w14:textId="77777777" w:rsidR="00EE0A39" w:rsidRDefault="00EE0A39">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2371" w14:textId="77777777" w:rsidR="00EE0A39" w:rsidRDefault="00D5119C">
      <w:pPr>
        <w:rPr>
          <w:szCs w:val="24"/>
        </w:rPr>
      </w:pPr>
      <w:r>
        <w:rPr>
          <w:szCs w:val="24"/>
        </w:rPr>
        <w:separator/>
      </w:r>
    </w:p>
  </w:footnote>
  <w:footnote w:type="continuationSeparator" w:id="0">
    <w:p w14:paraId="3CDA2372" w14:textId="77777777" w:rsidR="00EE0A39" w:rsidRDefault="00D5119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2375" w14:textId="77777777" w:rsidR="00EE0A39" w:rsidRDefault="00D5119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CDA2376" w14:textId="77777777" w:rsidR="00EE0A39" w:rsidRDefault="00EE0A39">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B705" w14:textId="1CBFEBB0" w:rsidR="00EE0A39" w:rsidRDefault="00D5119C">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381469" w:rsidRPr="00381469">
      <w:rPr>
        <w:noProof/>
        <w:szCs w:val="24"/>
      </w:rPr>
      <w:t>2</w:t>
    </w:r>
    <w:r>
      <w:rPr>
        <w:szCs w:val="24"/>
        <w:lang w:val="en-GB"/>
      </w:rPr>
      <w:fldChar w:fldCharType="end"/>
    </w:r>
  </w:p>
  <w:p w14:paraId="3CDA2378" w14:textId="77777777" w:rsidR="00EE0A39" w:rsidRDefault="00EE0A39">
    <w:pPr>
      <w:tabs>
        <w:tab w:val="center" w:pos="4819"/>
        <w:tab w:val="right" w:pos="9638"/>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237D" w14:textId="77777777" w:rsidR="00EE0A39" w:rsidRDefault="00EE0A39">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381469"/>
    <w:rsid w:val="00D5119C"/>
    <w:rsid w:val="00EE0A39"/>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DA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81469"/>
    <w:pPr>
      <w:ind w:left="720"/>
    </w:pPr>
    <w:rPr>
      <w:rFonts w:ascii="Calibri" w:eastAsiaTheme="minorHAnsi" w:hAnsi="Calibri" w:cs="Calibri"/>
      <w:sz w:val="22"/>
      <w:szCs w:val="22"/>
    </w:rPr>
  </w:style>
  <w:style w:type="table" w:styleId="Lentelstinklelis">
    <w:name w:val="Table Grid"/>
    <w:basedOn w:val="prastojilentel"/>
    <w:uiPriority w:val="39"/>
    <w:rsid w:val="003814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rsid w:val="003814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81469"/>
    <w:pPr>
      <w:ind w:left="720"/>
    </w:pPr>
    <w:rPr>
      <w:rFonts w:ascii="Calibri" w:eastAsiaTheme="minorHAnsi" w:hAnsi="Calibri" w:cs="Calibri"/>
      <w:sz w:val="22"/>
      <w:szCs w:val="22"/>
    </w:rPr>
  </w:style>
  <w:style w:type="table" w:styleId="Lentelstinklelis">
    <w:name w:val="Table Grid"/>
    <w:basedOn w:val="prastojilentel"/>
    <w:uiPriority w:val="39"/>
    <w:rsid w:val="003814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rsid w:val="00381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046">
      <w:bodyDiv w:val="1"/>
      <w:marLeft w:val="0"/>
      <w:marRight w:val="0"/>
      <w:marTop w:val="0"/>
      <w:marBottom w:val="0"/>
      <w:divBdr>
        <w:top w:val="none" w:sz="0" w:space="0" w:color="auto"/>
        <w:left w:val="none" w:sz="0" w:space="0" w:color="auto"/>
        <w:bottom w:val="none" w:sz="0" w:space="0" w:color="auto"/>
        <w:right w:val="none" w:sz="0" w:space="0" w:color="auto"/>
      </w:divBdr>
    </w:div>
    <w:div w:id="481965768">
      <w:bodyDiv w:val="1"/>
      <w:marLeft w:val="0"/>
      <w:marRight w:val="0"/>
      <w:marTop w:val="0"/>
      <w:marBottom w:val="0"/>
      <w:divBdr>
        <w:top w:val="none" w:sz="0" w:space="0" w:color="auto"/>
        <w:left w:val="none" w:sz="0" w:space="0" w:color="auto"/>
        <w:bottom w:val="none" w:sz="0" w:space="0" w:color="auto"/>
        <w:right w:val="none" w:sz="0" w:space="0" w:color="auto"/>
      </w:divBdr>
    </w:div>
    <w:div w:id="551426963">
      <w:bodyDiv w:val="1"/>
      <w:marLeft w:val="0"/>
      <w:marRight w:val="0"/>
      <w:marTop w:val="0"/>
      <w:marBottom w:val="0"/>
      <w:divBdr>
        <w:top w:val="none" w:sz="0" w:space="0" w:color="auto"/>
        <w:left w:val="none" w:sz="0" w:space="0" w:color="auto"/>
        <w:bottom w:val="none" w:sz="0" w:space="0" w:color="auto"/>
        <w:right w:val="none" w:sz="0" w:space="0" w:color="auto"/>
      </w:divBdr>
    </w:div>
    <w:div w:id="853762917">
      <w:bodyDiv w:val="1"/>
      <w:marLeft w:val="0"/>
      <w:marRight w:val="0"/>
      <w:marTop w:val="0"/>
      <w:marBottom w:val="0"/>
      <w:divBdr>
        <w:top w:val="none" w:sz="0" w:space="0" w:color="auto"/>
        <w:left w:val="none" w:sz="0" w:space="0" w:color="auto"/>
        <w:bottom w:val="none" w:sz="0" w:space="0" w:color="auto"/>
        <w:right w:val="none" w:sz="0" w:space="0" w:color="auto"/>
      </w:divBdr>
    </w:div>
    <w:div w:id="931087730">
      <w:bodyDiv w:val="1"/>
      <w:marLeft w:val="0"/>
      <w:marRight w:val="0"/>
      <w:marTop w:val="0"/>
      <w:marBottom w:val="0"/>
      <w:divBdr>
        <w:top w:val="none" w:sz="0" w:space="0" w:color="auto"/>
        <w:left w:val="none" w:sz="0" w:space="0" w:color="auto"/>
        <w:bottom w:val="none" w:sz="0" w:space="0" w:color="auto"/>
        <w:right w:val="none" w:sz="0" w:space="0" w:color="auto"/>
      </w:divBdr>
    </w:div>
    <w:div w:id="21036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EA"/>
    <w:rsid w:val="003648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4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4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5677</Words>
  <Characters>40020</Characters>
  <Application>Microsoft Office Word</Application>
  <DocSecurity>0</DocSecurity>
  <Lines>333</Lines>
  <Paragraphs>91</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45606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2019-01-29T13:43:00Z</dcterms:created>
  <dc:creator>loginovic</dc:creator>
  <lastModifiedBy>„Windows“ vartotojas</lastModifiedBy>
  <lastPrinted>2019-01-02T14:37:00Z</lastPrinted>
  <dcterms:modified xsi:type="dcterms:W3CDTF">2019-03-14T08:04:00Z</dcterms:modified>
  <revision>4</revision>
  <dc:title>2001-05-00</dc:title>
</coreProperties>
</file>