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5a7fdf0353e40518e1bc02e236f94a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val="en-US"/>
            </w:rPr>
            <w:drawing>
              <wp:inline distT="0" distB="0" distL="0" distR="0" wp14:anchorId="6CCCD73E" wp14:editId="096A6189">
                <wp:extent cx="523875" cy="619125"/>
                <wp:effectExtent l="1905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blipFill dpi="0" rotWithShape="0">
                          <a:blip/>
                          <a:srcRect/>
                          <a:stretch>
                            <a:fillRect/>
                          </a:stretch>
                        </a:blip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APLINKOS MINISTRAS</w:t>
          </w: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APLINKOS MINISTRO 2015 M. SAUSIO 9 D. ĮSAKYMO NR. D1-12 „DĖL KRAŠTOVAIZDŽIO IR BIOLOGINĖS ĮVAIROVĖS IŠSAUGOJIMO 2015–2020 METŲ VEIKSMŲ PLANO PATVIRTINIMO“ PAKEITIMO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gruodžio 5 d. Nr. D1-854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01995e9a28e443ef8114428580a5f135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Kraštovaizdžio ir biologinės įvairovės išsaugojimo 2015–2020 metų veiksmų planą, patvirtintą Lietuvos Respublikos aplinkos ministro 2015 m. sausio 9 d. įsakymu Nr. D1-12 „Dėl Kraštovaizdžio ir biologinės įvairovės išsaugojimo 2015–2020 metų veiksmų plano patvirtinimo“:</w:t>
              </w:r>
            </w:p>
          </w:sdtContent>
        </w:sdt>
        <w:sdt>
          <w:sdtPr>
            <w:alias w:val="1 p."/>
            <w:tag w:val="part_f134d4d0d08e45f5bf24e94cec43a051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134d4d0d08e45f5bf24e94cec43a0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 priedo 112 punktą ir jį išdėstau taip:</w:t>
              </w:r>
            </w:p>
            <w:tbl>
              <w:tblPr>
                <w:tblW w:w="9639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1"/>
                <w:gridCol w:w="4678"/>
                <w:gridCol w:w="992"/>
                <w:gridCol w:w="1276"/>
                <w:gridCol w:w="1842"/>
              </w:tblGrid>
              <w:tr>
                <w:tc>
                  <w:tcPr>
                    <w:tcW w:w="851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„112.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Sutvarkyti gamtos ir kultūros vertybes (gamtos ir kultūros objektus, kraštovaizdžio kompleksus, draustinius) ir pritaikyti saugomas teritorijas lankymui.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sutvarkyti kraštovaizdžio kompleksai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Šiliniškių ir Baluošo kraštovaizdžio draustinių vertybės Aukštaitijos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Juodkrantės sengirės istorinis miško parkas Kuršių nerijos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3. Mergiškių kraštovaizdžio draustinio vertybės Aukštadvario regioniniame parke. 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Punios šilo vertybės Nemuno kilpų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Kylininkų kraštovaizdžio draustinio vertybės Vištyčio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 Salanto hidrografinio draustinio vertybės Salantų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Šventos dvaro tvenkinys Sirvėtos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8. Dubysos upės slėnio vertybės Dubysos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 Kauno marių pakrantės vertybės Kauno marių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10. Asvejos ežero pakrantės vertybės Asvejos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11. Šventosios aukštupio vertybės Gražutės regioniniame parke. 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12. Akmenos ir Jūros upių santakos pritaikymas lankymui Pagramančio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13. Rambyno </w:t>
                    </w:r>
                    <w:r>
                      <w:rPr>
                        <w:szCs w:val="24"/>
                        <w:lang w:eastAsia="lt-LT"/>
                      </w:rPr>
                      <w:t xml:space="preserve">– Bitėnų draustinių </w:t>
                    </w:r>
                    <w:r>
                      <w:rPr>
                        <w:rFonts w:eastAsia="Calibri"/>
                        <w:szCs w:val="24"/>
                      </w:rPr>
                      <w:t>vertybės Rambyno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14. Kirkilų kraštovaizdžio draustinio vertybės Biržų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15. Betygalos kraštovaizdžio draustinio vertybės Dubysos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16. Vilniaus pilių valstybinio kultūrinio rezervato (Kalnų parko) dalies gamtos vertybių tvarkymas ir pritaikymas lankymui Vilniaus pilių rezervate.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sutvarkyti gamtos paveldo objektai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1. Stakų konglomeratų luistai ir Stakų ąžuolas Dieveniškių istoriniame regioniniame parke. 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Papilės atodanga ir jos aplinka Ventos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Botaninių gamtos paveldo objektų tvarkymas, pritaikymas lankymui.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Geologinių ir hidrogeologinių gamtos paveldo objektų tvarkymas, pritaikymas lankymui.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Planuojama atlikti valstybės saugomų gamtos paveldo objektų ženklinimą.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sutvarkyti kultūros paveldo objektai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1. Žagarės dvaro parkas Žagarės regioniniame parke. 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Veisiejų dvaro parkas Veisiejų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Merkinės piliakalnis Dzūkijos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Liškiavos piliakalnis Dzūkijos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Gegrėnų archeologinis kompleksas Žemaitijos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 Girnikų kalnas Kurtuvėnų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Vytauto kalnas Nemuno kilpų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8. Punios piliakalnis Nemuno kilpų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 Pavandenės alkakalnis (Sklepkalnis) Varnių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10. Kartupėnų piliakalnis Panemunių regioniniame parke. 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sutvarkyti valstybiniai draustiniai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Germanto kraštovaizdžio draustinis.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Siesarties kraštovaizdžio draustinis.“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2023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80000/23169601 </w:t>
                    </w:r>
                  </w:p>
                </w:tc>
                <w:tc>
                  <w:tcPr>
                    <w:tcW w:w="1842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Valstybinė saugomų teritorijų tarnyba</w:t>
                    </w:r>
                    <w:r>
                      <w:rPr>
                        <w:szCs w:val="24"/>
                      </w:rPr>
                      <w:t xml:space="preserve"> ir / arba saugomų teritorijų direkcijos</w:t>
                    </w:r>
                  </w:p>
                </w:tc>
              </w:tr>
            </w:tbl>
            <w:p/>
          </w:sdtContent>
        </w:sdt>
        <w:sdt>
          <w:sdtPr>
            <w:alias w:val="2 p."/>
            <w:tag w:val="part_c3854019e57c424f910a25ca7fa42e72"/>
            <w:lock w:val="sdtLocked"/>
            <w:richText/>
          </w:sdtPr>
          <w:sdtContent>
            <w:p>
              <w:pPr>
                <w:suppressAutoHyphens/>
                <w:ind w:left="1134" w:right="424" w:hanging="14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3854019e57c424f910a25ca7fa42e7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2 priedo 113 punktą ir jį išdėstau taip:</w:t>
              </w:r>
            </w:p>
            <w:tbl>
              <w:tblPr>
                <w:tblW w:w="9639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1"/>
                <w:gridCol w:w="4678"/>
                <w:gridCol w:w="992"/>
                <w:gridCol w:w="1276"/>
                <w:gridCol w:w="1842"/>
              </w:tblGrid>
              <w:tr>
                <w:tc>
                  <w:tcPr>
                    <w:tcW w:w="851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„113.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Įrengti infrastruktūrą lankytojams (pažintinius / mokomuosius takus, trasas, jungtis tarp turizmo trasų, apžvalgos bokštus, ekologinius kempingus, išplėtoti lauko informacines sistemas).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Numatomas lauko informacinių sistemų išplėtojimas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Aukštaitijos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Dzūkijos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Kuršių nerijos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Aukštadvario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Anykščių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 Biržų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Labanoro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8. Kauno marių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 Kurtuvėnų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10. Neries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11. Nemuno deltos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12. Tytuvėnų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Numatomas pažintinių, mokomųjų pėsčiųjų takų įrengimas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Pėsčiųjų takas iki Kačėniškės piliakalnio Sirvėtos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Žuvinto ežero mokomasis takas Žuvinto biosferos rezervate.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Čepkelių pelkės mokomasis takas Čepkelių valstybiniame gamtiniame rezervate.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Artosios pelkės mokomasis takas Viešvilės valstybiniame gamtiniame rezervate.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Pėsčiųjų takas tarp Vainežerio dvaro ir Vainežerio gynybinių įtvirtinimų Veisiejų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 Škėvonių gūbrio pažintinis takas Nemuno kilpų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Kalupio upelio pažintinis takas Ventos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8. Šilėnų–Naujosios rėvos pažintinis takas Neries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 Meironių pažintinis takas Aukštaitijos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10. Ščiūro rago pažintinis takas Labanoro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įrengti apžvalgos bokštai, regyklos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Apžvalgos bokštas Nemuno kilpų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Apžvalgos bokštas Dubysos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Apžvalgos bokštas Nemuno deltos regioniniame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Numatoma jungtis pažintiniuose maršrutuose, trasose: tiltas per Šventąją šalia Medžių lajų tako Anykščių regioniniame parke.“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2023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75000/21721501 </w:t>
                    </w:r>
                  </w:p>
                </w:tc>
                <w:tc>
                  <w:tcPr>
                    <w:tcW w:w="1842" w:type="dxa"/>
                  </w:tcPr>
                  <w:p>
                    <w:pPr>
                      <w:jc w:val="center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Valstybinė saugomų teritorijų tarnyba ir / arba </w:t>
                    </w:r>
                    <w:r>
                      <w:rPr>
                        <w:szCs w:val="24"/>
                      </w:rPr>
                      <w:t>saugomų teritorijų direkcijos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27a15b6bda4a4924878242d3e4e98214"/>
            <w:lock w:val="sdtLocked"/>
            <w:richText/>
          </w:sdtPr>
          <w:sdtContent>
            <w:p>
              <w:pPr>
                <w:suppressAutoHyphens/>
                <w:ind w:left="1134" w:right="424" w:hanging="14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a15b6bda4a4924878242d3e4e9821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2 priedo 114 punktą ir jį išdėstau taip:</w:t>
              </w:r>
            </w:p>
            <w:tbl>
              <w:tblPr>
                <w:tblW w:w="9639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1"/>
                <w:gridCol w:w="4678"/>
                <w:gridCol w:w="992"/>
                <w:gridCol w:w="1276"/>
                <w:gridCol w:w="1842"/>
              </w:tblGrid>
              <w:tr>
                <w:tc>
                  <w:tcPr>
                    <w:tcW w:w="851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„114.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Įrengti lankytojų centrus su vidaus ir lauko ekspozicijomis, temines ekspozicijas.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Numatomi įrengti lankytojų centrai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Kuršių nerijos nacionalinio parko lankytojų centras su filialu Smiltynėje.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Dubysos regioninio parko lankytojų centras.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Pavilnių ir Verkių regioninių parkų lankytojų centras.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Neries regioninio parko lankytojų centro išplėtojimas.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Numatomos įrengti vidaus ir lauko ekspozicijos (pirminis sąrašas):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Bitininkystės muziejaus ekspozicijų kompleksas Aukštaitijos nacionaliniame parke.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Vidaus ekspozicija informaciniame centre prie Medžių lajų tako.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Viešvilės valstybinio gamtinio rezervato lankytojų centro vidaus ekspozicija.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Pagramančio regioninio parko lankytojų centro vidaus ekspozicija.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Nemuno deltos regioninio parko lankytojų centro vidaus ekspozicija.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 Kurtuvėnų regioninio parko lankytojų centro vidaus ekspozicija.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Žuvinto biosferos rezervato lankytojų centro vidaus ekspozicija.“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2023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25000/7240500 </w:t>
                    </w:r>
                  </w:p>
                </w:tc>
                <w:tc>
                  <w:tcPr>
                    <w:tcW w:w="1842" w:type="dxa"/>
                  </w:tcPr>
                  <w:p>
                    <w:pPr>
                      <w:jc w:val="center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Valstybinė saugomų teritorijų tarnyba ir / arba </w:t>
                    </w:r>
                    <w:r>
                      <w:rPr>
                        <w:szCs w:val="24"/>
                      </w:rPr>
                      <w:t>saugomų teritorijų direkcijos</w:t>
                    </w:r>
                  </w:p>
                </w:tc>
              </w:tr>
            </w:tbl>
            <w:p>
              <w:pPr>
                <w:widowControl w:val="0"/>
                <w:rPr>
                  <w:szCs w:val="24"/>
                </w:rPr>
              </w:pPr>
            </w:p>
            <w:p>
              <w:pPr>
                <w:tabs>
                  <w:tab w:val="left" w:pos="6379"/>
                </w:tabs>
                <w:rPr>
                  <w:rFonts w:eastAsia="Andale Sans UI"/>
                  <w:szCs w:val="24"/>
                  <w:lang w:bidi="en-US"/>
                </w:rPr>
              </w:pPr>
            </w:p>
            <w:p/>
            <w:tbl>
              <w:tblPr>
                <w:tblW w:w="9631" w:type="dxa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817"/>
                <w:gridCol w:w="4814"/>
              </w:tblGrid>
              <w:tr>
                <w:trPr>
                  <w:cantSplit/>
                  <w:trHeight w:val="297"/>
                </w:trPr>
                <w:tc>
                  <w:tcPr>
                    <w:tcW w:w="4817" w:type="dxa"/>
                    <w:vAlign w:val="bottom"/>
                  </w:tcPr>
                  <w:p>
                    <w:r>
                      <w:t xml:space="preserve">Laikinai einantis aplinkos </w:t>
                    </w:r>
                  </w:p>
                  <w:p>
                    <w:r>
                      <w:t>ministro pareigas</w:t>
                    </w:r>
                    <w:r>
                      <w:rPr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4814" w:type="dxa"/>
                    <w:vAlign w:val="bottom"/>
                  </w:tcPr>
                  <w:p>
                    <w:pPr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Kęstutis Trečiokas</w:t>
                    </w:r>
                  </w:p>
                  <w:p>
                    <w:pPr>
                      <w:ind w:firstLine="720"/>
                      <w:jc w:val="right"/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  <w:p>
              <w:pPr>
                <w:rPr>
                  <w:rFonts w:eastAsia="Andale Sans UI"/>
                  <w:szCs w:val="24"/>
                  <w:lang w:bidi="en-US"/>
                </w:rPr>
              </w:pPr>
            </w:p>
          </w:sdtContent>
        </w:sdt>
        <w:sdt>
          <w:sdtPr>
            <w:alias w:val="signatura"/>
            <w:tag w:val="part_382c1941d04b4cb9ae5f2052c7b3154a"/>
            <w:lock w:val="sdtLocked"/>
            <w:richText/>
          </w:sdtPr>
          <w:sdtContent>
            <w:p>
              <w:pPr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Parengė </w:t>
              </w:r>
            </w:p>
            <w:p>
              <w:pPr>
                <w:rPr>
                  <w:szCs w:val="24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Vaidė Porvaneckienė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3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ndale Sans UI">
    <w:altName w:val="Century Gothic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2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2088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9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6af96c5ab2d47389cfcf2c6e0e72f08" PartId="b5a7fdf0353e40518e1bc02e236f94ab">
    <Part Type="preambule" DocPartId="48a8ad60c96c43699d1cd9fe465c2a1c" PartId="01995e9a28e443ef8114428580a5f135"/>
    <Part Type="punktas" Nr="1" Abbr="1 p." DocPartId="24c33913527a4b3a9774f7387755a29b" PartId="f134d4d0d08e45f5bf24e94cec43a051"/>
    <Part Type="punktas" Nr="2" Abbr="2 p." DocPartId="b7717d4cd8844832b15bf039cb89c155" PartId="c3854019e57c424f910a25ca7fa42e72"/>
    <Part Type="punktas" Nr="3" Abbr="3 p." DocPartId="7ac05695f86a4bae96a84b0db168d6d7" PartId="27a15b6bda4a4924878242d3e4e98214"/>
    <Part Type="signatura" DocPartId="c464fbabeceb4b25878072606d5f6d08" PartId="382c1941d04b4cb9ae5f2052c7b3154a"/>
  </Part>
</Parts>
</file>

<file path=customXml/itemProps1.xml><?xml version="1.0" encoding="utf-8"?>
<ds:datastoreItem xmlns:ds="http://schemas.openxmlformats.org/officeDocument/2006/customXml" ds:itemID="{AA71AE30-9382-418E-9823-736DFBE056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804</Words>
  <Characters>5815</Characters>
  <Application>Microsoft Office Word</Application>
  <DocSecurity>4</DocSecurity>
  <Lines>242</Lines>
  <Paragraphs>122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6497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2016-12-09T07:27:00Z</dcterms:created>
  <dc:creator>o.pivoriene</dc:creator>
  <lastModifiedBy>adlibuser</lastModifiedBy>
  <lastPrinted>2016-11-28T14:23:00Z</lastPrinted>
  <dcterms:modified xsi:type="dcterms:W3CDTF">2016-12-09T07:27:00Z</dcterms:modified>
  <revision>2</revision>
</coreProperties>
</file>