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47c5f47f40444cdb9d9758572e1facb"/>
        <w:id w:val="1677227781"/>
        <w:lock w:val="sdtLocked"/>
      </w:sdtPr>
      <w:sdtEndPr/>
      <w:sdtContent>
        <w:p w:rsidR="00A72A20" w:rsidRDefault="0015271D" w:rsidP="0015271D">
          <w:pPr>
            <w:tabs>
              <w:tab w:val="center" w:pos="4153"/>
              <w:tab w:val="right" w:pos="8306"/>
            </w:tabs>
            <w:ind w:right="120"/>
            <w:jc w:val="center"/>
            <w:rPr>
              <w:b/>
              <w:bCs/>
            </w:rPr>
          </w:pPr>
          <w:r>
            <w:rPr>
              <w:noProof/>
              <w:lang w:eastAsia="lt-LT"/>
            </w:rPr>
            <w:drawing>
              <wp:inline distT="0" distB="0" distL="0" distR="0" wp14:anchorId="2A72BAA5">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A72A20" w:rsidRDefault="00A72A20">
          <w:pPr>
            <w:rPr>
              <w:sz w:val="14"/>
              <w:szCs w:val="14"/>
            </w:rPr>
          </w:pPr>
        </w:p>
        <w:p w:rsidR="00A72A20" w:rsidRDefault="0015271D">
          <w:pPr>
            <w:jc w:val="center"/>
            <w:rPr>
              <w:b/>
              <w:caps/>
              <w:szCs w:val="24"/>
            </w:rPr>
          </w:pPr>
          <w:r>
            <w:rPr>
              <w:b/>
              <w:caps/>
              <w:szCs w:val="24"/>
            </w:rPr>
            <w:t>LIETUVOS RESPUBLIKOS Ekonomikos ir inovacijų MINISTRAS</w:t>
          </w:r>
        </w:p>
        <w:p w:rsidR="00A72A20" w:rsidRDefault="00A72A20">
          <w:pPr>
            <w:jc w:val="center"/>
            <w:rPr>
              <w:b/>
              <w:caps/>
              <w:szCs w:val="24"/>
              <w:lang w:eastAsia="ko-KR"/>
            </w:rPr>
          </w:pPr>
        </w:p>
        <w:p w:rsidR="00A72A20" w:rsidRDefault="0015271D">
          <w:pPr>
            <w:tabs>
              <w:tab w:val="left" w:pos="3402"/>
              <w:tab w:val="left" w:pos="4110"/>
              <w:tab w:val="left" w:pos="4678"/>
              <w:tab w:val="center" w:pos="5179"/>
            </w:tabs>
            <w:jc w:val="center"/>
            <w:rPr>
              <w:b/>
              <w:caps/>
              <w:szCs w:val="24"/>
              <w:lang w:eastAsia="ko-KR"/>
            </w:rPr>
          </w:pPr>
          <w:r>
            <w:rPr>
              <w:b/>
              <w:caps/>
              <w:szCs w:val="24"/>
              <w:lang w:eastAsia="ko-KR"/>
            </w:rPr>
            <w:t>įsakymas</w:t>
          </w:r>
        </w:p>
        <w:p w:rsidR="00A72A20" w:rsidRDefault="0015271D">
          <w:pPr>
            <w:jc w:val="center"/>
            <w:rPr>
              <w:b/>
              <w:bCs/>
              <w:caps/>
              <w:color w:val="000000"/>
              <w:szCs w:val="24"/>
              <w:lang w:eastAsia="ko-KR"/>
            </w:rPr>
          </w:pPr>
          <w:r>
            <w:rPr>
              <w:b/>
              <w:szCs w:val="24"/>
              <w:lang w:eastAsia="ko-KR"/>
            </w:rPr>
            <w:t xml:space="preserve">DĖL </w:t>
          </w:r>
          <w:r>
            <w:rPr>
              <w:b/>
              <w:bCs/>
              <w:caps/>
              <w:color w:val="000000"/>
              <w:szCs w:val="24"/>
              <w:lang w:eastAsia="ko-KR"/>
            </w:rPr>
            <w:t xml:space="preserve">EKONOMIKOS IR INOVACIJŲ MINISTRO </w:t>
          </w:r>
        </w:p>
        <w:p w:rsidR="00A72A20" w:rsidRDefault="0015271D">
          <w:pPr>
            <w:jc w:val="center"/>
            <w:rPr>
              <w:b/>
              <w:szCs w:val="24"/>
              <w:lang w:eastAsia="ko-KR"/>
            </w:rPr>
          </w:pPr>
          <w:r>
            <w:rPr>
              <w:b/>
              <w:szCs w:val="24"/>
              <w:lang w:eastAsia="ko-KR"/>
            </w:rPr>
            <w:t>2024 M. BALANDŽIO 26 D. ĮSAKYMO NR. 4-233</w:t>
          </w:r>
          <w:r>
            <w:rPr>
              <w:szCs w:val="24"/>
              <w:lang w:eastAsia="ko-KR"/>
            </w:rPr>
            <w:t xml:space="preserve"> </w:t>
          </w:r>
          <w:r>
            <w:rPr>
              <w:b/>
              <w:szCs w:val="24"/>
              <w:lang w:eastAsia="ko-KR"/>
            </w:rPr>
            <w:t xml:space="preserve">„DĖL SKATINAMOSIOS FINANSINĖS </w:t>
          </w:r>
          <w:r>
            <w:rPr>
              <w:b/>
              <w:szCs w:val="24"/>
              <w:lang w:eastAsia="ko-KR"/>
            </w:rPr>
            <w:t>PRIEMONĖS „MILIJARDAS VERSLUI“ SCHEMOS PATVIRTINIMO“ PAKEITIMO</w:t>
          </w:r>
        </w:p>
        <w:p w:rsidR="00A72A20" w:rsidRDefault="00A72A20">
          <w:pPr>
            <w:jc w:val="center"/>
            <w:rPr>
              <w:szCs w:val="24"/>
              <w:lang w:eastAsia="ko-KR"/>
            </w:rPr>
          </w:pPr>
        </w:p>
        <w:p w:rsidR="00A72A20" w:rsidRDefault="0015271D">
          <w:pPr>
            <w:jc w:val="center"/>
            <w:rPr>
              <w:szCs w:val="24"/>
              <w:lang w:eastAsia="ko-KR"/>
            </w:rPr>
          </w:pPr>
          <w:r>
            <w:t>2024 m. rugpjūčio 28 d.</w:t>
          </w:r>
          <w:r>
            <w:t xml:space="preserve"> </w:t>
          </w:r>
          <w:r>
            <w:rPr>
              <w:szCs w:val="24"/>
              <w:lang w:eastAsia="ko-KR"/>
            </w:rPr>
            <w:t xml:space="preserve">Nr. </w:t>
          </w:r>
          <w:r w:rsidRPr="0015271D">
            <w:rPr>
              <w:szCs w:val="24"/>
              <w:lang w:eastAsia="ko-KR"/>
            </w:rPr>
            <w:t>4-457</w:t>
          </w:r>
        </w:p>
        <w:p w:rsidR="00A72A20" w:rsidRDefault="0015271D">
          <w:pPr>
            <w:jc w:val="center"/>
            <w:rPr>
              <w:szCs w:val="24"/>
              <w:lang w:eastAsia="ko-KR"/>
            </w:rPr>
          </w:pPr>
          <w:r>
            <w:rPr>
              <w:szCs w:val="24"/>
              <w:lang w:eastAsia="ko-KR"/>
            </w:rPr>
            <w:t>Vilnius</w:t>
          </w:r>
        </w:p>
        <w:p w:rsidR="00A72A20" w:rsidRDefault="00A72A20">
          <w:pPr>
            <w:jc w:val="center"/>
            <w:rPr>
              <w:szCs w:val="24"/>
              <w:lang w:eastAsia="ko-KR"/>
            </w:rPr>
          </w:pPr>
        </w:p>
        <w:sdt>
          <w:sdtPr>
            <w:alias w:val="1 p."/>
            <w:tag w:val="part_0df01e58252f4b64b3fb1f8e60269cf2"/>
            <w:id w:val="-58332869"/>
            <w:lock w:val="sdtLocked"/>
          </w:sdtPr>
          <w:sdtEndPr/>
          <w:sdtContent>
            <w:p w:rsidR="00A72A20" w:rsidRDefault="0015271D">
              <w:pPr>
                <w:tabs>
                  <w:tab w:val="left" w:pos="709"/>
                </w:tabs>
                <w:ind w:right="142" w:firstLine="709"/>
                <w:jc w:val="both"/>
                <w:rPr>
                  <w:rFonts w:eastAsia="Calibri"/>
                  <w:szCs w:val="24"/>
                  <w:lang w:eastAsia="ko-KR"/>
                </w:rPr>
              </w:pPr>
              <w:sdt>
                <w:sdtPr>
                  <w:alias w:val="Numeris"/>
                  <w:tag w:val="nr_0df01e58252f4b64b3fb1f8e60269cf2"/>
                  <w:id w:val="-932352432"/>
                  <w:lock w:val="sdtLocked"/>
                </w:sdtPr>
                <w:sdtEndPr/>
                <w:sdtContent>
                  <w:r>
                    <w:rPr>
                      <w:rFonts w:eastAsia="Calibri"/>
                      <w:szCs w:val="24"/>
                      <w:lang w:eastAsia="ko-KR"/>
                    </w:rPr>
                    <w:t>1</w:t>
                  </w:r>
                </w:sdtContent>
              </w:sdt>
              <w:r>
                <w:rPr>
                  <w:rFonts w:eastAsia="Calibri"/>
                  <w:szCs w:val="24"/>
                  <w:lang w:eastAsia="ko-KR"/>
                </w:rPr>
                <w:t xml:space="preserve">. P a k e i č i u  </w:t>
              </w:r>
              <w:r>
                <w:rPr>
                  <w:szCs w:val="24"/>
                  <w:lang w:eastAsia="ko-KR"/>
                </w:rPr>
                <w:t>Skatinamosios finansinės priemonės „Milijardas verslui“ schemą</w:t>
              </w:r>
              <w:r>
                <w:rPr>
                  <w:rFonts w:eastAsia="Calibri"/>
                  <w:szCs w:val="24"/>
                  <w:lang w:eastAsia="ko-KR"/>
                </w:rPr>
                <w:t>, patvirtintą Lietuvos Respublikos ekonomikos ir inovacijų ministr</w:t>
              </w:r>
              <w:r>
                <w:rPr>
                  <w:rFonts w:eastAsia="Calibri"/>
                  <w:szCs w:val="24"/>
                  <w:lang w:eastAsia="ko-KR"/>
                </w:rPr>
                <w:t>o 2024 m. balandžio 26 d. įsakymu Nr. 4-233 „Dėl Skatinamosios finansinės priemonės „Milijardas verslui“ schemos patvirtinimo“:</w:t>
              </w:r>
            </w:p>
            <w:sdt>
              <w:sdtPr>
                <w:alias w:val="1.1 pp."/>
                <w:tag w:val="part_14a9be39c84342dc83636e7f10d8eb30"/>
                <w:id w:val="369650899"/>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14a9be39c84342dc83636e7f10d8eb30"/>
                      <w:id w:val="1030232945"/>
                      <w:lock w:val="sdtLocked"/>
                    </w:sdtPr>
                    <w:sdtEndPr/>
                    <w:sdtContent>
                      <w:r>
                        <w:rPr>
                          <w:rFonts w:eastAsia="Calibri"/>
                          <w:szCs w:val="24"/>
                          <w:lang w:eastAsia="ko-KR"/>
                        </w:rPr>
                        <w:t>1.1</w:t>
                      </w:r>
                    </w:sdtContent>
                  </w:sdt>
                  <w:r>
                    <w:rPr>
                      <w:rFonts w:eastAsia="Calibri"/>
                      <w:szCs w:val="24"/>
                      <w:lang w:eastAsia="ko-KR"/>
                    </w:rPr>
                    <w:t>. Pakeičiu 2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szCs w:val="24"/>
                            <w:lang w:eastAsia="lt-LT"/>
                          </w:rPr>
                        </w:pPr>
                        <w:r>
                          <w:rPr>
                            <w:color w:val="000000"/>
                            <w:szCs w:val="24"/>
                            <w:lang w:eastAsia="lt-LT"/>
                          </w:rPr>
                          <w:t>„2.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szCs w:val="24"/>
                            <w:lang w:eastAsia="lt-LT"/>
                          </w:rPr>
                        </w:pPr>
                        <w:r>
                          <w:rPr>
                            <w:szCs w:val="24"/>
                            <w:lang w:eastAsia="lt-LT"/>
                          </w:rPr>
                          <w:t>Skatinamajai finansinei priemonei „</w:t>
                        </w:r>
                        <w:r>
                          <w:rPr>
                            <w:rFonts w:eastAsia="Calibri"/>
                            <w:szCs w:val="24"/>
                            <w:lang w:eastAsia="ko-KR"/>
                          </w:rPr>
                          <w:t>Milijardas verslui</w:t>
                        </w:r>
                        <w:r>
                          <w:rPr>
                            <w:szCs w:val="24"/>
                            <w:lang w:eastAsia="ko-KR"/>
                          </w:rPr>
                          <w:t>“</w:t>
                        </w:r>
                        <w:r>
                          <w:rPr>
                            <w:szCs w:val="24"/>
                            <w:lang w:eastAsia="lt-LT"/>
                          </w:rPr>
                          <w:t xml:space="preserve"> (toliau – Priemonė) </w:t>
                        </w:r>
                        <w:r>
                          <w:rPr>
                            <w:color w:val="000000"/>
                            <w:szCs w:val="24"/>
                            <w:lang w:eastAsia="lt-LT"/>
                          </w:rPr>
                          <w:t>skiriama finansavimo suma</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lang w:eastAsia="lt-LT"/>
                          </w:rPr>
                        </w:pPr>
                        <w:r>
                          <w:rPr>
                            <w:color w:val="000000"/>
                            <w:lang w:eastAsia="lt-LT"/>
                          </w:rPr>
                          <w:t>1 100 000 000 (vienas milijardas vienas šimtas milijonų) eurų (įskaitant valdymo mokestį INVEGAI), iš kurių 850 000 000 (aštuoni šimtai penkiasdešimt milijonų) eurų Ekonomikos gaivinimo ir atsparumo didinimo priemonės paskolos lėš</w:t>
                        </w:r>
                        <w:r>
                          <w:rPr>
                            <w:color w:val="000000"/>
                            <w:lang w:eastAsia="lt-LT"/>
                          </w:rPr>
                          <w:t xml:space="preserve">ų ir 250 000 000 (du šimtai penkiasdešimt milijonų) eurų </w:t>
                        </w:r>
                        <w:r>
                          <w:rPr>
                            <w:color w:val="000000"/>
                            <w:szCs w:val="24"/>
                            <w:lang w:eastAsia="lt-LT"/>
                          </w:rPr>
                          <w:t>kontroliuojančiojo fondo „INVEGOS fondas“</w:t>
                        </w:r>
                        <w:r>
                          <w:rPr>
                            <w:color w:val="000000"/>
                            <w:lang w:eastAsia="lt-LT"/>
                          </w:rPr>
                          <w:t xml:space="preserve"> (toliau – INVEGOS fondas) lėšų.“ </w:t>
                        </w:r>
                      </w:p>
                      <w:p w:rsidR="00A72A20" w:rsidRDefault="00A72A20">
                        <w:pPr>
                          <w:suppressAutoHyphens/>
                          <w:jc w:val="both"/>
                          <w:textAlignment w:val="center"/>
                          <w:rPr>
                            <w:color w:val="000000"/>
                            <w:lang w:eastAsia="lt-LT"/>
                          </w:rPr>
                        </w:pPr>
                      </w:p>
                    </w:tc>
                  </w:tr>
                </w:tbl>
                <w:p w:rsidR="00A72A20" w:rsidRDefault="0015271D">
                  <w:pPr>
                    <w:tabs>
                      <w:tab w:val="left" w:pos="567"/>
                    </w:tabs>
                    <w:ind w:right="142"/>
                    <w:jc w:val="both"/>
                    <w:rPr>
                      <w:rFonts w:eastAsia="Calibri"/>
                      <w:szCs w:val="24"/>
                      <w:lang w:eastAsia="ko-KR"/>
                    </w:rPr>
                  </w:pPr>
                </w:p>
              </w:sdtContent>
            </w:sdt>
            <w:sdt>
              <w:sdtPr>
                <w:alias w:val="1.2 pp."/>
                <w:tag w:val="part_54fc475ea5554d4fb395e6e19f3b2ac4"/>
                <w:id w:val="967702599"/>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54fc475ea5554d4fb395e6e19f3b2ac4"/>
                      <w:id w:val="1186327499"/>
                      <w:lock w:val="sdtLocked"/>
                    </w:sdtPr>
                    <w:sdtEndPr/>
                    <w:sdtContent>
                      <w:r>
                        <w:rPr>
                          <w:rFonts w:eastAsia="Calibri"/>
                          <w:szCs w:val="24"/>
                          <w:lang w:eastAsia="ko-KR"/>
                        </w:rPr>
                        <w:t>1.2</w:t>
                      </w:r>
                    </w:sdtContent>
                  </w:sdt>
                  <w:r>
                    <w:rPr>
                      <w:rFonts w:eastAsia="Calibri"/>
                      <w:szCs w:val="24"/>
                      <w:lang w:eastAsia="ko-KR"/>
                    </w:rPr>
                    <w:t>. Pakeičiu 1.3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pPr>
                        <w:r>
                          <w:t>„1.3. 2022–2030 metų ekonomikos transformacijos ir konkurencingumo</w:t>
                        </w:r>
                        <w:r>
                          <w:t xml:space="preserve"> plėtros programos pažangos priemonės </w:t>
                        </w:r>
                        <w:r>
                          <w:br/>
                          <w:t xml:space="preserve">Nr. 05-001-01-04-02 „Skatinti įmones pereiti link neutralios klimatui ekonomikos“ aprašas, patvirtintas Lietuvos Respublikos ekonomikos ir inovacijų ministro 2022 m. liepos 11 d. įsakymu Nr. 4-861 „Dėl 2022–2030 metų </w:t>
                        </w:r>
                        <w:r>
                          <w:t>ekonomikos transformacijos ir konkurencingumo plėtros programos pažangos priemonės Nr. 05-001-01-04-02 „Skatinti įmones pereiti link neutralios klimatui ekonomikos“ aprašo patvirtinimo“;“.</w:t>
                        </w:r>
                      </w:p>
                    </w:tc>
                  </w:tr>
                </w:tbl>
                <w:p w:rsidR="00A72A20" w:rsidRDefault="0015271D">
                  <w:pPr>
                    <w:tabs>
                      <w:tab w:val="left" w:pos="567"/>
                    </w:tabs>
                    <w:ind w:right="142"/>
                    <w:jc w:val="both"/>
                    <w:rPr>
                      <w:rFonts w:eastAsia="Calibri"/>
                      <w:szCs w:val="24"/>
                      <w:lang w:eastAsia="ko-KR"/>
                    </w:rPr>
                  </w:pPr>
                </w:p>
              </w:sdtContent>
            </w:sdt>
            <w:sdt>
              <w:sdtPr>
                <w:alias w:val="1.3 pp."/>
                <w:tag w:val="part_87a538745c1c4354915e9560c2a9f5ad"/>
                <w:id w:val="337904203"/>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87a538745c1c4354915e9560c2a9f5ad"/>
                      <w:id w:val="401791945"/>
                      <w:lock w:val="sdtLocked"/>
                    </w:sdtPr>
                    <w:sdtEndPr/>
                    <w:sdtContent>
                      <w:r>
                        <w:rPr>
                          <w:rFonts w:eastAsia="Calibri"/>
                          <w:szCs w:val="24"/>
                          <w:lang w:eastAsia="ko-KR"/>
                        </w:rPr>
                        <w:t>1.3</w:t>
                      </w:r>
                    </w:sdtContent>
                  </w:sdt>
                  <w:r>
                    <w:rPr>
                      <w:rFonts w:eastAsia="Calibri"/>
                      <w:szCs w:val="24"/>
                      <w:lang w:eastAsia="ko-KR"/>
                    </w:rPr>
                    <w:t>. Pakeičiu 5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szCs w:val="24"/>
                            <w:lang w:eastAsia="lt-LT"/>
                          </w:rPr>
                        </w:pPr>
                        <w:r>
                          <w:rPr>
                            <w:color w:val="000000"/>
                            <w:szCs w:val="24"/>
                            <w:lang w:eastAsia="lt-LT"/>
                          </w:rPr>
                          <w:t>„5.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szCs w:val="24"/>
                            <w:lang w:eastAsia="lt-LT"/>
                          </w:rPr>
                        </w:pPr>
                        <w:r>
                          <w:rPr>
                            <w:color w:val="000000"/>
                            <w:szCs w:val="24"/>
                            <w:lang w:eastAsia="lt-LT"/>
                          </w:rPr>
                          <w:t>Sąvokos</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A72A20" w:rsidRDefault="0015271D">
                        <w:pPr>
                          <w:suppressAutoHyphens/>
                          <w:jc w:val="both"/>
                          <w:textAlignment w:val="center"/>
                          <w:rPr>
                            <w:color w:val="000000"/>
                            <w:lang w:eastAsia="lt-LT"/>
                          </w:rPr>
                        </w:pPr>
                        <w:r>
                          <w:rPr>
                            <w:color w:val="000000"/>
                            <w:lang w:eastAsia="lt-LT"/>
                          </w:rPr>
                          <w:t>Schem</w:t>
                        </w:r>
                        <w:r>
                          <w:rPr>
                            <w:color w:val="000000"/>
                            <w:lang w:eastAsia="lt-LT"/>
                          </w:rPr>
                          <w:t>oje vartojamos sąvokos suprantamos taip, kaip jos apibrėžtos Lietuvos Respublikos finansų įstaigų įstatyme, Lietuvos Respublikos įmonių ir įmonių grupių atskaitomybės įstatyme, Lietuvos Respublikos nacionalinės plėtros įstaigos įstatyme, Lietuvos Respublik</w:t>
                        </w:r>
                        <w:r>
                          <w:rPr>
                            <w:color w:val="000000"/>
                            <w:lang w:eastAsia="lt-LT"/>
                          </w:rPr>
                          <w:t>os smulkiojo ir vidutinio verslo plėtros įstatyme.“</w:t>
                        </w:r>
                      </w:p>
                    </w:tc>
                  </w:tr>
                </w:tbl>
                <w:p w:rsidR="00A72A20" w:rsidRDefault="0015271D">
                  <w:pPr>
                    <w:tabs>
                      <w:tab w:val="left" w:pos="567"/>
                    </w:tabs>
                    <w:ind w:right="142"/>
                    <w:jc w:val="both"/>
                    <w:rPr>
                      <w:rFonts w:eastAsia="Calibri"/>
                      <w:szCs w:val="24"/>
                      <w:lang w:eastAsia="ko-KR"/>
                    </w:rPr>
                  </w:pPr>
                </w:p>
              </w:sdtContent>
            </w:sdt>
            <w:sdt>
              <w:sdtPr>
                <w:alias w:val="1.4 pp."/>
                <w:tag w:val="part_979b3548ce584c65b7fee02ca65d7d7a"/>
                <w:id w:val="42884045"/>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979b3548ce584c65b7fee02ca65d7d7a"/>
                      <w:id w:val="913132064"/>
                      <w:lock w:val="sdtLocked"/>
                    </w:sdtPr>
                    <w:sdtEndPr/>
                    <w:sdtContent>
                      <w:r>
                        <w:rPr>
                          <w:rFonts w:eastAsia="Calibri"/>
                          <w:szCs w:val="24"/>
                          <w:lang w:eastAsia="ko-KR"/>
                        </w:rPr>
                        <w:t>1.4</w:t>
                      </w:r>
                    </w:sdtContent>
                  </w:sdt>
                  <w:r>
                    <w:rPr>
                      <w:rFonts w:eastAsia="Calibri"/>
                      <w:szCs w:val="24"/>
                      <w:lang w:eastAsia="ko-KR"/>
                    </w:rPr>
                    <w:t>. Pakeičiu 7.1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A72A20" w:rsidRDefault="0015271D">
                        <w:pPr>
                          <w:suppressAutoHyphens/>
                          <w:jc w:val="both"/>
                          <w:textAlignment w:val="center"/>
                          <w:rPr>
                            <w:color w:val="000000"/>
                            <w:lang w:eastAsia="lt-LT"/>
                          </w:rPr>
                        </w:pPr>
                        <w:r>
                          <w:rPr>
                            <w:rFonts w:eastAsia="Calibri"/>
                            <w:szCs w:val="24"/>
                            <w:lang w:eastAsia="ko-KR"/>
                          </w:rPr>
                          <w:t xml:space="preserve">„7.1. Paskolos teikiamos labai mažoms, mažoms ir vidutinėms įmonėms, didelėms įmonėms jų Projektams finansuoti. </w:t>
                        </w:r>
                        <w:r>
                          <w:rPr>
                            <w:color w:val="000000"/>
                            <w:lang w:eastAsia="lt-LT"/>
                          </w:rPr>
                          <w:t xml:space="preserve">INVEGOS fondo lėšos gali būti skirtos tik </w:t>
                        </w:r>
                        <w:r>
                          <w:rPr>
                            <w:lang w:eastAsia="lt-LT"/>
                          </w:rPr>
                          <w:t>gynybos ir saugumo sektoriuose veiklą vykdančių Paskolos gavėjų Projektams finansuoti</w:t>
                        </w:r>
                        <w:r>
                          <w:rPr>
                            <w:color w:val="000000"/>
                            <w:lang w:eastAsia="lt-LT"/>
                          </w:rPr>
                          <w:t>.“</w:t>
                        </w:r>
                      </w:p>
                    </w:tc>
                  </w:tr>
                </w:tbl>
                <w:p w:rsidR="00A72A20" w:rsidRDefault="0015271D">
                  <w:pPr>
                    <w:tabs>
                      <w:tab w:val="left" w:pos="567"/>
                    </w:tabs>
                    <w:ind w:right="142"/>
                    <w:jc w:val="both"/>
                    <w:rPr>
                      <w:rFonts w:eastAsia="Calibri"/>
                      <w:szCs w:val="24"/>
                      <w:lang w:eastAsia="ko-KR"/>
                    </w:rPr>
                  </w:pPr>
                </w:p>
              </w:sdtContent>
            </w:sdt>
            <w:sdt>
              <w:sdtPr>
                <w:alias w:val="1.5 pp."/>
                <w:tag w:val="part_886c56ee20ce417fb9a08755415850fb"/>
                <w:id w:val="891922100"/>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886c56ee20ce417fb9a08755415850fb"/>
                      <w:id w:val="230203530"/>
                      <w:lock w:val="sdtLocked"/>
                    </w:sdtPr>
                    <w:sdtEndPr/>
                    <w:sdtContent>
                      <w:r>
                        <w:rPr>
                          <w:rFonts w:eastAsia="Calibri"/>
                          <w:szCs w:val="24"/>
                          <w:lang w:eastAsia="ko-KR"/>
                        </w:rPr>
                        <w:t>1.5</w:t>
                      </w:r>
                    </w:sdtContent>
                  </w:sdt>
                  <w:r>
                    <w:rPr>
                      <w:rFonts w:eastAsia="Calibri"/>
                      <w:szCs w:val="24"/>
                      <w:lang w:eastAsia="ko-KR"/>
                    </w:rPr>
                    <w:t>. Pakeičiu 7.2.1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bCs/>
                            <w:color w:val="000000"/>
                          </w:rPr>
                        </w:pPr>
                        <w:r>
                          <w:rPr>
                            <w:bCs/>
                            <w:color w:val="000000"/>
                          </w:rPr>
                          <w:t>„7.2.1. Paskolos gavėjas veikia Lietuvos Respublikoje. Paskolos gavė</w:t>
                        </w:r>
                        <w:r>
                          <w:rPr>
                            <w:bCs/>
                            <w:color w:val="000000"/>
                          </w:rPr>
                          <w:t>jas laikomas veikiančiu Lietuvos Respublikoje tuo atveju, jei jis kuria darbo vietas Lietuvos Respublikoje ir (arba) nuo savo vykdomos veiklos moka mokesčius į Lietuvos Respublikos valstybės biudžetą, įmokas</w:t>
                        </w:r>
                        <w:r>
                          <w:rPr>
                            <w:rFonts w:eastAsia="Calibri"/>
                            <w:bCs/>
                            <w:color w:val="000000"/>
                            <w:szCs w:val="24"/>
                          </w:rPr>
                          <w:t xml:space="preserve"> į Valstybinio socialinio draudimo fondą, Garanti</w:t>
                        </w:r>
                        <w:r>
                          <w:rPr>
                            <w:rFonts w:eastAsia="Calibri"/>
                            <w:bCs/>
                            <w:color w:val="000000"/>
                            <w:szCs w:val="24"/>
                          </w:rPr>
                          <w:t>nį fondą ir Ilgalaikio darbo išmokų fondą</w:t>
                        </w:r>
                        <w:r>
                          <w:rPr>
                            <w:bCs/>
                            <w:color w:val="000000"/>
                          </w:rPr>
                          <w:t xml:space="preserve">. Paraiškos pateikimo metu Paskolos gavėjas gali būti neveikiantis Lietuvos Respublikoje, jei jis pateikia Paskolos davėjui viešosios įstaigos „Investuok Lietuvoje“ raštą, patvirtinantį, kad Paskolos gavėjui </w:t>
                        </w:r>
                        <w:r>
                          <w:rPr>
                            <w:bCs/>
                            <w:color w:val="000000"/>
                          </w:rPr>
                          <w:t>teikiamos Lietuvos Respublikos investicijų įstatymo 13 straipsnio 4 dalyje nurodytos konsultacijos. Tokiu atveju veikimą Lietuvos Respublikoje patvirtinančius dokumentus Paskolos gavėjas pateikia Paskolos davėjui iki Paskolos sutarties pasirašymo.“</w:t>
                        </w:r>
                      </w:p>
                    </w:tc>
                  </w:tr>
                </w:tbl>
                <w:p w:rsidR="00A72A20" w:rsidRDefault="0015271D">
                  <w:pPr>
                    <w:tabs>
                      <w:tab w:val="left" w:pos="567"/>
                    </w:tabs>
                    <w:ind w:right="142"/>
                    <w:jc w:val="both"/>
                    <w:rPr>
                      <w:rFonts w:eastAsia="Calibri"/>
                      <w:szCs w:val="24"/>
                      <w:lang w:eastAsia="ko-KR"/>
                    </w:rPr>
                  </w:pPr>
                </w:p>
              </w:sdtContent>
            </w:sdt>
            <w:sdt>
              <w:sdtPr>
                <w:alias w:val="1.6 pp."/>
                <w:tag w:val="part_8291003139c54dcb809102b24adadc81"/>
                <w:id w:val="-1299994683"/>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8291003139c54dcb809102b24adadc81"/>
                      <w:id w:val="-1447773151"/>
                      <w:lock w:val="sdtLocked"/>
                    </w:sdtPr>
                    <w:sdtEndPr/>
                    <w:sdtContent>
                      <w:r>
                        <w:rPr>
                          <w:rFonts w:eastAsia="Calibri"/>
                          <w:szCs w:val="24"/>
                          <w:lang w:eastAsia="ko-KR"/>
                        </w:rPr>
                        <w:t>1.6</w:t>
                      </w:r>
                    </w:sdtContent>
                  </w:sdt>
                  <w:r>
                    <w:rPr>
                      <w:rFonts w:eastAsia="Calibri"/>
                      <w:szCs w:val="24"/>
                      <w:lang w:eastAsia="ko-KR"/>
                    </w:rPr>
                    <w:t>. Pakeičiu 7.2.5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szCs w:val="24"/>
                            <w:lang w:eastAsia="lt-LT"/>
                          </w:rPr>
                        </w:pPr>
                        <w:r>
                          <w:rPr>
                            <w:bCs/>
                            <w:color w:val="000000"/>
                          </w:rPr>
                          <w:t xml:space="preserve">„7.2.5. </w:t>
                        </w:r>
                        <w:r>
                          <w:rPr>
                            <w:szCs w:val="24"/>
                            <w:lang w:eastAsia="lt-LT"/>
                          </w:rPr>
                          <w:t>Paskolos gavėjas nėra valstybės ir (ar) savivaldybės įmonė arba įmonė, kurioje 25 procentus ir daugiau įmonės akcijų, pajų ar kitokių dalyvavimą įmonės kapitale žyminčių kapitalo dalių arba 25 proc</w:t>
                        </w:r>
                        <w:r>
                          <w:rPr>
                            <w:szCs w:val="24"/>
                            <w:lang w:eastAsia="lt-LT"/>
                          </w:rPr>
                          <w:t xml:space="preserve">entus ir daugiau įmonės dalyvių balsų tiesiogiai ar netiesiogiai (pagal balsavimo sutartį, balsavimo teisės perleidimo sutartį, įgaliojimą ir pan.) atskirai arba kartu turi valstybė ir (ar) savivaldybė </w:t>
                        </w:r>
                        <w:r>
                          <w:rPr>
                            <w:rFonts w:eastAsia="Calibri"/>
                          </w:rPr>
                          <w:t>(šis Schemos papunktis netaikomas, kai Projektai finan</w:t>
                        </w:r>
                        <w:r>
                          <w:rPr>
                            <w:rFonts w:eastAsia="Calibri"/>
                          </w:rPr>
                          <w:t>suojami INVEGOS fondo lėšomis)</w:t>
                        </w:r>
                        <w:r>
                          <w:rPr>
                            <w:color w:val="000000"/>
                            <w:szCs w:val="24"/>
                          </w:rPr>
                          <w:t>.</w:t>
                        </w:r>
                        <w:r>
                          <w:rPr>
                            <w:szCs w:val="24"/>
                            <w:lang w:eastAsia="lt-LT"/>
                          </w:rPr>
                          <w:t>“</w:t>
                        </w:r>
                      </w:p>
                    </w:tc>
                  </w:tr>
                </w:tbl>
                <w:p w:rsidR="00A72A20" w:rsidRDefault="0015271D">
                  <w:pPr>
                    <w:tabs>
                      <w:tab w:val="left" w:pos="567"/>
                    </w:tabs>
                    <w:ind w:right="142" w:firstLine="709"/>
                    <w:jc w:val="both"/>
                    <w:rPr>
                      <w:rFonts w:eastAsia="Calibri"/>
                      <w:szCs w:val="24"/>
                      <w:lang w:eastAsia="ko-KR"/>
                    </w:rPr>
                  </w:pPr>
                </w:p>
              </w:sdtContent>
            </w:sdt>
            <w:sdt>
              <w:sdtPr>
                <w:alias w:val="1.7 pp."/>
                <w:tag w:val="part_fa4ccab44d424c41a73fb7bbb24d8c48"/>
                <w:id w:val="-1902285851"/>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fa4ccab44d424c41a73fb7bbb24d8c48"/>
                      <w:id w:val="-1538113049"/>
                      <w:lock w:val="sdtLocked"/>
                    </w:sdtPr>
                    <w:sdtEndPr/>
                    <w:sdtContent>
                      <w:r>
                        <w:rPr>
                          <w:rFonts w:eastAsia="Calibri"/>
                          <w:szCs w:val="24"/>
                          <w:lang w:eastAsia="ko-KR"/>
                        </w:rPr>
                        <w:t>1.7</w:t>
                      </w:r>
                    </w:sdtContent>
                  </w:sdt>
                  <w:r>
                    <w:rPr>
                      <w:rFonts w:eastAsia="Calibri"/>
                      <w:szCs w:val="24"/>
                      <w:lang w:eastAsia="ko-KR"/>
                    </w:rPr>
                    <w:t>. Pakeičiu 7.2.13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textAlignment w:val="baseline"/>
                          <w:rPr>
                            <w:lang w:eastAsia="lt-LT"/>
                          </w:rPr>
                        </w:pPr>
                        <w:r>
                          <w:rPr>
                            <w:bCs/>
                            <w:color w:val="000000"/>
                          </w:rPr>
                          <w:t>„</w:t>
                        </w:r>
                        <w:r>
                          <w:t>7.2.13.</w:t>
                        </w:r>
                        <w:r>
                          <w:rPr>
                            <w:lang w:eastAsia="lt-LT"/>
                          </w:rPr>
                          <w:t xml:space="preserve"> </w:t>
                        </w:r>
                        <w:r>
                          <w:rPr>
                            <w:szCs w:val="24"/>
                          </w:rPr>
                          <w:t>Paskolos gavėjo nuosavybės rodiklis (nuosavo kapitalo ir viso turto santykis) po Paskolos suteikimo nėra mažesnis kaip 0,1 arba 0,15, į nuosavą kapitalą įt</w:t>
                        </w:r>
                        <w:r>
                          <w:rPr>
                            <w:szCs w:val="24"/>
                          </w:rPr>
                          <w:t>raukus akcininkų, susijusių ir (ar) kitų trečiųjų asmenų Paskolos gavėjui suteiktas paskolas, subordinuotas</w:t>
                        </w:r>
                        <w:r>
                          <w:rPr>
                            <w:b/>
                            <w:bCs/>
                            <w:szCs w:val="24"/>
                          </w:rPr>
                          <w:t xml:space="preserve"> </w:t>
                        </w:r>
                        <w:r>
                          <w:rPr>
                            <w:szCs w:val="24"/>
                          </w:rPr>
                          <w:t>INVEGOS paskolos (-ų) atžvilgiu (toliau – trečiųjų asmenų subordinuotos paskolos) (be trečiųjų asmenų subordinuotų paskolų nuosavas kapitalas turi b</w:t>
                        </w:r>
                        <w:r>
                          <w:rPr>
                            <w:szCs w:val="24"/>
                          </w:rPr>
                          <w:t>ūti teigiamas), skaičiuojant pagal paskutinių finansinių metų metinių finansinių ataskaitų rinkinį ar paskutinę tarpinę finansinę ataskaitą. Jeigu pagal paskutinių finansinių metų metinių finansinių ataskaitų rinkinį nuosavybės rodiklis po Paskolos suteiki</w:t>
                        </w:r>
                        <w:r>
                          <w:rPr>
                            <w:szCs w:val="24"/>
                          </w:rPr>
                          <w:t>mo yra mažesnis kaip 0,1 arba 0,15, įtraukus trečiųjų asmenų subordinuotas paskolas, o pagal paskutinę tarpinę finansinę ataskaitą yra didesnis kaip 0,1 arba 0,15, įtraukus trečiųjų asmenų subordinuotas paskolas, Paskolos gavėjas privalo pateikti INVEGAI n</w:t>
                        </w:r>
                        <w:r>
                          <w:rPr>
                            <w:szCs w:val="24"/>
                          </w:rPr>
                          <w:t>uosavybės struktūros pokyčius pagrindžiančius dokumentus (sukauptų nuostolių padengimo, kapitalo padidinimo apmokėjimo, turto vertinimo ir (arba) kitus nuosavybės struktūros pokyčius įrodančius dokumentus).</w:t>
                        </w:r>
                        <w:r>
                          <w:rPr>
                            <w:lang w:eastAsia="lt-LT"/>
                          </w:rPr>
                          <w:t>“</w:t>
                        </w:r>
                      </w:p>
                    </w:tc>
                  </w:tr>
                </w:tbl>
                <w:p w:rsidR="00A72A20" w:rsidRDefault="0015271D">
                  <w:pPr>
                    <w:tabs>
                      <w:tab w:val="left" w:pos="567"/>
                    </w:tabs>
                    <w:ind w:right="142"/>
                    <w:jc w:val="both"/>
                    <w:rPr>
                      <w:rFonts w:eastAsia="Calibri"/>
                      <w:szCs w:val="24"/>
                      <w:lang w:eastAsia="ko-KR"/>
                    </w:rPr>
                  </w:pPr>
                </w:p>
              </w:sdtContent>
            </w:sdt>
            <w:sdt>
              <w:sdtPr>
                <w:alias w:val="1.8 pp."/>
                <w:tag w:val="part_9ef9f101dbd24fe0bf10a7a5103790b3"/>
                <w:id w:val="-1594079957"/>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9ef9f101dbd24fe0bf10a7a5103790b3"/>
                      <w:id w:val="2019502452"/>
                      <w:lock w:val="sdtLocked"/>
                    </w:sdtPr>
                    <w:sdtEndPr/>
                    <w:sdtContent>
                      <w:r>
                        <w:rPr>
                          <w:rFonts w:eastAsia="Calibri"/>
                          <w:szCs w:val="24"/>
                          <w:lang w:eastAsia="ko-KR"/>
                        </w:rPr>
                        <w:t>1.8</w:t>
                      </w:r>
                    </w:sdtContent>
                  </w:sdt>
                  <w:r>
                    <w:rPr>
                      <w:rFonts w:eastAsia="Calibri"/>
                      <w:szCs w:val="24"/>
                      <w:lang w:eastAsia="ko-KR"/>
                    </w:rPr>
                    <w:t xml:space="preserve">. Pakeičiu 7.2.16 papunktį ir jį </w:t>
                  </w:r>
                  <w:r>
                    <w:rPr>
                      <w:rFonts w:eastAsia="Calibri"/>
                      <w:szCs w:val="24"/>
                      <w:lang w:eastAsia="ko-KR"/>
                    </w:rPr>
                    <w:t>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szCs w:val="24"/>
                            <w:lang w:eastAsia="lt-LT"/>
                          </w:rPr>
                        </w:pPr>
                        <w:r>
                          <w:rPr>
                            <w:bCs/>
                            <w:color w:val="000000"/>
                          </w:rPr>
                          <w:t>„</w:t>
                        </w:r>
                        <w:r>
                          <w:rPr>
                            <w:color w:val="000000"/>
                            <w:spacing w:val="2"/>
                            <w:szCs w:val="24"/>
                            <w:lang w:eastAsia="lt-LT"/>
                          </w:rPr>
                          <w:t>7.2.</w:t>
                        </w:r>
                        <w:r>
                          <w:rPr>
                            <w:color w:val="000000"/>
                            <w:szCs w:val="24"/>
                            <w:lang w:eastAsia="lt-LT"/>
                          </w:rPr>
                          <w:t>16</w:t>
                        </w:r>
                        <w:r>
                          <w:rPr>
                            <w:color w:val="000000"/>
                            <w:spacing w:val="2"/>
                            <w:szCs w:val="24"/>
                            <w:lang w:eastAsia="lt-LT"/>
                          </w:rPr>
                          <w:t xml:space="preserve">. </w:t>
                        </w:r>
                        <w:r>
                          <w:rPr>
                            <w:color w:val="000000"/>
                            <w:szCs w:val="24"/>
                            <w:lang w:eastAsia="lt-LT"/>
                          </w:rPr>
                          <w:t>Paskolos gavėjas nėra kontroliuojamas</w:t>
                        </w:r>
                        <w:r>
                          <w:rPr>
                            <w:szCs w:val="24"/>
                            <w:lang w:eastAsia="lt-LT"/>
                          </w:rPr>
                          <w:t xml:space="preserve">, kaip nustatyta Konkurencijos įstatyme, trečiųjų šalių </w:t>
                        </w:r>
                        <w:r>
                          <w:rPr>
                            <w:rFonts w:eastAsia="Calibri"/>
                            <w:szCs w:val="24"/>
                            <w:lang w:eastAsia="lt-LT"/>
                          </w:rPr>
                          <w:t>(ne ES valstybių narių) subjektų, o jo valdymo organas (-ai) yra veikiantis (-</w:t>
                        </w:r>
                        <w:proofErr w:type="spellStart"/>
                        <w:r>
                          <w:rPr>
                            <w:rFonts w:eastAsia="Calibri"/>
                            <w:szCs w:val="24"/>
                            <w:lang w:eastAsia="lt-LT"/>
                          </w:rPr>
                          <w:t>ys</w:t>
                        </w:r>
                        <w:proofErr w:type="spellEnd"/>
                        <w:r>
                          <w:rPr>
                            <w:rFonts w:eastAsia="Calibri"/>
                            <w:szCs w:val="24"/>
                            <w:lang w:eastAsia="lt-LT"/>
                          </w:rPr>
                          <w:t>) ES (taikoma strateginių investicijų, kurios suprantamos</w:t>
                        </w:r>
                        <w:r>
                          <w:rPr>
                            <w:rFonts w:eastAsia="Calibri"/>
                            <w:szCs w:val="24"/>
                            <w:lang w:eastAsia="lt-LT"/>
                          </w:rPr>
                          <w:t xml:space="preserve"> kaip investicijos į gynybos technologijas ir produktus, nurodytus Europos gynybos fondo metinėje darbo programoje, į kosmoso atominius laikrodžius, strateginius paleidimo įrenginius, kosmoso produktus, taip pat investicijos, skirtos kibernetinio saugumo p</w:t>
                        </w:r>
                        <w:r>
                          <w:rPr>
                            <w:rFonts w:eastAsia="Calibri"/>
                            <w:szCs w:val="24"/>
                            <w:lang w:eastAsia="lt-LT"/>
                          </w:rPr>
                          <w:t>riemonėms ir sprendimams plėtoti ir diegti, įskaitant atvejus, kai šios priemonės ir sprendimai yra skaitmeninių tinklų ir duomenų infrastruktūros diegimo ar atnaujinimo dalis (toliau – Strateginė investicija), Projektams, kurių vertė yra didesnė nei 10 00</w:t>
                        </w:r>
                        <w:r>
                          <w:rPr>
                            <w:rFonts w:eastAsia="Calibri"/>
                            <w:szCs w:val="24"/>
                            <w:lang w:eastAsia="lt-LT"/>
                          </w:rPr>
                          <w:t>0 000 (dešimt milijonų) eurų, išskyrus išimtį, nustatytą Schemos 7.2.19 papunktyje). Trečiųjų šalių subjektų kontrolė suprantama kaip galimybė daryti tiesioginę ar netiesioginę lemiamą įtaką per vieną ar daugiau kitų įmonių ir (ar) Paskolos gavėjo akcinink</w:t>
                        </w:r>
                        <w:r>
                          <w:rPr>
                            <w:rFonts w:eastAsia="Calibri"/>
                            <w:szCs w:val="24"/>
                            <w:lang w:eastAsia="lt-LT"/>
                          </w:rPr>
                          <w:t>ų ar dalyvių, t. y. teisė skirti (atšaukti) Paskolos gavėjo valdymo organų narius, įpareigoti valdymo organus priimti Paskolos gavėjui svarbius sprendimus arba turima veto teisė dėl Paskolos gavėjo priimamų sprendimų ir (ar) kiti veiksmai, galintys iš esmė</w:t>
                        </w:r>
                        <w:r>
                          <w:rPr>
                            <w:rFonts w:eastAsia="Calibri"/>
                            <w:szCs w:val="24"/>
                            <w:lang w:eastAsia="lt-LT"/>
                          </w:rPr>
                          <w:t>s pakeisti Paskolos gavėjo valdymą ir veiklą, realizuojama neturint Paskolos gavėjo akcininkų ar narių balsų daugumos ir be susitarimų su kitais įmonės akcininkais ar dalyviais</w:t>
                        </w:r>
                        <w:r>
                          <w:rPr>
                            <w:szCs w:val="24"/>
                            <w:lang w:eastAsia="lt-LT"/>
                          </w:rPr>
                          <w:t xml:space="preserve"> </w:t>
                        </w:r>
                        <w:r>
                          <w:rPr>
                            <w:rFonts w:eastAsia="Calibri"/>
                          </w:rPr>
                          <w:t xml:space="preserve">(šis Schemos papunktis netaikomas, kai Projektai finansuojami INVEGOS fondo </w:t>
                        </w:r>
                        <w:r>
                          <w:rPr>
                            <w:rFonts w:eastAsia="Calibri"/>
                          </w:rPr>
                          <w:t>lėšomis)</w:t>
                        </w:r>
                        <w:r>
                          <w:rPr>
                            <w:color w:val="000000"/>
                            <w:szCs w:val="24"/>
                          </w:rPr>
                          <w:t>.</w:t>
                        </w:r>
                        <w:r>
                          <w:rPr>
                            <w:szCs w:val="24"/>
                            <w:lang w:eastAsia="lt-LT"/>
                          </w:rPr>
                          <w:t>“</w:t>
                        </w:r>
                      </w:p>
                    </w:tc>
                  </w:tr>
                </w:tbl>
                <w:p w:rsidR="00A72A20" w:rsidRDefault="0015271D">
                  <w:pPr>
                    <w:tabs>
                      <w:tab w:val="left" w:pos="567"/>
                    </w:tabs>
                    <w:ind w:right="142" w:firstLine="709"/>
                    <w:jc w:val="both"/>
                    <w:rPr>
                      <w:rFonts w:eastAsia="Calibri"/>
                      <w:szCs w:val="24"/>
                      <w:lang w:eastAsia="ko-KR"/>
                    </w:rPr>
                  </w:pPr>
                </w:p>
              </w:sdtContent>
            </w:sdt>
            <w:sdt>
              <w:sdtPr>
                <w:alias w:val="1.9 pp."/>
                <w:tag w:val="part_8ff24ce577614df1956afe76b07403bf"/>
                <w:id w:val="-1783717745"/>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8ff24ce577614df1956afe76b07403bf"/>
                      <w:id w:val="-609824964"/>
                      <w:lock w:val="sdtLocked"/>
                    </w:sdtPr>
                    <w:sdtEndPr/>
                    <w:sdtContent>
                      <w:r>
                        <w:rPr>
                          <w:rFonts w:eastAsia="Calibri"/>
                          <w:szCs w:val="24"/>
                          <w:lang w:eastAsia="ko-KR"/>
                        </w:rPr>
                        <w:t>1.9</w:t>
                      </w:r>
                    </w:sdtContent>
                  </w:sdt>
                  <w:r>
                    <w:rPr>
                      <w:rFonts w:eastAsia="Calibri"/>
                      <w:szCs w:val="24"/>
                      <w:lang w:eastAsia="ko-KR"/>
                    </w:rPr>
                    <w:t>. Pakeičiu 7.2.17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rFonts w:eastAsia="Calibri"/>
                          </w:rPr>
                        </w:pPr>
                        <w:r>
                          <w:rPr>
                            <w:bCs/>
                            <w:color w:val="000000"/>
                          </w:rPr>
                          <w:t>„</w:t>
                        </w:r>
                        <w:r>
                          <w:rPr>
                            <w:rFonts w:eastAsia="Calibri"/>
                          </w:rPr>
                          <w:t xml:space="preserve">7.2.17. </w:t>
                        </w:r>
                        <w:r>
                          <w:rPr>
                            <w:spacing w:val="2"/>
                          </w:rPr>
                          <w:t>P</w:t>
                        </w:r>
                        <w:r>
                          <w:rPr>
                            <w:rFonts w:eastAsia="Calibri"/>
                          </w:rPr>
                          <w:t>rojekte dalyvauja tiekėjai ir (ar) rangovai, kurie nėra kontroliuojami trečiųjų šalių (ne ES valstybių narių) subjektų, o jų valdymo organai yra veikiantys ES (taikoma Strategi</w:t>
                        </w:r>
                        <w:r>
                          <w:rPr>
                            <w:rFonts w:eastAsia="Calibri"/>
                          </w:rPr>
                          <w:t>nių investicijų į gynybos ir saugumo pramonę Projektams, kurių vertė yra didesnė nei 10 000 000 (dešimt milijonų) eurų, išskyrus išimtį, nustatytą Schemos 7.2.19 papunktyje). Trečiųjų šalių subjektų kontrolė suprantama taip, kaip aprašyta Schemos 7.2.16 pa</w:t>
                        </w:r>
                        <w:r>
                          <w:rPr>
                            <w:rFonts w:eastAsia="Calibri"/>
                          </w:rPr>
                          <w:t>punktyje</w:t>
                        </w:r>
                        <w:r>
                          <w:rPr>
                            <w:szCs w:val="24"/>
                            <w:lang w:eastAsia="ko-KR"/>
                          </w:rPr>
                          <w:t xml:space="preserve"> </w:t>
                        </w:r>
                        <w:r>
                          <w:rPr>
                            <w:rFonts w:eastAsia="Calibri"/>
                          </w:rPr>
                          <w:t>(šis Schemos papunktis netaikomas, kai Projektai finansuojami INVEGOS fondo lėšomis)</w:t>
                        </w:r>
                        <w:r>
                          <w:rPr>
                            <w:color w:val="000000"/>
                            <w:szCs w:val="24"/>
                          </w:rPr>
                          <w:t>.</w:t>
                        </w:r>
                        <w:r>
                          <w:rPr>
                            <w:szCs w:val="24"/>
                            <w:lang w:eastAsia="ko-KR"/>
                          </w:rPr>
                          <w:t>“</w:t>
                        </w:r>
                      </w:p>
                    </w:tc>
                  </w:tr>
                </w:tbl>
                <w:p w:rsidR="00A72A20" w:rsidRDefault="0015271D">
                  <w:pPr>
                    <w:tabs>
                      <w:tab w:val="left" w:pos="567"/>
                    </w:tabs>
                    <w:ind w:right="142"/>
                    <w:jc w:val="both"/>
                    <w:rPr>
                      <w:rFonts w:eastAsia="Calibri"/>
                      <w:szCs w:val="24"/>
                      <w:lang w:eastAsia="ko-KR"/>
                    </w:rPr>
                  </w:pPr>
                </w:p>
              </w:sdtContent>
            </w:sdt>
            <w:sdt>
              <w:sdtPr>
                <w:alias w:val="1.10 pp."/>
                <w:tag w:val="part_46bfd81e8b8747368953db9fbcd1d1f0"/>
                <w:id w:val="-1938739579"/>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46bfd81e8b8747368953db9fbcd1d1f0"/>
                      <w:id w:val="-191611547"/>
                      <w:lock w:val="sdtLocked"/>
                    </w:sdtPr>
                    <w:sdtEndPr/>
                    <w:sdtContent>
                      <w:r>
                        <w:rPr>
                          <w:rFonts w:eastAsia="Calibri"/>
                          <w:szCs w:val="24"/>
                          <w:lang w:eastAsia="ko-KR"/>
                        </w:rPr>
                        <w:t>1.10</w:t>
                      </w:r>
                    </w:sdtContent>
                  </w:sdt>
                  <w:r>
                    <w:rPr>
                      <w:rFonts w:eastAsia="Calibri"/>
                      <w:szCs w:val="24"/>
                      <w:lang w:eastAsia="ko-KR"/>
                    </w:rPr>
                    <w:t>. Pakeičiu 7.2.18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tabs>
                            <w:tab w:val="left" w:pos="460"/>
                          </w:tabs>
                          <w:ind w:left="2" w:hanging="2"/>
                          <w:jc w:val="both"/>
                          <w:rPr>
                            <w:rFonts w:eastAsia="Calibri"/>
                            <w:szCs w:val="24"/>
                          </w:rPr>
                        </w:pPr>
                        <w:r>
                          <w:rPr>
                            <w:szCs w:val="24"/>
                          </w:rPr>
                          <w:t>„7.2.18. Paskolos gavėjas ir Projekte dalyvaujantys tiekėjai ir (ar) rangovai (ypač telekomunikacijų</w:t>
                        </w:r>
                        <w:r>
                          <w:rPr>
                            <w:szCs w:val="24"/>
                          </w:rPr>
                          <w:t xml:space="preserve"> įrangos pardavėjai ir gamintojai bei kiti trečiųjų valstybių tiekėjai, pvz., </w:t>
                        </w:r>
                        <w:proofErr w:type="spellStart"/>
                        <w:r>
                          <w:rPr>
                            <w:szCs w:val="24"/>
                          </w:rPr>
                          <w:t>debesijos</w:t>
                        </w:r>
                        <w:proofErr w:type="spellEnd"/>
                        <w:r>
                          <w:rPr>
                            <w:szCs w:val="24"/>
                          </w:rPr>
                          <w:t xml:space="preserve"> infrastruktūros teikėjai, valdomų paslaugų teikėjai, sistemų </w:t>
                        </w:r>
                        <w:proofErr w:type="spellStart"/>
                        <w:r>
                          <w:rPr>
                            <w:szCs w:val="24"/>
                          </w:rPr>
                          <w:t>integratoriai</w:t>
                        </w:r>
                        <w:proofErr w:type="spellEnd"/>
                        <w:r>
                          <w:rPr>
                            <w:szCs w:val="24"/>
                          </w:rPr>
                          <w:t>, saugumo ir techninės priežiūros rangovai ir perdavimo įrangos gamintojai) turi atitikti 2023</w:t>
                        </w:r>
                        <w:r>
                          <w:rPr>
                            <w:szCs w:val="24"/>
                          </w:rPr>
                          <w:t> m. birželio 15 d. Europos Komisijos komunikate</w:t>
                        </w:r>
                        <w:r>
                          <w:rPr>
                            <w:b/>
                            <w:bCs/>
                            <w:szCs w:val="24"/>
                          </w:rPr>
                          <w:t xml:space="preserve"> </w:t>
                        </w:r>
                        <w:r>
                          <w:rPr>
                            <w:szCs w:val="24"/>
                          </w:rPr>
                          <w:t>dėl 5G Kibernetinio saugumo priemonių rinkinio įgyvendinimo nustatytas nuostatas dėl saugumo reikalavimų, apribojimų tiekėjams, kurie laikomi keliančiais didelę riziką, ir priklausomybės nuo vienintelio tiekė</w:t>
                        </w:r>
                        <w:r>
                          <w:rPr>
                            <w:szCs w:val="24"/>
                          </w:rPr>
                          <w:t xml:space="preserve">jo (taikoma Strateginių investicijų, kurios yra orientuotos į 5G ryšio sritį, Projektams, kurių vertė yra didesnė nei </w:t>
                        </w:r>
                        <w:r>
                          <w:rPr>
                            <w:szCs w:val="24"/>
                          </w:rPr>
                          <w:br/>
                          <w:t xml:space="preserve">10 000 000 </w:t>
                        </w:r>
                        <w:r>
                          <w:rPr>
                            <w:rFonts w:eastAsia="Calibri"/>
                          </w:rPr>
                          <w:t>(dešimt milijonų)</w:t>
                        </w:r>
                        <w:r>
                          <w:rPr>
                            <w:szCs w:val="24"/>
                          </w:rPr>
                          <w:t xml:space="preserve"> eurų, išskyrus</w:t>
                        </w:r>
                        <w:r>
                          <w:rPr>
                            <w:rFonts w:eastAsia="Calibri"/>
                          </w:rPr>
                          <w:t xml:space="preserve"> išimtį, nustatytą Schemos 7.2.19 papunktyje</w:t>
                        </w:r>
                        <w:r>
                          <w:rPr>
                            <w:szCs w:val="24"/>
                          </w:rPr>
                          <w:t>)</w:t>
                        </w:r>
                        <w:r>
                          <w:rPr>
                            <w:rFonts w:eastAsia="Calibri"/>
                            <w:szCs w:val="24"/>
                          </w:rPr>
                          <w:t>.“</w:t>
                        </w:r>
                      </w:p>
                    </w:tc>
                  </w:tr>
                </w:tbl>
                <w:p w:rsidR="00A72A20" w:rsidRDefault="0015271D">
                  <w:pPr>
                    <w:tabs>
                      <w:tab w:val="left" w:pos="567"/>
                    </w:tabs>
                    <w:ind w:right="142" w:firstLine="709"/>
                    <w:jc w:val="both"/>
                    <w:rPr>
                      <w:rFonts w:eastAsia="Calibri"/>
                      <w:szCs w:val="24"/>
                      <w:lang w:eastAsia="ko-KR"/>
                    </w:rPr>
                  </w:pPr>
                </w:p>
              </w:sdtContent>
            </w:sdt>
            <w:sdt>
              <w:sdtPr>
                <w:alias w:val="1.11 pp."/>
                <w:tag w:val="part_c2ae6091bd7c4c18850f26b7373e61ad"/>
                <w:id w:val="352228219"/>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c2ae6091bd7c4c18850f26b7373e61ad"/>
                      <w:id w:val="91136751"/>
                      <w:lock w:val="sdtLocked"/>
                    </w:sdtPr>
                    <w:sdtEndPr/>
                    <w:sdtContent>
                      <w:r>
                        <w:rPr>
                          <w:rFonts w:eastAsia="Calibri"/>
                          <w:szCs w:val="24"/>
                          <w:lang w:eastAsia="ko-KR"/>
                        </w:rPr>
                        <w:t>1.11</w:t>
                      </w:r>
                    </w:sdtContent>
                  </w:sdt>
                  <w:r>
                    <w:rPr>
                      <w:rFonts w:eastAsia="Calibri"/>
                      <w:szCs w:val="24"/>
                      <w:lang w:eastAsia="ko-KR"/>
                    </w:rPr>
                    <w:t>. Pakeičiu 7.2.19 papunktį ir jį išd</w:t>
                  </w:r>
                  <w:r>
                    <w:rPr>
                      <w:rFonts w:eastAsia="Calibri"/>
                      <w:szCs w:val="24"/>
                      <w:lang w:eastAsia="ko-KR"/>
                    </w:rPr>
                    <w:t>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tabs>
                            <w:tab w:val="left" w:pos="460"/>
                          </w:tabs>
                          <w:ind w:left="2" w:hanging="2"/>
                          <w:jc w:val="both"/>
                          <w:rPr>
                            <w:rFonts w:eastAsia="Calibri"/>
                            <w:szCs w:val="24"/>
                          </w:rPr>
                        </w:pPr>
                        <w:r>
                          <w:rPr>
                            <w:bCs/>
                            <w:color w:val="000000"/>
                          </w:rPr>
                          <w:t>„</w:t>
                        </w: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w:t>
                        </w:r>
                        <w:r>
                          <w:rPr>
                            <w:rFonts w:eastAsia="Calibri"/>
                            <w:szCs w:val="24"/>
                          </w:rPr>
                          <w:t>antiją</w:t>
                        </w:r>
                        <w:r>
                          <w:rPr>
                            <w:rFonts w:eastAsia="Calibri"/>
                            <w:b/>
                            <w:bCs/>
                            <w:szCs w:val="24"/>
                          </w:rPr>
                          <w:t xml:space="preserve"> </w:t>
                        </w:r>
                        <w:r>
                          <w:rPr>
                            <w:rFonts w:eastAsia="Calibri"/>
                            <w:szCs w:val="24"/>
                          </w:rPr>
                          <w:t>pagal 2021 m. balandžio 29 d. Europos Parlamento ir Tarybos reglamento (ES) 2021/697, kuriuo įsteigiamas Europos gynybos fondas ir panaikinamas Reglamentas (ES) 2018/1092, nustatytus atitinkamus reikalavimus arba Europos Komisijos patvirtintą atleid</w:t>
                        </w:r>
                        <w:r>
                          <w:rPr>
                            <w:rFonts w:eastAsia="Calibri"/>
                            <w:szCs w:val="24"/>
                          </w:rPr>
                          <w:t>imą nuo prievolės, suteiktą pagal 2021 m. balandžio 28 d. Europos Parlamento ir Tarybos reglamento (ES) 2021/696, kuriuo sudaroma Sąjungos kosmoso programa, įsteigiama Europos Sąjungos kosmoso programos agentūra ir panaikinami reglamentai (ES) Nr. 912/2010</w:t>
                        </w:r>
                        <w:r>
                          <w:rPr>
                            <w:rFonts w:eastAsia="Calibri"/>
                            <w:szCs w:val="24"/>
                          </w:rPr>
                          <w:t xml:space="preserve">, (ES) Nr. 1285/2013 bei (ES) Nr. 377/2014 ir Sprendimas Nr. 541/2014/ES, nustatytus atitinkamus reikalavimus </w:t>
                        </w:r>
                        <w:r>
                          <w:rPr>
                            <w:rFonts w:eastAsia="Calibri"/>
                          </w:rPr>
                          <w:t>(šis Schemos papunktis netaikomas, kai Projektai finansuojami INVEGOS fondo lėšomis).“</w:t>
                        </w:r>
                      </w:p>
                    </w:tc>
                  </w:tr>
                </w:tbl>
                <w:p w:rsidR="00A72A20" w:rsidRDefault="0015271D">
                  <w:pPr>
                    <w:tabs>
                      <w:tab w:val="left" w:pos="567"/>
                    </w:tabs>
                    <w:ind w:right="142"/>
                    <w:jc w:val="both"/>
                    <w:rPr>
                      <w:rFonts w:eastAsia="Calibri"/>
                      <w:szCs w:val="24"/>
                      <w:lang w:eastAsia="ko-KR"/>
                    </w:rPr>
                  </w:pPr>
                </w:p>
              </w:sdtContent>
            </w:sdt>
            <w:sdt>
              <w:sdtPr>
                <w:alias w:val="1.12 pp."/>
                <w:tag w:val="part_b94a3dc80b384743981c3922fb7fd264"/>
                <w:id w:val="-1974826147"/>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b94a3dc80b384743981c3922fb7fd264"/>
                      <w:id w:val="972713841"/>
                      <w:lock w:val="sdtLocked"/>
                    </w:sdtPr>
                    <w:sdtEndPr/>
                    <w:sdtContent>
                      <w:r>
                        <w:rPr>
                          <w:rFonts w:eastAsia="Calibri"/>
                          <w:szCs w:val="24"/>
                          <w:lang w:eastAsia="ko-KR"/>
                        </w:rPr>
                        <w:t>1.12</w:t>
                      </w:r>
                    </w:sdtContent>
                  </w:sdt>
                  <w:r>
                    <w:rPr>
                      <w:rFonts w:eastAsia="Calibri"/>
                      <w:szCs w:val="24"/>
                      <w:lang w:eastAsia="ko-KR"/>
                    </w:rPr>
                    <w:t xml:space="preserve">. Papildau 7.2.21 papunkčiu: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color w:val="0070C0"/>
                            <w:szCs w:val="24"/>
                          </w:rPr>
                        </w:pPr>
                        <w:r>
                          <w:rPr>
                            <w:lang w:eastAsia="lt-LT"/>
                          </w:rPr>
                          <w:t xml:space="preserve">„7.2.21. </w:t>
                        </w:r>
                        <w:r>
                          <w:rPr>
                            <w:szCs w:val="24"/>
                          </w:rPr>
                          <w:t>Paskolos gavėjas, siekiantis gauti Paskolą apyvartinėms lėšoms, privalo atitikti bent vieną iš šių kriterijų:</w:t>
                        </w:r>
                      </w:p>
                      <w:p w:rsidR="00A72A20" w:rsidRDefault="0015271D">
                        <w:pPr>
                          <w:jc w:val="both"/>
                          <w:rPr>
                            <w:color w:val="0070C0"/>
                            <w:szCs w:val="24"/>
                          </w:rPr>
                        </w:pPr>
                        <w:r>
                          <w:rPr>
                            <w:szCs w:val="24"/>
                          </w:rPr>
                          <w:t>7.2.21.1. turi Policijos departamento prie Lietuvos Respublikos vidaus reikalų ministerijos Viešosios tvarkos biuro Licencijavimo valdybos licenci</w:t>
                        </w:r>
                        <w:r>
                          <w:rPr>
                            <w:szCs w:val="24"/>
                          </w:rPr>
                          <w:t xml:space="preserve">ją gaminti ginklus ar licenciją gaminti ginklų dalis, ar licenciją gaminti šaudmenis ir (ar) jų dalis, ar licenciją gaminti A kategorijos ginklų priedėlius (toliau –  VRM licencija) arba yra užpildęs paraišką ir pateikęs dokumentus VRM licencijai gauti ir </w:t>
                        </w:r>
                        <w:r>
                          <w:rPr>
                            <w:szCs w:val="24"/>
                          </w:rPr>
                          <w:t>privalo ją pateikti INVEGAI ne vėliau kaip per 12 mėnesių po Paskolos išmokėjimo (esant objektyvioms aplinkybėms, VRM licencijos pateikimo terminas gali būti pratęstas);</w:t>
                        </w:r>
                      </w:p>
                      <w:p w:rsidR="00A72A20" w:rsidRDefault="0015271D">
                        <w:pPr>
                          <w:jc w:val="both"/>
                          <w:rPr>
                            <w:szCs w:val="24"/>
                          </w:rPr>
                        </w:pPr>
                        <w:r>
                          <w:rPr>
                            <w:szCs w:val="24"/>
                          </w:rPr>
                          <w:t>7.2.21.2. turi Ekonomikos ir inovacijų ministerijos išduotą individualiąją eksporto li</w:t>
                        </w:r>
                        <w:r>
                          <w:rPr>
                            <w:szCs w:val="24"/>
                          </w:rPr>
                          <w:t xml:space="preserve">cenciją ar individualiąją eksporto licenciją laikinai išvežti, ar visuotinę eksporto licenciją karinei įrangai (toliau – EIM licencija) arba neturi EIM licencijos, bet privalo ją pateikti INVEGAI ne vėliau kaip per 12 mėnesių po Paskolos išmokėjimo (esant </w:t>
                        </w:r>
                        <w:r>
                          <w:rPr>
                            <w:szCs w:val="24"/>
                          </w:rPr>
                          <w:t>objektyvioms aplinkybėms, EIM licencijos pateikimo terminas gali būti pratęstas);</w:t>
                        </w:r>
                      </w:p>
                      <w:p w:rsidR="00A72A20" w:rsidRDefault="0015271D">
                        <w:pPr>
                          <w:jc w:val="both"/>
                          <w:rPr>
                            <w:szCs w:val="24"/>
                          </w:rPr>
                        </w:pPr>
                        <w:r>
                          <w:rPr>
                            <w:szCs w:val="24"/>
                          </w:rPr>
                          <w:t>7.2.21.3. Paskolos gavėjo veikla, kuriai prašoma finansavimo, yra susijusi su gaminiais, produktais ar paslaugomis, kurie patenka į Bendrąjį karinės įrangos sąrašą, patvirtin</w:t>
                        </w:r>
                        <w:r>
                          <w:rPr>
                            <w:szCs w:val="24"/>
                          </w:rPr>
                          <w:t>tą Lietuvos Respublikos krašto apsaugos ministro 2009 m. gruodžio 29 d. įsakymu Nr. V-1216 „Dėl Bendrojo karinės įrangos sąrašo patvirtinimo“.“</w:t>
                        </w:r>
                      </w:p>
                    </w:tc>
                  </w:tr>
                </w:tbl>
                <w:p w:rsidR="00A72A20" w:rsidRDefault="0015271D">
                  <w:pPr>
                    <w:tabs>
                      <w:tab w:val="left" w:pos="567"/>
                    </w:tabs>
                    <w:ind w:right="142"/>
                    <w:jc w:val="both"/>
                    <w:rPr>
                      <w:rFonts w:eastAsia="Calibri"/>
                      <w:szCs w:val="24"/>
                      <w:lang w:eastAsia="ko-KR"/>
                    </w:rPr>
                  </w:pPr>
                </w:p>
              </w:sdtContent>
            </w:sdt>
            <w:sdt>
              <w:sdtPr>
                <w:alias w:val="1.13 pp."/>
                <w:tag w:val="part_e1b97e9c461d47e68cd5d3e29dce4bae"/>
                <w:id w:val="901101643"/>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e1b97e9c461d47e68cd5d3e29dce4bae"/>
                      <w:id w:val="-625939342"/>
                      <w:lock w:val="sdtLocked"/>
                    </w:sdtPr>
                    <w:sdtEndPr/>
                    <w:sdtContent>
                      <w:r>
                        <w:rPr>
                          <w:rFonts w:eastAsia="Calibri"/>
                          <w:szCs w:val="24"/>
                          <w:lang w:eastAsia="ko-KR"/>
                        </w:rPr>
                        <w:t>1.13</w:t>
                      </w:r>
                    </w:sdtContent>
                  </w:sdt>
                  <w:r>
                    <w:rPr>
                      <w:rFonts w:eastAsia="Calibri"/>
                      <w:szCs w:val="24"/>
                      <w:lang w:eastAsia="ko-KR"/>
                    </w:rPr>
                    <w:t>. Pakeičiu 7.3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b/>
                            <w:bCs/>
                            <w:color w:val="000000"/>
                            <w:szCs w:val="24"/>
                          </w:rPr>
                        </w:pPr>
                        <w:r>
                          <w:rPr>
                            <w:lang w:eastAsia="lt-LT"/>
                          </w:rPr>
                          <w:t>„7.3. Paskolos gavėjo atitiktis reikalavimams, nurodyt</w:t>
                        </w:r>
                        <w:r>
                          <w:rPr>
                            <w:lang w:eastAsia="lt-LT"/>
                          </w:rPr>
                          <w:t>iems Schemos 7.2.1–7.2.21 papunkčiuose, vertinama pagal viešai prieinamų registrų duomenis, valstybės ir savivaldybių institucijų bei įstaigų pateiktus duomenis, viešai skelbiamą informaciją (pvz., Valstybinės mokesčių inspekcijos prie Lietuvos Respublikos</w:t>
                        </w:r>
                        <w:r>
                          <w:rPr>
                            <w:lang w:eastAsia="lt-LT"/>
                          </w:rPr>
                          <w:t xml:space="preserve"> finansų ministerijos) ir Paskolos gavėjo pateiktą informaciją. Jeigu Paskolos gavėjo pateikta informacija neatitinka viešai prieinamų registrų ar valstybės ir savivaldybių institucijų bei įstaigų pateiktų duomenų, vadovaujamasi viešai prieinamų registrų, </w:t>
                        </w:r>
                        <w:r>
                          <w:rPr>
                            <w:lang w:eastAsia="lt-LT"/>
                          </w:rPr>
                          <w:t xml:space="preserve">valstybės ir savivaldybių institucijų bei įstaigų pateiktais duomenimis. Tais atvejais, kai Paskolos gavėjas nėra įsteigtas Lietuvos Respublikoje, Paskolos gavėjo prašoma pateikti atitinkamus valstybės, kurioje jis yra įsteigtas, dokumentus.“ </w:t>
                        </w:r>
                      </w:p>
                    </w:tc>
                  </w:tr>
                </w:tbl>
                <w:p w:rsidR="00A72A20" w:rsidRDefault="0015271D">
                  <w:pPr>
                    <w:tabs>
                      <w:tab w:val="left" w:pos="567"/>
                    </w:tabs>
                    <w:ind w:right="142"/>
                    <w:jc w:val="both"/>
                    <w:rPr>
                      <w:rFonts w:eastAsia="Calibri"/>
                      <w:szCs w:val="24"/>
                      <w:lang w:eastAsia="ko-KR"/>
                    </w:rPr>
                  </w:pPr>
                </w:p>
              </w:sdtContent>
            </w:sdt>
            <w:sdt>
              <w:sdtPr>
                <w:alias w:val="1.14 pp."/>
                <w:tag w:val="part_e45b65de24324b2a9bbb356c6954d1db"/>
                <w:id w:val="-1870131593"/>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e45b65de24324b2a9bbb356c6954d1db"/>
                      <w:id w:val="1796490597"/>
                      <w:lock w:val="sdtLocked"/>
                    </w:sdtPr>
                    <w:sdtEndPr/>
                    <w:sdtContent>
                      <w:r>
                        <w:rPr>
                          <w:rFonts w:eastAsia="Calibri"/>
                          <w:szCs w:val="24"/>
                          <w:lang w:eastAsia="ko-KR"/>
                        </w:rPr>
                        <w:t>1.14</w:t>
                      </w:r>
                    </w:sdtContent>
                  </w:sdt>
                  <w:r>
                    <w:rPr>
                      <w:rFonts w:eastAsia="Calibri"/>
                      <w:szCs w:val="24"/>
                      <w:lang w:eastAsia="ko-KR"/>
                    </w:rPr>
                    <w:t xml:space="preserve">. Pakeičiu 8.1.8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rPr>
                        </w:pPr>
                        <w:r>
                          <w:rPr>
                            <w:lang w:eastAsia="lt-LT"/>
                          </w:rPr>
                          <w:t>„</w:t>
                        </w:r>
                        <w:r>
                          <w:rPr>
                            <w:color w:val="000000"/>
                          </w:rPr>
                          <w:t>8.1.8. nekilnojamajam turtui pirkti ir (ar) statyti, ir (ar) renovuoti, siekiant jį parduoti ar kitu būdu perleisti kitiems asmenims, įskaitant turto nuomą ir panaudą, o ne naudoti savo veikloje, taip pat</w:t>
                        </w:r>
                        <w:r>
                          <w:rPr>
                            <w:color w:val="000000"/>
                          </w:rPr>
                          <w:t xml:space="preserve"> investicijoms į gyvenamosios paskirties nekilnojamąjį turtą. Nekilnojamojo turto naudojimu savo veikloje laikoma tai, kad ne mažiau kaip 60 procentų įsigyjamo ir (ar) statomo, ir (ar) renovuojamo turto ketinama panaudoti Paskolos gavėjo ir su juo susijusi</w:t>
                        </w:r>
                        <w:r>
                          <w:rPr>
                            <w:color w:val="000000"/>
                          </w:rPr>
                          <w:t>ų įmonių ekonominei veiklai vykdyti;“.</w:t>
                        </w:r>
                      </w:p>
                    </w:tc>
                  </w:tr>
                </w:tbl>
                <w:p w:rsidR="00A72A20" w:rsidRDefault="0015271D">
                  <w:pPr>
                    <w:tabs>
                      <w:tab w:val="left" w:pos="567"/>
                    </w:tabs>
                    <w:ind w:right="142"/>
                    <w:jc w:val="both"/>
                    <w:rPr>
                      <w:rFonts w:eastAsia="Calibri"/>
                      <w:szCs w:val="24"/>
                      <w:lang w:eastAsia="ko-KR"/>
                    </w:rPr>
                  </w:pPr>
                </w:p>
              </w:sdtContent>
            </w:sdt>
            <w:sdt>
              <w:sdtPr>
                <w:alias w:val="1.15 pp."/>
                <w:tag w:val="part_a2e253afe72844d3b92bca0e0ae5c861"/>
                <w:id w:val="285016684"/>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a2e253afe72844d3b92bca0e0ae5c861"/>
                      <w:id w:val="898642022"/>
                      <w:lock w:val="sdtLocked"/>
                    </w:sdtPr>
                    <w:sdtEndPr/>
                    <w:sdtContent>
                      <w:r>
                        <w:rPr>
                          <w:rFonts w:eastAsia="Calibri"/>
                          <w:szCs w:val="24"/>
                          <w:lang w:eastAsia="ko-KR"/>
                        </w:rPr>
                        <w:t>1.15</w:t>
                      </w:r>
                    </w:sdtContent>
                  </w:sdt>
                  <w:r>
                    <w:rPr>
                      <w:rFonts w:eastAsia="Calibri"/>
                      <w:szCs w:val="24"/>
                      <w:lang w:eastAsia="ko-KR"/>
                    </w:rPr>
                    <w:t xml:space="preserve">. Pakeičiu 8.1.10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b/>
                            <w:bCs/>
                            <w:color w:val="000000"/>
                          </w:rPr>
                        </w:pPr>
                        <w:r>
                          <w:rPr>
                            <w:lang w:eastAsia="lt-LT"/>
                          </w:rPr>
                          <w:t xml:space="preserve">„8.1.10. </w:t>
                        </w:r>
                        <w:r>
                          <w:rPr>
                            <w:color w:val="000000"/>
                            <w:szCs w:val="24"/>
                            <w:lang w:eastAsia="ko-KR"/>
                          </w:rPr>
                          <w:t>pridėtinės vertės mokesčiui (toliau – PVM) sumokėti;“.</w:t>
                        </w:r>
                      </w:p>
                    </w:tc>
                  </w:tr>
                </w:tbl>
                <w:p w:rsidR="00A72A20" w:rsidRDefault="0015271D">
                  <w:pPr>
                    <w:tabs>
                      <w:tab w:val="left" w:pos="567"/>
                    </w:tabs>
                    <w:ind w:right="142"/>
                    <w:jc w:val="both"/>
                    <w:rPr>
                      <w:rFonts w:eastAsia="Calibri"/>
                      <w:szCs w:val="24"/>
                      <w:lang w:eastAsia="ko-KR"/>
                    </w:rPr>
                  </w:pPr>
                </w:p>
              </w:sdtContent>
            </w:sdt>
            <w:sdt>
              <w:sdtPr>
                <w:alias w:val="1.16 pp."/>
                <w:tag w:val="part_bfbdd305019f4158a0beb3b78aa5b9c3"/>
                <w:id w:val="162672141"/>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bfbdd305019f4158a0beb3b78aa5b9c3"/>
                      <w:id w:val="720099643"/>
                      <w:lock w:val="sdtLocked"/>
                    </w:sdtPr>
                    <w:sdtEndPr/>
                    <w:sdtContent>
                      <w:r>
                        <w:rPr>
                          <w:rFonts w:eastAsia="Calibri"/>
                          <w:szCs w:val="24"/>
                          <w:lang w:eastAsia="ko-KR"/>
                        </w:rPr>
                        <w:t>1.16</w:t>
                      </w:r>
                    </w:sdtContent>
                  </w:sdt>
                  <w:r>
                    <w:rPr>
                      <w:rFonts w:eastAsia="Calibri"/>
                      <w:szCs w:val="24"/>
                      <w:lang w:eastAsia="ko-KR"/>
                    </w:rPr>
                    <w:t xml:space="preserve">. Papildau 8.1.11 papunkčiu: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szCs w:val="24"/>
                          </w:rPr>
                        </w:pPr>
                        <w:r>
                          <w:rPr>
                            <w:lang w:eastAsia="lt-LT"/>
                          </w:rPr>
                          <w:t xml:space="preserve">„8.1.11. </w:t>
                        </w:r>
                        <w:r>
                          <w:t xml:space="preserve">veiklai ir turtui, susijusiems su </w:t>
                        </w:r>
                        <w:r>
                          <w:t>iškastiniu kuru, įskaitant jų naudojimą vartotojų rinkoje, veiklai ir turtui, kuriems taikoma Europos Sąjungos apyvartinių taršos leidimų prekybos sistema (ES ATLPS) ir su kuriais susijęs prognozuojamas išmetamas šiltnamio efektą sukeliančių dujų kiekis nė</w:t>
                        </w:r>
                        <w:r>
                          <w:t>ra mažesnis už atitinkamus santykinius taršos rodiklius, veiklai ir turtui, susijusiems su atliekų sąvartynais, deginimo įrenginiais ir mechaninio biologinio apdorojimo įrenginiais (šiame Schemos papunktyje nurodytų veiklų detalizavimas pateikiamas Priemon</w:t>
                        </w:r>
                        <w:r>
                          <w:t>ės aprašyme, tvirtinamame INVEGOS generalinio direktoriaus įsakymu (toliau – Priemonės aprašymas)</w:t>
                        </w:r>
                        <w:r>
                          <w:rPr>
                            <w:rFonts w:eastAsia="Calibri"/>
                          </w:rPr>
                          <w:t xml:space="preserve"> (šis Schemos papunktis netaikomas, kai Projektai finansuojami INVEGOS fondo lėšomis)</w:t>
                        </w:r>
                        <w:r>
                          <w:t>.</w:t>
                        </w:r>
                        <w:r>
                          <w:rPr>
                            <w:szCs w:val="24"/>
                          </w:rPr>
                          <w:t>“</w:t>
                        </w:r>
                      </w:p>
                    </w:tc>
                  </w:tr>
                </w:tbl>
                <w:p w:rsidR="00A72A20" w:rsidRDefault="0015271D">
                  <w:pPr>
                    <w:tabs>
                      <w:tab w:val="left" w:pos="567"/>
                    </w:tabs>
                    <w:ind w:right="142"/>
                    <w:jc w:val="both"/>
                    <w:rPr>
                      <w:rFonts w:eastAsia="Calibri"/>
                      <w:szCs w:val="24"/>
                      <w:lang w:eastAsia="ko-KR"/>
                    </w:rPr>
                  </w:pPr>
                </w:p>
              </w:sdtContent>
            </w:sdt>
            <w:sdt>
              <w:sdtPr>
                <w:alias w:val="1.17 pp."/>
                <w:tag w:val="part_62e3a75c26ff4ff29868c8741442c726"/>
                <w:id w:val="542338023"/>
                <w:lock w:val="sdtLocked"/>
              </w:sdtPr>
              <w:sdtEndPr/>
              <w:sdtContent>
                <w:p w:rsidR="00A72A20" w:rsidRDefault="0015271D">
                  <w:pPr>
                    <w:tabs>
                      <w:tab w:val="left" w:pos="567"/>
                    </w:tabs>
                    <w:ind w:right="142" w:firstLine="709"/>
                    <w:jc w:val="both"/>
                    <w:rPr>
                      <w:rFonts w:eastAsia="Calibri"/>
                      <w:szCs w:val="24"/>
                      <w:lang w:eastAsia="ko-KR"/>
                    </w:rPr>
                  </w:pPr>
                  <w:sdt>
                    <w:sdtPr>
                      <w:alias w:val="Numeris"/>
                      <w:tag w:val="nr_62e3a75c26ff4ff29868c8741442c726"/>
                      <w:id w:val="-418169783"/>
                      <w:lock w:val="sdtLocked"/>
                    </w:sdtPr>
                    <w:sdtEndPr/>
                    <w:sdtContent>
                      <w:r>
                        <w:rPr>
                          <w:rFonts w:eastAsia="Calibri"/>
                          <w:szCs w:val="24"/>
                          <w:lang w:eastAsia="ko-KR"/>
                        </w:rPr>
                        <w:t>1.17</w:t>
                      </w:r>
                    </w:sdtContent>
                  </w:sdt>
                  <w:r>
                    <w:rPr>
                      <w:rFonts w:eastAsia="Calibri"/>
                      <w:szCs w:val="24"/>
                      <w:lang w:eastAsia="ko-KR"/>
                    </w:rPr>
                    <w:t>. Pakeičiu 9.2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p w:rsidR="00A72A20" w:rsidRDefault="00A72A20">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lang w:eastAsia="lt-LT"/>
                          </w:rPr>
                        </w:pPr>
                        <w:r>
                          <w:rPr>
                            <w:lang w:eastAsia="lt-LT"/>
                          </w:rPr>
                          <w:t xml:space="preserve">„9.2. </w:t>
                        </w:r>
                        <w:r>
                          <w:rPr>
                            <w:lang w:eastAsia="lt-LT"/>
                          </w:rPr>
                          <w:t>Paskolos davėjas gali suteikti:</w:t>
                        </w:r>
                      </w:p>
                      <w:p w:rsidR="00A72A20" w:rsidRDefault="0015271D">
                        <w:pPr>
                          <w:jc w:val="both"/>
                          <w:rPr>
                            <w:lang w:eastAsia="lt-LT"/>
                          </w:rPr>
                        </w:pPr>
                        <w:r>
                          <w:rPr>
                            <w:lang w:eastAsia="lt-LT"/>
                          </w:rPr>
                          <w:t>9.2.1. subordinuotą, sindikuotą arba tiesioginę Paskolos davėjo investicinę paskolą. Paskolos gavėjo investicijoms skirta paskola – tai tokia Paskola, kai Paskolos dalis, skirta investicijoms finansuoti, sudaro ne mažiau kai</w:t>
                        </w:r>
                        <w:r>
                          <w:rPr>
                            <w:lang w:eastAsia="lt-LT"/>
                          </w:rPr>
                          <w:t>p 51 procentą visos Paskolos sumos, o likusi Paskolos dalis gali būti skirta apyvartinio kapitalo trūkumui papildyti. Prioritetas teikiamas bendram Projekto finansavimui su kitomis finansų įstaigomis ir (ar) TFI;</w:t>
                        </w:r>
                      </w:p>
                      <w:p w:rsidR="00A72A20" w:rsidRDefault="0015271D">
                        <w:pPr>
                          <w:jc w:val="both"/>
                          <w:rPr>
                            <w:color w:val="000000"/>
                            <w:szCs w:val="24"/>
                          </w:rPr>
                        </w:pPr>
                        <w:r>
                          <w:rPr>
                            <w:lang w:eastAsia="lt-LT"/>
                          </w:rPr>
                          <w:t>9.2.2. subordinuotą, sindikuotą arba tiesio</w:t>
                        </w:r>
                        <w:r>
                          <w:rPr>
                            <w:lang w:eastAsia="lt-LT"/>
                          </w:rPr>
                          <w:t>ginę Paskolos davėjo apyvartinę paskolą gynybos ir saugumo sektoriuose veiklą vykdantiems Paskolos gavėjams.“</w:t>
                        </w:r>
                      </w:p>
                    </w:tc>
                  </w:tr>
                </w:tbl>
                <w:p w:rsidR="00A72A20" w:rsidRDefault="0015271D">
                  <w:pPr>
                    <w:tabs>
                      <w:tab w:val="left" w:pos="567"/>
                    </w:tabs>
                    <w:jc w:val="both"/>
                    <w:rPr>
                      <w:szCs w:val="24"/>
                      <w:lang w:eastAsia="ko-KR"/>
                    </w:rPr>
                  </w:pPr>
                </w:p>
              </w:sdtContent>
            </w:sdt>
            <w:sdt>
              <w:sdtPr>
                <w:alias w:val="1.18 pp."/>
                <w:tag w:val="part_bc01621549164ca99c15ad482656eb47"/>
                <w:id w:val="1446661197"/>
                <w:lock w:val="sdtLocked"/>
              </w:sdtPr>
              <w:sdtEndPr/>
              <w:sdtContent>
                <w:p w:rsidR="00A72A20" w:rsidRDefault="0015271D">
                  <w:pPr>
                    <w:tabs>
                      <w:tab w:val="left" w:pos="567"/>
                    </w:tabs>
                    <w:ind w:firstLine="709"/>
                    <w:jc w:val="both"/>
                    <w:rPr>
                      <w:szCs w:val="24"/>
                      <w:lang w:eastAsia="ko-KR"/>
                    </w:rPr>
                  </w:pPr>
                  <w:sdt>
                    <w:sdtPr>
                      <w:alias w:val="Numeris"/>
                      <w:tag w:val="nr_bc01621549164ca99c15ad482656eb47"/>
                      <w:id w:val="-720906851"/>
                      <w:lock w:val="sdtLocked"/>
                    </w:sdtPr>
                    <w:sdtEndPr/>
                    <w:sdtContent>
                      <w:r>
                        <w:rPr>
                          <w:szCs w:val="24"/>
                          <w:lang w:eastAsia="ko-KR"/>
                        </w:rPr>
                        <w:t>1.18</w:t>
                      </w:r>
                    </w:sdtContent>
                  </w:sdt>
                  <w:r>
                    <w:rPr>
                      <w:szCs w:val="24"/>
                      <w:lang w:eastAsia="ko-KR"/>
                    </w:rPr>
                    <w:t xml:space="preserve">. Pakeičiu 9.3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szCs w:val="24"/>
                          </w:rPr>
                        </w:pPr>
                        <w:r>
                          <w:rPr>
                            <w:color w:val="000000"/>
                            <w:szCs w:val="24"/>
                            <w:lang w:eastAsia="lt-LT"/>
                          </w:rPr>
                          <w:t xml:space="preserve">„9.3. Kai teikiama Paskolos davėjo investicinė Paskola, Paskolos sutarties terminas </w:t>
                        </w:r>
                        <w:r>
                          <w:rPr>
                            <w:color w:val="000000"/>
                            <w:szCs w:val="24"/>
                            <w:lang w:eastAsia="lt-LT"/>
                          </w:rPr>
                          <w:t>negali būti ilgesnis kaip 180 mėnesių. Esant objektyvių priežasčių, jis gali būti pratęstas, bet ne ilgiau kaip iki 240 mėnesių. Kai teikiama Paskolos davėjo apyvartinė Paskola, Paskolos sutarties terminas negali būti ilgesnis kaip 36 mėnesiai. Šis termina</w:t>
                        </w:r>
                        <w:r>
                          <w:rPr>
                            <w:color w:val="000000"/>
                            <w:szCs w:val="24"/>
                            <w:lang w:eastAsia="lt-LT"/>
                          </w:rPr>
                          <w:t>s gali būti pratęstas tik esant pagrįstoms aplinkybėms.“</w:t>
                        </w:r>
                      </w:p>
                    </w:tc>
                  </w:tr>
                </w:tbl>
                <w:p w:rsidR="00A72A20" w:rsidRDefault="0015271D">
                  <w:pPr>
                    <w:rPr>
                      <w:szCs w:val="24"/>
                      <w:lang w:eastAsia="ko-KR"/>
                    </w:rPr>
                  </w:pPr>
                </w:p>
              </w:sdtContent>
            </w:sdt>
            <w:sdt>
              <w:sdtPr>
                <w:alias w:val="1.19 pp."/>
                <w:tag w:val="part_321438b72fd840f08f14ff841d67acd2"/>
                <w:id w:val="737130315"/>
                <w:lock w:val="sdtLocked"/>
              </w:sdtPr>
              <w:sdtEndPr/>
              <w:sdtContent>
                <w:p w:rsidR="00A72A20" w:rsidRDefault="0015271D">
                  <w:pPr>
                    <w:tabs>
                      <w:tab w:val="left" w:pos="567"/>
                    </w:tabs>
                    <w:ind w:firstLine="709"/>
                    <w:jc w:val="both"/>
                    <w:rPr>
                      <w:szCs w:val="24"/>
                      <w:lang w:eastAsia="ko-KR"/>
                    </w:rPr>
                  </w:pPr>
                  <w:sdt>
                    <w:sdtPr>
                      <w:alias w:val="Numeris"/>
                      <w:tag w:val="nr_321438b72fd840f08f14ff841d67acd2"/>
                      <w:id w:val="1801642280"/>
                      <w:lock w:val="sdtLocked"/>
                    </w:sdtPr>
                    <w:sdtEndPr/>
                    <w:sdtContent>
                      <w:r>
                        <w:rPr>
                          <w:szCs w:val="24"/>
                          <w:lang w:eastAsia="ko-KR"/>
                        </w:rPr>
                        <w:t>1.19</w:t>
                      </w:r>
                    </w:sdtContent>
                  </w:sdt>
                  <w:r>
                    <w:rPr>
                      <w:szCs w:val="24"/>
                      <w:lang w:eastAsia="ko-KR"/>
                    </w:rPr>
                    <w:t xml:space="preserve">. Pakeičiu 9.9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pPr>
                        <w:r>
                          <w:rPr>
                            <w:color w:val="000000"/>
                            <w:szCs w:val="24"/>
                            <w:lang w:eastAsia="lt-LT"/>
                          </w:rPr>
                          <w:t>„</w:t>
                        </w:r>
                        <w:r>
                          <w:t>9.9. Paskolos lėšomis finansuojamas ilgalaikis turtas arba kitas Paskolos davėjui priimtinas lygiavertis ilgalaikis turtas (t. y. ne mažesnė</w:t>
                        </w:r>
                        <w:r>
                          <w:t xml:space="preserve">s vertės nei Paskolos lėšomis finansuojamas turtas) turi būti įkeistas Paskolos davėjo naudai. Paraiškos vertinimo metu nustačius didesnę Projekto neįgyvendinimo ir (ar) </w:t>
                        </w:r>
                        <w:r>
                          <w:rPr>
                            <w:szCs w:val="24"/>
                          </w:rPr>
                          <w:t>Paskolos negrąžinimo riziką,</w:t>
                        </w:r>
                        <w:r>
                          <w:rPr>
                            <w:rFonts w:ascii="Segoe UI" w:eastAsia="Segoe UI" w:hAnsi="Segoe UI" w:cs="Segoe UI"/>
                            <w:sz w:val="18"/>
                            <w:szCs w:val="18"/>
                          </w:rPr>
                          <w:t xml:space="preserve"> </w:t>
                        </w:r>
                        <w:r>
                          <w:t>Paskolos davėjas, vadovaudamasis vidaus tvarkos aprašais,</w:t>
                        </w:r>
                        <w:r>
                          <w:t xml:space="preserve"> kurie tvirtinami INVEGOS generalinio direktoriaus įsakymais, ir individualiai įvertindamas Paskolos gavėjo galimybes, pareikalauja papildomų Paskolos grąžinimo užtikrinimo priemonių. Kai Paskolos gavėjas neturi kito ilgalaikio turto arba už Paskolos lėšas</w:t>
                        </w:r>
                        <w:r>
                          <w:t xml:space="preserve"> įsigyjamas ar Paskolos gavėjo pasiūlytas kitas ilgalaikis turtas yra netinkama Paskolos grąžinimo užtikrinimo priemonė dėl jos mažo likvidumo ar teisinių kliūčių ją įkeisti, prievolės įvykdymo užtikrinimas gali būti netaikomas.“</w:t>
                        </w:r>
                      </w:p>
                    </w:tc>
                  </w:tr>
                </w:tbl>
                <w:p w:rsidR="00A72A20" w:rsidRDefault="0015271D">
                  <w:pPr>
                    <w:rPr>
                      <w:szCs w:val="24"/>
                      <w:lang w:eastAsia="ko-KR"/>
                    </w:rPr>
                  </w:pPr>
                </w:p>
              </w:sdtContent>
            </w:sdt>
            <w:sdt>
              <w:sdtPr>
                <w:alias w:val="1.20 pp."/>
                <w:tag w:val="part_f295b87341e04a34bfe47ba95885c52f"/>
                <w:id w:val="571627021"/>
                <w:lock w:val="sdtLocked"/>
              </w:sdtPr>
              <w:sdtEndPr/>
              <w:sdtContent>
                <w:p w:rsidR="00A72A20" w:rsidRDefault="0015271D">
                  <w:pPr>
                    <w:tabs>
                      <w:tab w:val="left" w:pos="567"/>
                    </w:tabs>
                    <w:ind w:firstLine="709"/>
                    <w:jc w:val="both"/>
                    <w:rPr>
                      <w:szCs w:val="24"/>
                      <w:lang w:eastAsia="ko-KR"/>
                    </w:rPr>
                  </w:pPr>
                  <w:sdt>
                    <w:sdtPr>
                      <w:alias w:val="Numeris"/>
                      <w:tag w:val="nr_f295b87341e04a34bfe47ba95885c52f"/>
                      <w:id w:val="486054332"/>
                      <w:lock w:val="sdtLocked"/>
                    </w:sdtPr>
                    <w:sdtEndPr/>
                    <w:sdtContent>
                      <w:r>
                        <w:rPr>
                          <w:szCs w:val="24"/>
                          <w:lang w:eastAsia="ko-KR"/>
                        </w:rPr>
                        <w:t>1.20</w:t>
                      </w:r>
                    </w:sdtContent>
                  </w:sdt>
                  <w:r>
                    <w:rPr>
                      <w:szCs w:val="24"/>
                      <w:lang w:eastAsia="ko-KR"/>
                    </w:rPr>
                    <w:t xml:space="preserve">. Pakeičiu 9.13 </w:t>
                  </w:r>
                  <w:r>
                    <w:rPr>
                      <w:szCs w:val="24"/>
                      <w:lang w:eastAsia="ko-KR"/>
                    </w:rPr>
                    <w:t xml:space="preserve">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rPr>
                        </w:pPr>
                        <w:r>
                          <w:rPr>
                            <w:color w:val="000000"/>
                            <w:szCs w:val="24"/>
                            <w:lang w:eastAsia="lt-LT"/>
                          </w:rPr>
                          <w:t>„</w:t>
                        </w:r>
                        <w:r>
                          <w:rPr>
                            <w:color w:val="000000"/>
                          </w:rPr>
                          <w:t xml:space="preserve">9.13. Išsami Priemonės įgyvendinimo tvarka ir procedūros nustatomos Priemonės aprašyme.“ </w:t>
                        </w:r>
                      </w:p>
                    </w:tc>
                  </w:tr>
                </w:tbl>
                <w:p w:rsidR="00A72A20" w:rsidRDefault="0015271D">
                  <w:pPr>
                    <w:rPr>
                      <w:szCs w:val="24"/>
                      <w:lang w:eastAsia="ko-KR"/>
                    </w:rPr>
                  </w:pPr>
                </w:p>
              </w:sdtContent>
            </w:sdt>
            <w:sdt>
              <w:sdtPr>
                <w:alias w:val="1.21 pp."/>
                <w:tag w:val="part_9b7d7623a3ed41fc8d57718ae947c230"/>
                <w:id w:val="-247038230"/>
                <w:lock w:val="sdtLocked"/>
              </w:sdtPr>
              <w:sdtEndPr/>
              <w:sdtContent>
                <w:p w:rsidR="00A72A20" w:rsidRDefault="0015271D">
                  <w:pPr>
                    <w:tabs>
                      <w:tab w:val="left" w:pos="567"/>
                    </w:tabs>
                    <w:ind w:firstLine="709"/>
                    <w:jc w:val="both"/>
                    <w:rPr>
                      <w:szCs w:val="24"/>
                      <w:lang w:eastAsia="ko-KR"/>
                    </w:rPr>
                  </w:pPr>
                  <w:sdt>
                    <w:sdtPr>
                      <w:alias w:val="Numeris"/>
                      <w:tag w:val="nr_9b7d7623a3ed41fc8d57718ae947c230"/>
                      <w:id w:val="-1714259094"/>
                      <w:lock w:val="sdtLocked"/>
                    </w:sdtPr>
                    <w:sdtEndPr/>
                    <w:sdtContent>
                      <w:r>
                        <w:rPr>
                          <w:szCs w:val="24"/>
                          <w:lang w:eastAsia="ko-KR"/>
                        </w:rPr>
                        <w:t>1.21</w:t>
                      </w:r>
                    </w:sdtContent>
                  </w:sdt>
                  <w:r>
                    <w:rPr>
                      <w:szCs w:val="24"/>
                      <w:lang w:eastAsia="ko-KR"/>
                    </w:rPr>
                    <w:t xml:space="preserve">. Pakeičiu 11.2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szCs w:val="24"/>
                          </w:rPr>
                        </w:pPr>
                        <w:r>
                          <w:rPr>
                            <w:color w:val="000000"/>
                            <w:szCs w:val="24"/>
                            <w:lang w:eastAsia="lt-LT"/>
                          </w:rPr>
                          <w:t>„</w:t>
                        </w:r>
                        <w:r>
                          <w:rPr>
                            <w:color w:val="000000"/>
                          </w:rPr>
                          <w:t xml:space="preserve">11.2. </w:t>
                        </w:r>
                        <w:r>
                          <w:rPr>
                            <w:color w:val="000000"/>
                            <w:spacing w:val="2"/>
                          </w:rPr>
                          <w:t>P</w:t>
                        </w:r>
                        <w:r>
                          <w:rPr>
                            <w:rFonts w:eastAsia="Calibri"/>
                          </w:rPr>
                          <w:t xml:space="preserve">rojektas atitinka reikšmingos žalos nedarymo principą, kaip tai </w:t>
                        </w:r>
                        <w:r>
                          <w:rPr>
                            <w:rFonts w:eastAsia="Calibri"/>
                          </w:rPr>
                          <w:t>apibrėžta 2020 m. birželio 18 d. Europos Parlamento ir Tarybos reglamento (ES) 2020/852 dėl sistemos tvariam investavimui palengvinti sukūrimo, kuriuo iš dalies keičiamas Reglamentas (ES) 2019/2088, 17 straipsnyje, atsižvelgiant į 2021 m. vasario 18 d. Kom</w:t>
                        </w:r>
                        <w:r>
                          <w:rPr>
                            <w:rFonts w:eastAsia="Calibri"/>
                          </w:rPr>
                          <w:t>isijos pranešimu 2021/C 58/01 patvirtintas Reikšmingos žalos nedarymo principo taikymo pagal Ekonomikos gaivinimo ir atsparumo didinimo priemonės reglamentą technines gaires (šis Schemos papunktis netaikomas, kai Projektai finansuojami INVEGOS fondo lėšomi</w:t>
                        </w:r>
                        <w:r>
                          <w:rPr>
                            <w:rFonts w:eastAsia="Calibri"/>
                          </w:rPr>
                          <w:t>s)</w:t>
                        </w:r>
                        <w:r>
                          <w:rPr>
                            <w:rFonts w:ascii="Arial" w:eastAsia="Arial" w:hAnsi="Arial" w:cs="Arial"/>
                            <w:color w:val="000000"/>
                            <w:sz w:val="20"/>
                          </w:rPr>
                          <w:t>.</w:t>
                        </w:r>
                        <w:r>
                          <w:rPr>
                            <w:szCs w:val="24"/>
                          </w:rPr>
                          <w:t>“</w:t>
                        </w:r>
                      </w:p>
                    </w:tc>
                  </w:tr>
                </w:tbl>
                <w:p w:rsidR="00A72A20" w:rsidRDefault="0015271D">
                  <w:pPr>
                    <w:rPr>
                      <w:szCs w:val="24"/>
                      <w:lang w:eastAsia="ko-KR"/>
                    </w:rPr>
                  </w:pPr>
                </w:p>
              </w:sdtContent>
            </w:sdt>
            <w:sdt>
              <w:sdtPr>
                <w:alias w:val="1.22 pp."/>
                <w:tag w:val="part_8960ac83a7714921ab00999cbbf273c2"/>
                <w:id w:val="2025043054"/>
                <w:lock w:val="sdtLocked"/>
              </w:sdtPr>
              <w:sdtEndPr/>
              <w:sdtContent>
                <w:p w:rsidR="00A72A20" w:rsidRDefault="0015271D">
                  <w:pPr>
                    <w:tabs>
                      <w:tab w:val="left" w:pos="567"/>
                    </w:tabs>
                    <w:ind w:firstLine="709"/>
                    <w:jc w:val="both"/>
                    <w:rPr>
                      <w:szCs w:val="24"/>
                      <w:lang w:eastAsia="ko-KR"/>
                    </w:rPr>
                  </w:pPr>
                  <w:sdt>
                    <w:sdtPr>
                      <w:alias w:val="Numeris"/>
                      <w:tag w:val="nr_8960ac83a7714921ab00999cbbf273c2"/>
                      <w:id w:val="672381003"/>
                      <w:lock w:val="sdtLocked"/>
                    </w:sdtPr>
                    <w:sdtEndPr/>
                    <w:sdtContent>
                      <w:r>
                        <w:rPr>
                          <w:szCs w:val="24"/>
                          <w:lang w:eastAsia="ko-KR"/>
                        </w:rPr>
                        <w:t>1.22</w:t>
                      </w:r>
                    </w:sdtContent>
                  </w:sdt>
                  <w:r>
                    <w:rPr>
                      <w:szCs w:val="24"/>
                      <w:lang w:eastAsia="ko-KR"/>
                    </w:rPr>
                    <w:t>. Pakeičiu 11.5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jc w:val="both"/>
                          <w:rPr>
                            <w:color w:val="000000"/>
                            <w:szCs w:val="24"/>
                          </w:rPr>
                        </w:pPr>
                        <w:r>
                          <w:rPr>
                            <w:color w:val="000000"/>
                            <w:szCs w:val="24"/>
                            <w:lang w:eastAsia="lt-LT"/>
                          </w:rPr>
                          <w:t>„</w:t>
                        </w:r>
                        <w:r>
                          <w:rPr>
                            <w:color w:val="000000"/>
                            <w:szCs w:val="24"/>
                          </w:rPr>
                          <w:t>11.5. Projektas turi nepažeisti Europos Sąjungos pagrindinių teisių chartijoje nustatytų pagrindinių teisių: orumo; asmenų, privataus ir šeimos gyvenimo, sąžinės ir saviraiškos laisvės; asmens</w:t>
                        </w:r>
                        <w:r>
                          <w:rPr>
                            <w:color w:val="000000"/>
                            <w:szCs w:val="24"/>
                          </w:rPr>
                          <w:t xml:space="preserve"> duomenų; prieglobsčio ir apsaugos perkėlimo, išsiuntimo ar išdavimo atvejų; teisių į nuosavybę ir teisių užsiimti verslu; lyčių lygybės, vienodo požiūrio ir lygių galimybių, nediskriminavimo ir neįgaliųjų teisių; vaiko teisių; gerojo administravimo, veiks</w:t>
                        </w:r>
                        <w:r>
                          <w:rPr>
                            <w:color w:val="000000"/>
                            <w:szCs w:val="24"/>
                          </w:rPr>
                          <w:t>mingos teisinės gynybos, teisingumo; solidarumo ir darbuotojų teisių; aplinkos apsaugos.“</w:t>
                        </w:r>
                      </w:p>
                    </w:tc>
                  </w:tr>
                </w:tbl>
                <w:p w:rsidR="00A72A20" w:rsidRDefault="0015271D">
                  <w:pPr>
                    <w:rPr>
                      <w:szCs w:val="24"/>
                      <w:lang w:eastAsia="ko-KR"/>
                    </w:rPr>
                  </w:pPr>
                </w:p>
              </w:sdtContent>
            </w:sdt>
            <w:sdt>
              <w:sdtPr>
                <w:alias w:val="1.23 pp."/>
                <w:tag w:val="part_afe803faad524462be09498c838e7e45"/>
                <w:id w:val="-1087148873"/>
                <w:lock w:val="sdtLocked"/>
              </w:sdtPr>
              <w:sdtEndPr/>
              <w:sdtContent>
                <w:p w:rsidR="00A72A20" w:rsidRDefault="0015271D">
                  <w:pPr>
                    <w:tabs>
                      <w:tab w:val="left" w:pos="567"/>
                    </w:tabs>
                    <w:ind w:firstLine="709"/>
                    <w:jc w:val="both"/>
                    <w:rPr>
                      <w:szCs w:val="24"/>
                      <w:lang w:eastAsia="ko-KR"/>
                    </w:rPr>
                  </w:pPr>
                  <w:sdt>
                    <w:sdtPr>
                      <w:alias w:val="Numeris"/>
                      <w:tag w:val="nr_afe803faad524462be09498c838e7e45"/>
                      <w:id w:val="1046958736"/>
                      <w:lock w:val="sdtLocked"/>
                    </w:sdtPr>
                    <w:sdtEndPr/>
                    <w:sdtContent>
                      <w:r>
                        <w:rPr>
                          <w:szCs w:val="24"/>
                          <w:lang w:eastAsia="ko-KR"/>
                        </w:rPr>
                        <w:t>1.23</w:t>
                      </w:r>
                    </w:sdtContent>
                  </w:sdt>
                  <w:r>
                    <w:rPr>
                      <w:szCs w:val="24"/>
                      <w:lang w:eastAsia="ko-KR"/>
                    </w:rPr>
                    <w:t xml:space="preserve">. Papildau 11.6 papunkčiu: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72A20">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A72A20">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2A20" w:rsidRDefault="0015271D">
                        <w:pPr>
                          <w:suppressAutoHyphens/>
                          <w:jc w:val="both"/>
                          <w:textAlignment w:val="center"/>
                          <w:rPr>
                            <w:color w:val="000000"/>
                          </w:rPr>
                        </w:pPr>
                        <w:r>
                          <w:rPr>
                            <w:color w:val="000000"/>
                            <w:szCs w:val="24"/>
                            <w:lang w:eastAsia="lt-LT"/>
                          </w:rPr>
                          <w:t>„</w:t>
                        </w:r>
                        <w:r>
                          <w:rPr>
                            <w:color w:val="000000"/>
                            <w:szCs w:val="24"/>
                          </w:rPr>
                          <w:t xml:space="preserve">11.6. Projektas turi atitikti ES ir nacionalinius aplinkosauginius reikalavimus, taikytinus Projektui </w:t>
                        </w:r>
                        <w:r>
                          <w:rPr>
                            <w:rFonts w:eastAsia="Calibri"/>
                          </w:rPr>
                          <w:t>(šis</w:t>
                        </w:r>
                        <w:r>
                          <w:rPr>
                            <w:szCs w:val="24"/>
                            <w:lang w:eastAsia="ko-KR"/>
                          </w:rPr>
                          <w:t xml:space="preserve"> </w:t>
                        </w:r>
                        <w:r>
                          <w:rPr>
                            <w:rFonts w:eastAsia="Calibri"/>
                          </w:rPr>
                          <w:t xml:space="preserve">Schemos papunktis </w:t>
                        </w:r>
                        <w:r>
                          <w:rPr>
                            <w:rFonts w:eastAsia="Calibri"/>
                          </w:rPr>
                          <w:t>netaikomas, kai Projektai finansuojami INVEGOS fondo lėšomis)</w:t>
                        </w:r>
                        <w:r>
                          <w:rPr>
                            <w:color w:val="000000"/>
                            <w:szCs w:val="24"/>
                          </w:rPr>
                          <w:t>.“</w:t>
                        </w:r>
                      </w:p>
                    </w:tc>
                  </w:tr>
                </w:tbl>
                <w:p w:rsidR="00A72A20" w:rsidRDefault="0015271D">
                  <w:pPr>
                    <w:rPr>
                      <w:szCs w:val="24"/>
                      <w:lang w:eastAsia="ko-KR"/>
                    </w:rPr>
                  </w:pPr>
                </w:p>
              </w:sdtContent>
            </w:sdt>
          </w:sdtContent>
        </w:sdt>
        <w:sdt>
          <w:sdtPr>
            <w:alias w:val="2 p."/>
            <w:tag w:val="part_f498f77aa4a24ed99bcc316db9189053"/>
            <w:id w:val="1268504387"/>
            <w:lock w:val="sdtLocked"/>
          </w:sdtPr>
          <w:sdtEndPr/>
          <w:sdtContent>
            <w:p w:rsidR="00A72A20" w:rsidRDefault="0015271D">
              <w:pPr>
                <w:ind w:left="37" w:right="142" w:firstLine="672"/>
                <w:jc w:val="both"/>
                <w:rPr>
                  <w:color w:val="201F1E"/>
                  <w:szCs w:val="24"/>
                  <w:lang w:eastAsia="ko-KR"/>
                </w:rPr>
              </w:pPr>
              <w:sdt>
                <w:sdtPr>
                  <w:alias w:val="Numeris"/>
                  <w:tag w:val="nr_f498f77aa4a24ed99bcc316db9189053"/>
                  <w:id w:val="-243331311"/>
                  <w:lock w:val="sdtLocked"/>
                </w:sdtPr>
                <w:sdtEndPr/>
                <w:sdtContent>
                  <w:r>
                    <w:rPr>
                      <w:color w:val="201F1E"/>
                      <w:szCs w:val="24"/>
                      <w:shd w:val="clear" w:color="auto" w:fill="FFFFFF"/>
                      <w:lang w:eastAsia="ko-KR"/>
                    </w:rPr>
                    <w:t>2</w:t>
                  </w:r>
                </w:sdtContent>
              </w:sdt>
              <w:r>
                <w:rPr>
                  <w:color w:val="201F1E"/>
                  <w:szCs w:val="24"/>
                  <w:shd w:val="clear" w:color="auto" w:fill="FFFFFF"/>
                  <w:lang w:eastAsia="ko-KR"/>
                </w:rPr>
                <w:t>. N u s t a t a u, kad</w:t>
              </w:r>
              <w:r>
                <w:rPr>
                  <w:color w:val="201F1E"/>
                  <w:szCs w:val="24"/>
                  <w:lang w:eastAsia="ko-KR"/>
                </w:rPr>
                <w:t xml:space="preserve"> šis įsakymas taikomas uždarajai akcinei bendrovei „Investicijų ir verslo garantijos“ (toliau – INVEGA) vertinant paskolų gavėjų paraiškas, pateiktas po šio įsakymo įsigaliojimo, taip pat paskolų gavėjų paraiškas, pateiktas iki šio įsakymo įsigaliojimo die</w:t>
              </w:r>
              <w:r>
                <w:rPr>
                  <w:color w:val="201F1E"/>
                  <w:szCs w:val="24"/>
                  <w:lang w:eastAsia="ko-KR"/>
                </w:rPr>
                <w:t xml:space="preserve">nos, tuo atveju, jei INVEGOS sprendimai suteikti paskolą pagal pateiktas paraiškas iki šio įsakymo įsigaliojimo nebuvo priimti. </w:t>
              </w:r>
            </w:p>
            <w:p w:rsidR="00A72A20" w:rsidRDefault="00A72A20">
              <w:pPr>
                <w:rPr>
                  <w:szCs w:val="24"/>
                  <w:lang w:eastAsia="ko-KR"/>
                </w:rPr>
              </w:pPr>
            </w:p>
            <w:p w:rsidR="00A72A20" w:rsidRDefault="00A72A20">
              <w:pPr>
                <w:rPr>
                  <w:szCs w:val="24"/>
                  <w:lang w:eastAsia="lt-LT"/>
                </w:rPr>
              </w:pPr>
            </w:p>
            <w:p w:rsidR="00A72A20" w:rsidRDefault="0015271D">
              <w:pPr>
                <w:rPr>
                  <w:szCs w:val="24"/>
                  <w:lang w:eastAsia="lt-LT"/>
                </w:rPr>
              </w:pPr>
            </w:p>
          </w:sdtContent>
        </w:sdt>
        <w:sdt>
          <w:sdtPr>
            <w:alias w:val="signatura"/>
            <w:tag w:val="part_8648bfd3fd3a4ef8bb501def410a3553"/>
            <w:id w:val="-1703166337"/>
            <w:lock w:val="sdtLocked"/>
          </w:sdtPr>
          <w:sdtEndPr/>
          <w:sdtContent>
            <w:p w:rsidR="00A72A20" w:rsidRDefault="0015271D">
              <w:pPr>
                <w:rPr>
                  <w:szCs w:val="24"/>
                  <w:lang w:eastAsia="lt-LT"/>
                </w:rPr>
              </w:pPr>
              <w:r>
                <w:rPr>
                  <w:szCs w:val="24"/>
                  <w:lang w:eastAsia="lt-LT"/>
                </w:rPr>
                <w:t xml:space="preserve">Ekonomikos ir inovacijų ministrė </w:t>
              </w:r>
              <w:r>
                <w:rPr>
                  <w:szCs w:val="24"/>
                  <w:lang w:eastAsia="lt-LT"/>
                </w:rPr>
                <w:tab/>
              </w:r>
              <w:bookmarkStart w:id="0" w:name="_GoBack"/>
              <w:bookmarkEnd w:id="0"/>
              <w:r>
                <w:rPr>
                  <w:szCs w:val="24"/>
                  <w:lang w:eastAsia="lt-LT"/>
                </w:rPr>
                <w:t xml:space="preserve">                                                                       Aušrinė Armo</w:t>
              </w:r>
              <w:r>
                <w:rPr>
                  <w:szCs w:val="24"/>
                  <w:lang w:eastAsia="lt-LT"/>
                </w:rPr>
                <w:t>naitė</w:t>
              </w:r>
            </w:p>
            <w:p w:rsidR="00A72A20" w:rsidRDefault="0015271D">
              <w:pPr>
                <w:rPr>
                  <w:sz w:val="22"/>
                  <w:szCs w:val="22"/>
                  <w:lang w:eastAsia="ko-KR"/>
                </w:rPr>
              </w:pPr>
            </w:p>
          </w:sdtContent>
        </w:sdt>
      </w:sdtContent>
    </w:sdt>
    <w:sectPr w:rsidR="00A72A20">
      <w:headerReference w:type="even" r:id="rId12"/>
      <w:headerReference w:type="default" r:id="rId13"/>
      <w:footerReference w:type="even" r:id="rId14"/>
      <w:footerReference w:type="default" r:id="rId15"/>
      <w:headerReference w:type="first" r:id="rId16"/>
      <w:footerReference w:type="first" r:id="rId17"/>
      <w:pgSz w:w="11906" w:h="16838" w:code="9"/>
      <w:pgMar w:top="1134" w:right="42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2A20" w:rsidRDefault="0015271D">
      <w:pPr>
        <w:rPr>
          <w:szCs w:val="24"/>
          <w:lang w:eastAsia="ko-KR"/>
        </w:rPr>
      </w:pPr>
      <w:r>
        <w:rPr>
          <w:szCs w:val="24"/>
          <w:lang w:eastAsia="ko-KR"/>
        </w:rPr>
        <w:separator/>
      </w:r>
    </w:p>
  </w:endnote>
  <w:endnote w:type="continuationSeparator" w:id="0">
    <w:p w:rsidR="00A72A20" w:rsidRDefault="0015271D">
      <w:pPr>
        <w:rPr>
          <w:szCs w:val="24"/>
          <w:lang w:eastAsia="ko-KR"/>
        </w:rPr>
      </w:pPr>
      <w:r>
        <w:rPr>
          <w:szCs w:val="24"/>
          <w:lang w:eastAsia="ko-K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15271D">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A72A20" w:rsidRDefault="00A72A20">
    <w:pPr>
      <w:tabs>
        <w:tab w:val="center" w:pos="4153"/>
        <w:tab w:val="right" w:pos="8306"/>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A72A20">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A72A20">
    <w:pPr>
      <w:tabs>
        <w:tab w:val="center" w:pos="4153"/>
        <w:tab w:val="right" w:pos="8306"/>
      </w:tabs>
      <w:ind w:firstLine="720"/>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2A20" w:rsidRDefault="0015271D">
      <w:pPr>
        <w:rPr>
          <w:szCs w:val="24"/>
          <w:lang w:eastAsia="ko-KR"/>
        </w:rPr>
      </w:pPr>
      <w:r>
        <w:rPr>
          <w:szCs w:val="24"/>
          <w:lang w:eastAsia="ko-KR"/>
        </w:rPr>
        <w:separator/>
      </w:r>
    </w:p>
  </w:footnote>
  <w:footnote w:type="continuationSeparator" w:id="0">
    <w:p w:rsidR="00A72A20" w:rsidRDefault="0015271D">
      <w:pPr>
        <w:rPr>
          <w:szCs w:val="24"/>
          <w:lang w:eastAsia="ko-KR"/>
        </w:rPr>
      </w:pPr>
      <w:r>
        <w:rPr>
          <w:szCs w:val="24"/>
          <w:lang w:eastAsia="ko-K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A72A20">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15271D">
    <w:pPr>
      <w:tabs>
        <w:tab w:val="center" w:pos="4153"/>
        <w:tab w:val="right" w:pos="8306"/>
      </w:tabs>
      <w:ind w:firstLine="720"/>
      <w:jc w:val="center"/>
    </w:pPr>
    <w:r>
      <w:fldChar w:fldCharType="begin"/>
    </w:r>
    <w:r>
      <w:instrText>PAGE   \* MERGEFORMAT</w:instrText>
    </w:r>
    <w:r>
      <w:fldChar w:fldCharType="separate"/>
    </w:r>
    <w:r>
      <w:rPr>
        <w:noProof/>
      </w:rPr>
      <w:t>7</w:t>
    </w:r>
    <w:r>
      <w:fldChar w:fldCharType="end"/>
    </w:r>
  </w:p>
  <w:p w:rsidR="00A72A20" w:rsidRDefault="00A72A20">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2A20" w:rsidRDefault="00A72A20">
    <w:pPr>
      <w:tabs>
        <w:tab w:val="center" w:pos="4153"/>
        <w:tab w:val="right" w:pos="8306"/>
      </w:tabs>
      <w:ind w:firstLine="720"/>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5A7"/>
    <w:rsid w:val="0015271D"/>
    <w:rsid w:val="002245A7"/>
    <w:rsid w:val="00A72A2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8CE8E58"/>
  <w15:docId w15:val="{5448051E-F7B2-4188-A3EB-084B2F95A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08076">
      <w:bodyDiv w:val="1"/>
      <w:marLeft w:val="0"/>
      <w:marRight w:val="0"/>
      <w:marTop w:val="0"/>
      <w:marBottom w:val="0"/>
      <w:divBdr>
        <w:top w:val="none" w:sz="0" w:space="0" w:color="auto"/>
        <w:left w:val="none" w:sz="0" w:space="0" w:color="auto"/>
        <w:bottom w:val="none" w:sz="0" w:space="0" w:color="auto"/>
        <w:right w:val="none" w:sz="0" w:space="0" w:color="auto"/>
      </w:divBdr>
      <w:divsChild>
        <w:div w:id="1870146169">
          <w:marLeft w:val="0"/>
          <w:marRight w:val="0"/>
          <w:marTop w:val="0"/>
          <w:marBottom w:val="0"/>
          <w:divBdr>
            <w:top w:val="none" w:sz="0" w:space="0" w:color="auto"/>
            <w:left w:val="none" w:sz="0" w:space="0" w:color="auto"/>
            <w:bottom w:val="none" w:sz="0" w:space="0" w:color="auto"/>
            <w:right w:val="none" w:sz="0" w:space="0" w:color="auto"/>
          </w:divBdr>
        </w:div>
        <w:div w:id="12808320">
          <w:marLeft w:val="0"/>
          <w:marRight w:val="0"/>
          <w:marTop w:val="0"/>
          <w:marBottom w:val="0"/>
          <w:divBdr>
            <w:top w:val="none" w:sz="0" w:space="0" w:color="auto"/>
            <w:left w:val="none" w:sz="0" w:space="0" w:color="auto"/>
            <w:bottom w:val="none" w:sz="0" w:space="0" w:color="auto"/>
            <w:right w:val="none" w:sz="0" w:space="0" w:color="auto"/>
          </w:divBdr>
          <w:divsChild>
            <w:div w:id="15592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3283">
      <w:bodyDiv w:val="1"/>
      <w:marLeft w:val="0"/>
      <w:marRight w:val="0"/>
      <w:marTop w:val="0"/>
      <w:marBottom w:val="0"/>
      <w:divBdr>
        <w:top w:val="none" w:sz="0" w:space="0" w:color="auto"/>
        <w:left w:val="none" w:sz="0" w:space="0" w:color="auto"/>
        <w:bottom w:val="none" w:sz="0" w:space="0" w:color="auto"/>
        <w:right w:val="none" w:sz="0" w:space="0" w:color="auto"/>
      </w:divBdr>
    </w:div>
    <w:div w:id="310331119">
      <w:bodyDiv w:val="1"/>
      <w:marLeft w:val="0"/>
      <w:marRight w:val="0"/>
      <w:marTop w:val="0"/>
      <w:marBottom w:val="0"/>
      <w:divBdr>
        <w:top w:val="none" w:sz="0" w:space="0" w:color="auto"/>
        <w:left w:val="none" w:sz="0" w:space="0" w:color="auto"/>
        <w:bottom w:val="none" w:sz="0" w:space="0" w:color="auto"/>
        <w:right w:val="none" w:sz="0" w:space="0" w:color="auto"/>
      </w:divBdr>
    </w:div>
    <w:div w:id="417099502">
      <w:bodyDiv w:val="1"/>
      <w:marLeft w:val="0"/>
      <w:marRight w:val="0"/>
      <w:marTop w:val="0"/>
      <w:marBottom w:val="0"/>
      <w:divBdr>
        <w:top w:val="none" w:sz="0" w:space="0" w:color="auto"/>
        <w:left w:val="none" w:sz="0" w:space="0" w:color="auto"/>
        <w:bottom w:val="none" w:sz="0" w:space="0" w:color="auto"/>
        <w:right w:val="none" w:sz="0" w:space="0" w:color="auto"/>
      </w:divBdr>
    </w:div>
    <w:div w:id="567423203">
      <w:bodyDiv w:val="1"/>
      <w:marLeft w:val="0"/>
      <w:marRight w:val="0"/>
      <w:marTop w:val="0"/>
      <w:marBottom w:val="0"/>
      <w:divBdr>
        <w:top w:val="none" w:sz="0" w:space="0" w:color="auto"/>
        <w:left w:val="none" w:sz="0" w:space="0" w:color="auto"/>
        <w:bottom w:val="none" w:sz="0" w:space="0" w:color="auto"/>
        <w:right w:val="none" w:sz="0" w:space="0" w:color="auto"/>
      </w:divBdr>
    </w:div>
    <w:div w:id="621617253">
      <w:bodyDiv w:val="1"/>
      <w:marLeft w:val="0"/>
      <w:marRight w:val="0"/>
      <w:marTop w:val="0"/>
      <w:marBottom w:val="0"/>
      <w:divBdr>
        <w:top w:val="none" w:sz="0" w:space="0" w:color="auto"/>
        <w:left w:val="none" w:sz="0" w:space="0" w:color="auto"/>
        <w:bottom w:val="none" w:sz="0" w:space="0" w:color="auto"/>
        <w:right w:val="none" w:sz="0" w:space="0" w:color="auto"/>
      </w:divBdr>
    </w:div>
    <w:div w:id="633220817">
      <w:bodyDiv w:val="1"/>
      <w:marLeft w:val="0"/>
      <w:marRight w:val="0"/>
      <w:marTop w:val="0"/>
      <w:marBottom w:val="0"/>
      <w:divBdr>
        <w:top w:val="none" w:sz="0" w:space="0" w:color="auto"/>
        <w:left w:val="none" w:sz="0" w:space="0" w:color="auto"/>
        <w:bottom w:val="none" w:sz="0" w:space="0" w:color="auto"/>
        <w:right w:val="none" w:sz="0" w:space="0" w:color="auto"/>
      </w:divBdr>
    </w:div>
    <w:div w:id="637490382">
      <w:bodyDiv w:val="1"/>
      <w:marLeft w:val="0"/>
      <w:marRight w:val="0"/>
      <w:marTop w:val="0"/>
      <w:marBottom w:val="0"/>
      <w:divBdr>
        <w:top w:val="none" w:sz="0" w:space="0" w:color="auto"/>
        <w:left w:val="none" w:sz="0" w:space="0" w:color="auto"/>
        <w:bottom w:val="none" w:sz="0" w:space="0" w:color="auto"/>
        <w:right w:val="none" w:sz="0" w:space="0" w:color="auto"/>
      </w:divBdr>
      <w:divsChild>
        <w:div w:id="2046908426">
          <w:marLeft w:val="0"/>
          <w:marRight w:val="0"/>
          <w:marTop w:val="0"/>
          <w:marBottom w:val="0"/>
          <w:divBdr>
            <w:top w:val="single" w:sz="2" w:space="3" w:color="AFE1BB"/>
            <w:left w:val="single" w:sz="2" w:space="12" w:color="AFE1BB"/>
            <w:bottom w:val="single" w:sz="6" w:space="3" w:color="AFE1BB"/>
            <w:right w:val="single" w:sz="2" w:space="12" w:color="AFE1BB"/>
          </w:divBdr>
        </w:div>
      </w:divsChild>
    </w:div>
    <w:div w:id="667054098">
      <w:bodyDiv w:val="1"/>
      <w:marLeft w:val="0"/>
      <w:marRight w:val="0"/>
      <w:marTop w:val="0"/>
      <w:marBottom w:val="0"/>
      <w:divBdr>
        <w:top w:val="none" w:sz="0" w:space="0" w:color="auto"/>
        <w:left w:val="none" w:sz="0" w:space="0" w:color="auto"/>
        <w:bottom w:val="none" w:sz="0" w:space="0" w:color="auto"/>
        <w:right w:val="none" w:sz="0" w:space="0" w:color="auto"/>
      </w:divBdr>
      <w:divsChild>
        <w:div w:id="1965309864">
          <w:marLeft w:val="0"/>
          <w:marRight w:val="0"/>
          <w:marTop w:val="0"/>
          <w:marBottom w:val="0"/>
          <w:divBdr>
            <w:top w:val="none" w:sz="0" w:space="0" w:color="auto"/>
            <w:left w:val="none" w:sz="0" w:space="0" w:color="auto"/>
            <w:bottom w:val="none" w:sz="0" w:space="0" w:color="auto"/>
            <w:right w:val="none" w:sz="0" w:space="0" w:color="auto"/>
          </w:divBdr>
        </w:div>
      </w:divsChild>
    </w:div>
    <w:div w:id="730154127">
      <w:bodyDiv w:val="1"/>
      <w:marLeft w:val="0"/>
      <w:marRight w:val="0"/>
      <w:marTop w:val="0"/>
      <w:marBottom w:val="0"/>
      <w:divBdr>
        <w:top w:val="none" w:sz="0" w:space="0" w:color="auto"/>
        <w:left w:val="none" w:sz="0" w:space="0" w:color="auto"/>
        <w:bottom w:val="none" w:sz="0" w:space="0" w:color="auto"/>
        <w:right w:val="none" w:sz="0" w:space="0" w:color="auto"/>
      </w:divBdr>
    </w:div>
    <w:div w:id="765886256">
      <w:bodyDiv w:val="1"/>
      <w:marLeft w:val="0"/>
      <w:marRight w:val="0"/>
      <w:marTop w:val="0"/>
      <w:marBottom w:val="0"/>
      <w:divBdr>
        <w:top w:val="none" w:sz="0" w:space="0" w:color="auto"/>
        <w:left w:val="none" w:sz="0" w:space="0" w:color="auto"/>
        <w:bottom w:val="none" w:sz="0" w:space="0" w:color="auto"/>
        <w:right w:val="none" w:sz="0" w:space="0" w:color="auto"/>
      </w:divBdr>
    </w:div>
    <w:div w:id="831529789">
      <w:bodyDiv w:val="1"/>
      <w:marLeft w:val="0"/>
      <w:marRight w:val="0"/>
      <w:marTop w:val="0"/>
      <w:marBottom w:val="0"/>
      <w:divBdr>
        <w:top w:val="none" w:sz="0" w:space="0" w:color="auto"/>
        <w:left w:val="none" w:sz="0" w:space="0" w:color="auto"/>
        <w:bottom w:val="none" w:sz="0" w:space="0" w:color="auto"/>
        <w:right w:val="none" w:sz="0" w:space="0" w:color="auto"/>
      </w:divBdr>
    </w:div>
    <w:div w:id="1069696918">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199657068">
      <w:bodyDiv w:val="1"/>
      <w:marLeft w:val="0"/>
      <w:marRight w:val="0"/>
      <w:marTop w:val="0"/>
      <w:marBottom w:val="0"/>
      <w:divBdr>
        <w:top w:val="none" w:sz="0" w:space="0" w:color="auto"/>
        <w:left w:val="none" w:sz="0" w:space="0" w:color="auto"/>
        <w:bottom w:val="none" w:sz="0" w:space="0" w:color="auto"/>
        <w:right w:val="none" w:sz="0" w:space="0" w:color="auto"/>
      </w:divBdr>
      <w:divsChild>
        <w:div w:id="1952937660">
          <w:marLeft w:val="0"/>
          <w:marRight w:val="0"/>
          <w:marTop w:val="0"/>
          <w:marBottom w:val="0"/>
          <w:divBdr>
            <w:top w:val="none" w:sz="0" w:space="0" w:color="auto"/>
            <w:left w:val="none" w:sz="0" w:space="0" w:color="auto"/>
            <w:bottom w:val="none" w:sz="0" w:space="0" w:color="auto"/>
            <w:right w:val="none" w:sz="0" w:space="0" w:color="auto"/>
          </w:divBdr>
        </w:div>
        <w:div w:id="707030191">
          <w:marLeft w:val="0"/>
          <w:marRight w:val="0"/>
          <w:marTop w:val="0"/>
          <w:marBottom w:val="0"/>
          <w:divBdr>
            <w:top w:val="none" w:sz="0" w:space="0" w:color="auto"/>
            <w:left w:val="none" w:sz="0" w:space="0" w:color="auto"/>
            <w:bottom w:val="none" w:sz="0" w:space="0" w:color="auto"/>
            <w:right w:val="none" w:sz="0" w:space="0" w:color="auto"/>
          </w:divBdr>
        </w:div>
        <w:div w:id="537819045">
          <w:marLeft w:val="0"/>
          <w:marRight w:val="0"/>
          <w:marTop w:val="0"/>
          <w:marBottom w:val="0"/>
          <w:divBdr>
            <w:top w:val="none" w:sz="0" w:space="0" w:color="auto"/>
            <w:left w:val="none" w:sz="0" w:space="0" w:color="auto"/>
            <w:bottom w:val="none" w:sz="0" w:space="0" w:color="auto"/>
            <w:right w:val="none" w:sz="0" w:space="0" w:color="auto"/>
          </w:divBdr>
        </w:div>
        <w:div w:id="242185559">
          <w:marLeft w:val="0"/>
          <w:marRight w:val="0"/>
          <w:marTop w:val="0"/>
          <w:marBottom w:val="0"/>
          <w:divBdr>
            <w:top w:val="none" w:sz="0" w:space="0" w:color="auto"/>
            <w:left w:val="none" w:sz="0" w:space="0" w:color="auto"/>
            <w:bottom w:val="none" w:sz="0" w:space="0" w:color="auto"/>
            <w:right w:val="none" w:sz="0" w:space="0" w:color="auto"/>
          </w:divBdr>
        </w:div>
      </w:divsChild>
    </w:div>
    <w:div w:id="1447385754">
      <w:bodyDiv w:val="1"/>
      <w:marLeft w:val="0"/>
      <w:marRight w:val="0"/>
      <w:marTop w:val="0"/>
      <w:marBottom w:val="0"/>
      <w:divBdr>
        <w:top w:val="none" w:sz="0" w:space="0" w:color="auto"/>
        <w:left w:val="none" w:sz="0" w:space="0" w:color="auto"/>
        <w:bottom w:val="none" w:sz="0" w:space="0" w:color="auto"/>
        <w:right w:val="none" w:sz="0" w:space="0" w:color="auto"/>
      </w:divBdr>
    </w:div>
    <w:div w:id="1515148895">
      <w:bodyDiv w:val="1"/>
      <w:marLeft w:val="0"/>
      <w:marRight w:val="0"/>
      <w:marTop w:val="0"/>
      <w:marBottom w:val="0"/>
      <w:divBdr>
        <w:top w:val="none" w:sz="0" w:space="0" w:color="auto"/>
        <w:left w:val="none" w:sz="0" w:space="0" w:color="auto"/>
        <w:bottom w:val="none" w:sz="0" w:space="0" w:color="auto"/>
        <w:right w:val="none" w:sz="0" w:space="0" w:color="auto"/>
      </w:divBdr>
    </w:div>
    <w:div w:id="1552770560">
      <w:bodyDiv w:val="1"/>
      <w:marLeft w:val="0"/>
      <w:marRight w:val="0"/>
      <w:marTop w:val="0"/>
      <w:marBottom w:val="0"/>
      <w:divBdr>
        <w:top w:val="none" w:sz="0" w:space="0" w:color="auto"/>
        <w:left w:val="none" w:sz="0" w:space="0" w:color="auto"/>
        <w:bottom w:val="none" w:sz="0" w:space="0" w:color="auto"/>
        <w:right w:val="none" w:sz="0" w:space="0" w:color="auto"/>
      </w:divBdr>
      <w:divsChild>
        <w:div w:id="145393636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572934268">
      <w:bodyDiv w:val="1"/>
      <w:marLeft w:val="0"/>
      <w:marRight w:val="0"/>
      <w:marTop w:val="0"/>
      <w:marBottom w:val="0"/>
      <w:divBdr>
        <w:top w:val="none" w:sz="0" w:space="0" w:color="auto"/>
        <w:left w:val="none" w:sz="0" w:space="0" w:color="auto"/>
        <w:bottom w:val="none" w:sz="0" w:space="0" w:color="auto"/>
        <w:right w:val="none" w:sz="0" w:space="0" w:color="auto"/>
      </w:divBdr>
      <w:divsChild>
        <w:div w:id="1575776711">
          <w:marLeft w:val="0"/>
          <w:marRight w:val="0"/>
          <w:marTop w:val="0"/>
          <w:marBottom w:val="0"/>
          <w:divBdr>
            <w:top w:val="none" w:sz="0" w:space="0" w:color="auto"/>
            <w:left w:val="none" w:sz="0" w:space="0" w:color="auto"/>
            <w:bottom w:val="none" w:sz="0" w:space="0" w:color="auto"/>
            <w:right w:val="none" w:sz="0" w:space="0" w:color="auto"/>
          </w:divBdr>
        </w:div>
        <w:div w:id="1506940125">
          <w:marLeft w:val="0"/>
          <w:marRight w:val="0"/>
          <w:marTop w:val="0"/>
          <w:marBottom w:val="0"/>
          <w:divBdr>
            <w:top w:val="none" w:sz="0" w:space="0" w:color="auto"/>
            <w:left w:val="none" w:sz="0" w:space="0" w:color="auto"/>
            <w:bottom w:val="none" w:sz="0" w:space="0" w:color="auto"/>
            <w:right w:val="none" w:sz="0" w:space="0" w:color="auto"/>
          </w:divBdr>
          <w:divsChild>
            <w:div w:id="16764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743750">
      <w:bodyDiv w:val="1"/>
      <w:marLeft w:val="0"/>
      <w:marRight w:val="0"/>
      <w:marTop w:val="0"/>
      <w:marBottom w:val="0"/>
      <w:divBdr>
        <w:top w:val="none" w:sz="0" w:space="0" w:color="auto"/>
        <w:left w:val="none" w:sz="0" w:space="0" w:color="auto"/>
        <w:bottom w:val="none" w:sz="0" w:space="0" w:color="auto"/>
        <w:right w:val="none" w:sz="0" w:space="0" w:color="auto"/>
      </w:divBdr>
    </w:div>
    <w:div w:id="2056810621">
      <w:bodyDiv w:val="1"/>
      <w:marLeft w:val="0"/>
      <w:marRight w:val="0"/>
      <w:marTop w:val="0"/>
      <w:marBottom w:val="0"/>
      <w:divBdr>
        <w:top w:val="none" w:sz="0" w:space="0" w:color="auto"/>
        <w:left w:val="none" w:sz="0" w:space="0" w:color="auto"/>
        <w:bottom w:val="none" w:sz="0" w:space="0" w:color="auto"/>
        <w:right w:val="none" w:sz="0" w:space="0" w:color="auto"/>
      </w:divBdr>
    </w:div>
    <w:div w:id="21290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4.xml><?xml version="1.0" encoding="utf-8"?>
<Parts xmlns="http://lrs.lt/TAIS/DocParts">
  <Part Type="pagrindine" DocPartId="ee86868a4d244a46be01a5da4ea27368" PartId="147c5f47f40444cdb9d9758572e1facb">
    <Part Type="punktas" Nr="1" Abbr="1 p." DocPartId="237659e28cdb4e8db15aac5bc0380c49" PartId="0df01e58252f4b64b3fb1f8e60269cf2">
      <Part Type="papunktis" Nr="1.1" Abbr="1.1 pp." DocPartId="078b89ab619942868597b15c11fd357f" PartId="14a9be39c84342dc83636e7f10d8eb30"/>
      <Part Type="papunktis" Nr="1.2" Abbr="1.2 pp." DocPartId="69c305a07538403ba129808c2f9c7f00" PartId="54fc475ea5554d4fb395e6e19f3b2ac4"/>
      <Part Type="papunktis" Nr="1.3" Abbr="1.3 pp." DocPartId="77b20cfbb6284013836701f287bb8ba0" PartId="87a538745c1c4354915e9560c2a9f5ad"/>
      <Part Type="papunktis" Nr="1.4" Abbr="1.4 pp." DocPartId="25ce48ba03e648a48a30c7dc1d5e96e7" PartId="979b3548ce584c65b7fee02ca65d7d7a"/>
      <Part Type="papunktis" Nr="1.5" Abbr="1.5 pp." DocPartId="17fc58765bb647c6873b91ac2bf35b4a" PartId="886c56ee20ce417fb9a08755415850fb"/>
      <Part Type="papunktis" Nr="1.6" Abbr="1.6 pp." DocPartId="ce905c04ba544c2386a409eee40926b8" PartId="8291003139c54dcb809102b24adadc81"/>
      <Part Type="papunktis" Nr="1.7" Abbr="1.7 pp." DocPartId="ecc874ec204041ec8f8600f76c48a672" PartId="fa4ccab44d424c41a73fb7bbb24d8c48"/>
      <Part Type="papunktis" Nr="1.8" Abbr="1.8 pp." DocPartId="a5887739e3114942b39ea6bb3752adf8" PartId="9ef9f101dbd24fe0bf10a7a5103790b3"/>
      <Part Type="papunktis" Nr="1.9" Abbr="1.9 pp." DocPartId="5894d18130454fada54457aca19500b1" PartId="8ff24ce577614df1956afe76b07403bf"/>
      <Part Type="papunktis" Nr="1.10" Abbr="1.10 pp." DocPartId="b75fdbae3d714ed281153b8185db24f8" PartId="46bfd81e8b8747368953db9fbcd1d1f0"/>
      <Part Type="papunktis" Nr="1.11" Abbr="1.11 pp." DocPartId="0499e18dd1654a35970db8e585f27b8f" PartId="c2ae6091bd7c4c18850f26b7373e61ad"/>
      <Part Type="papunktis" Nr="1.12" Abbr="1.12 pp." DocPartId="04943c7a572f49e3839be9b7326077f1" PartId="b94a3dc80b384743981c3922fb7fd264"/>
      <Part Type="papunktis" Nr="1.13" Abbr="1.13 pp." DocPartId="b251c2743796473d952c4ca14823ddd5" PartId="e1b97e9c461d47e68cd5d3e29dce4bae"/>
      <Part Type="papunktis" Nr="1.14" Abbr="1.14 pp." DocPartId="bfa5beae61c840e7840baaaf2daa0845" PartId="e45b65de24324b2a9bbb356c6954d1db"/>
      <Part Type="papunktis" Nr="1.15" Abbr="1.15 pp." DocPartId="7fa87760451f43fea8840f7e568c243a" PartId="a2e253afe72844d3b92bca0e0ae5c861"/>
      <Part Type="papunktis" Nr="1.16" Abbr="1.16 pp." DocPartId="a984cff1d88640ac8f7c9bde01f07d58" PartId="bfbdd305019f4158a0beb3b78aa5b9c3"/>
      <Part Type="papunktis" Nr="1.17" Abbr="1.17 pp." DocPartId="6f51123affe04f2b9730ff513c0a3a03" PartId="62e3a75c26ff4ff29868c8741442c726"/>
      <Part Type="papunktis" Nr="1.18" Abbr="1.18 pp." DocPartId="b1111ddf57dc4e5782c8e53f39d867ad" PartId="bc01621549164ca99c15ad482656eb47"/>
      <Part Type="papunktis" Nr="1.19" Abbr="1.19 pp." DocPartId="75787c03df4a497892cd43da935a746b" PartId="321438b72fd840f08f14ff841d67acd2"/>
      <Part Type="papunktis" Nr="1.20" Abbr="1.20 pp." DocPartId="8748dd67445e4b80b702a1168041a599" PartId="f295b87341e04a34bfe47ba95885c52f"/>
      <Part Type="papunktis" Nr="1.21" Abbr="1.21 pp." DocPartId="5a0ed3f0ad6740b7a45648a523381406" PartId="9b7d7623a3ed41fc8d57718ae947c230"/>
      <Part Type="papunktis" Nr="1.22" Abbr="1.22 pp." DocPartId="84d56d7b817d40409617e04c386acbe5" PartId="8960ac83a7714921ab00999cbbf273c2"/>
      <Part Type="papunktis" Nr="1.23" Abbr="1.23 pp." DocPartId="1c99d3eadf9546e0925aac27b4ea0d9c" PartId="afe803faad524462be09498c838e7e45"/>
    </Part>
    <Part Type="punktas" Nr="2" Abbr="2 p." DocPartId="19ab58fe7a0d486091f5906676925452" PartId="f498f77aa4a24ed99bcc316db9189053"/>
    <Part Type="signatura" DocPartId="6f3a11b18d1c4cf1840d3a4f6fb88eaf" PartId="8648bfd3fd3a4ef8bb501def410a3553"/>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29FF92-850A-4EEE-81BB-864255A59B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0B970A-E3C7-45B4-A68D-3B3D8FDB6C75}">
  <ds:schemaRefs>
    <ds:schemaRef ds:uri="http://schemas.microsoft.com/sharepoint/v3/contenttype/forms"/>
  </ds:schemaRefs>
</ds:datastoreItem>
</file>

<file path=customXml/itemProps3.xml><?xml version="1.0" encoding="utf-8"?>
<ds:datastoreItem xmlns:ds="http://schemas.openxmlformats.org/officeDocument/2006/customXml" ds:itemID="{06490111-0C05-4E4B-8D11-1803A9106FBA}">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4.xml><?xml version="1.0" encoding="utf-8"?>
<ds:datastoreItem xmlns:ds="http://schemas.openxmlformats.org/officeDocument/2006/customXml" ds:itemID="{ED2BA1B3-E26A-4F8B-A99F-599EAE58E290}">
  <ds:schemaRefs>
    <ds:schemaRef ds:uri="http://lrs.lt/TAIS/DocParts"/>
  </ds:schemaRefs>
</ds:datastoreItem>
</file>

<file path=customXml/itemProps5.xml><?xml version="1.0" encoding="utf-8"?>
<ds:datastoreItem xmlns:ds="http://schemas.openxmlformats.org/officeDocument/2006/customXml" ds:itemID="{F98284EE-F385-42AE-9587-D2D3FB9FE41C}">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7</Pages>
  <Words>2131</Words>
  <Characters>14963</Characters>
  <Application>Microsoft Office Word</Application>
  <DocSecurity>0</DocSecurity>
  <Lines>124</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17060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Sabaliauskaite Roma</dc:creator>
  <cp:lastModifiedBy>JUOSPONIENĖ Karolina</cp:lastModifiedBy>
  <cp:revision>3</cp:revision>
  <cp:lastPrinted>2024-08-07T06:18:00Z</cp:lastPrinted>
  <dcterms:created xsi:type="dcterms:W3CDTF">2024-08-28T14:51:00Z</dcterms:created>
  <dcterms:modified xsi:type="dcterms:W3CDTF">2024-08-28T16:21:00Z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